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55092293" w:displacedByCustomXml="next"/>
    <w:bookmarkStart w:id="1" w:name="Note1" w:displacedByCustomXml="next"/>
    <w:sdt>
      <w:sdtPr>
        <w:rPr>
          <w:rFonts w:cs="Arial"/>
          <w:b/>
          <w:color w:val="FF0000"/>
          <w:sz w:val="36"/>
          <w:szCs w:val="36"/>
          <w:highlight w:val="yellow"/>
          <w:lang w:val="ru-RU"/>
        </w:rPr>
        <w:id w:val="-2104789312"/>
        <w:docPartObj>
          <w:docPartGallery w:val="Cover Pages"/>
          <w:docPartUnique/>
        </w:docPartObj>
      </w:sdtPr>
      <w:sdtEndPr>
        <w:rPr>
          <w:rFonts w:asciiTheme="majorHAnsi" w:eastAsiaTheme="majorEastAsia" w:hAnsiTheme="majorHAnsi" w:cstheme="majorBidi"/>
          <w:b w:val="0"/>
          <w:highlight w:val="none"/>
          <w:lang w:val="en-GB" w:eastAsia="ru-RU"/>
        </w:rPr>
      </w:sdtEndPr>
      <w:sdtContent>
        <w:p w:rsidR="00F93FFE" w:rsidRPr="00884713" w:rsidRDefault="00F93FFE" w:rsidP="00F17170">
          <w:pPr>
            <w:rPr>
              <w:sz w:val="36"/>
              <w:szCs w:val="36"/>
              <w:highlight w:val="yellow"/>
            </w:rPr>
          </w:pPr>
        </w:p>
        <w:p w:rsidR="00F93FFE" w:rsidRPr="00884713" w:rsidRDefault="00F93FFE"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highlight w:val="yellow"/>
              <w:lang w:val="ru-RU"/>
            </w:rPr>
          </w:pPr>
        </w:p>
        <w:p w:rsidR="00F17170" w:rsidRPr="00884713" w:rsidRDefault="00F17170" w:rsidP="00F17170">
          <w:pPr>
            <w:rPr>
              <w:sz w:val="36"/>
              <w:szCs w:val="36"/>
              <w:lang w:val="ru-RU"/>
            </w:rPr>
          </w:pPr>
        </w:p>
        <w:tbl>
          <w:tblPr>
            <w:tblpPr w:leftFromText="180" w:rightFromText="180" w:vertAnchor="text" w:horzAnchor="margin" w:tblpY="4379"/>
            <w:tblW w:w="5000" w:type="pct"/>
            <w:tblLook w:val="04A0" w:firstRow="1" w:lastRow="0" w:firstColumn="1" w:lastColumn="0" w:noHBand="0" w:noVBand="1"/>
          </w:tblPr>
          <w:tblGrid>
            <w:gridCol w:w="9573"/>
          </w:tblGrid>
          <w:tr w:rsidR="00F17170" w:rsidRPr="00884713" w:rsidTr="00D975A5">
            <w:trPr>
              <w:trHeight w:val="360"/>
            </w:trPr>
            <w:tc>
              <w:tcPr>
                <w:tcW w:w="5000" w:type="pct"/>
                <w:vAlign w:val="center"/>
              </w:tcPr>
              <w:p w:rsidR="00F17170" w:rsidRPr="00884713" w:rsidRDefault="00F17170" w:rsidP="00F17170">
                <w:pPr>
                  <w:pStyle w:val="6"/>
                  <w:spacing w:after="0" w:line="240" w:lineRule="auto"/>
                  <w:rPr>
                    <w:sz w:val="36"/>
                    <w:szCs w:val="36"/>
                  </w:rPr>
                </w:pPr>
              </w:p>
            </w:tc>
          </w:tr>
        </w:tbl>
        <w:p w:rsidR="00F17170" w:rsidRPr="00884713"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884713">
            <w:rPr>
              <w:rFonts w:asciiTheme="majorHAnsi" w:eastAsiaTheme="majorEastAsia" w:hAnsiTheme="majorHAnsi" w:cstheme="majorBidi"/>
              <w:i w:val="0"/>
              <w:sz w:val="36"/>
              <w:szCs w:val="36"/>
              <w:lang w:eastAsia="ru-RU"/>
            </w:rPr>
            <w:t>ПАО «Норвик Банк»</w:t>
          </w:r>
        </w:p>
        <w:p w:rsidR="00F17170" w:rsidRPr="00884713"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884713">
            <w:rPr>
              <w:rFonts w:asciiTheme="majorHAnsi" w:eastAsiaTheme="majorEastAsia" w:hAnsiTheme="majorHAnsi" w:cstheme="majorBidi"/>
              <w:i w:val="0"/>
              <w:sz w:val="36"/>
              <w:szCs w:val="36"/>
              <w:lang w:eastAsia="ru-RU"/>
            </w:rPr>
            <w:t xml:space="preserve">Пояснительная информация к годовой бухгалтерской (финансовой) отчетности </w:t>
          </w:r>
        </w:p>
        <w:p w:rsidR="00F17170" w:rsidRPr="00884713" w:rsidRDefault="00F17170" w:rsidP="00F17170">
          <w:pPr>
            <w:pStyle w:val="aff5"/>
            <w:overflowPunct/>
            <w:autoSpaceDE/>
            <w:autoSpaceDN/>
            <w:adjustRightInd/>
            <w:jc w:val="center"/>
            <w:textAlignment w:val="auto"/>
            <w:rPr>
              <w:rFonts w:asciiTheme="majorHAnsi" w:eastAsiaTheme="majorEastAsia" w:hAnsiTheme="majorHAnsi" w:cstheme="majorBidi"/>
              <w:i w:val="0"/>
              <w:sz w:val="36"/>
              <w:szCs w:val="36"/>
              <w:lang w:eastAsia="ru-RU"/>
            </w:rPr>
          </w:pPr>
          <w:r w:rsidRPr="00884713">
            <w:rPr>
              <w:rFonts w:asciiTheme="majorHAnsi" w:eastAsiaTheme="majorEastAsia" w:hAnsiTheme="majorHAnsi" w:cstheme="majorBidi"/>
              <w:i w:val="0"/>
              <w:sz w:val="36"/>
              <w:szCs w:val="36"/>
              <w:lang w:eastAsia="ru-RU"/>
            </w:rPr>
            <w:t>за период с 1 января по 31 декабря 201</w:t>
          </w:r>
          <w:r w:rsidR="00884713" w:rsidRPr="00884713">
            <w:rPr>
              <w:rFonts w:asciiTheme="majorHAnsi" w:eastAsiaTheme="majorEastAsia" w:hAnsiTheme="majorHAnsi" w:cstheme="majorBidi"/>
              <w:i w:val="0"/>
              <w:sz w:val="36"/>
              <w:szCs w:val="36"/>
              <w:lang w:eastAsia="ru-RU"/>
            </w:rPr>
            <w:t>8</w:t>
          </w:r>
        </w:p>
        <w:p w:rsidR="00970300" w:rsidRPr="00023852" w:rsidRDefault="00F17170" w:rsidP="00F17170">
          <w:pPr>
            <w:overflowPunct/>
            <w:autoSpaceDE/>
            <w:autoSpaceDN/>
            <w:adjustRightInd/>
            <w:spacing w:after="200" w:line="276" w:lineRule="auto"/>
            <w:textAlignment w:val="auto"/>
            <w:rPr>
              <w:rFonts w:asciiTheme="majorHAnsi" w:eastAsiaTheme="majorEastAsia" w:hAnsiTheme="majorHAnsi" w:cstheme="majorBidi"/>
              <w:b/>
              <w:sz w:val="36"/>
              <w:szCs w:val="36"/>
              <w:lang w:val="ru-RU" w:eastAsia="ru-RU"/>
            </w:rPr>
          </w:pPr>
          <w:r w:rsidRPr="00023852">
            <w:rPr>
              <w:rFonts w:asciiTheme="majorHAnsi" w:eastAsiaTheme="majorEastAsia" w:hAnsiTheme="majorHAnsi" w:cstheme="majorBidi"/>
              <w:i/>
              <w:sz w:val="36"/>
              <w:szCs w:val="36"/>
              <w:lang w:val="ru-RU" w:eastAsia="ru-RU"/>
            </w:rPr>
            <w:br w:type="page"/>
          </w:r>
        </w:p>
        <w:bookmarkStart w:id="2" w:name="_GoBack" w:displacedByCustomXml="next"/>
        <w:bookmarkEnd w:id="2" w:displacedByCustomXml="next"/>
      </w:sdtContent>
    </w:sdt>
    <w:bookmarkEnd w:id="0" w:displacedByCustomXml="prev"/>
    <w:bookmarkEnd w:id="1" w:displacedByCustomXml="prev"/>
    <w:p w:rsidR="00970300" w:rsidRPr="00884713" w:rsidRDefault="008F531D" w:rsidP="006F5EF5">
      <w:pPr>
        <w:pStyle w:val="a"/>
        <w:ind w:left="0" w:firstLine="0"/>
      </w:pPr>
      <w:r w:rsidRPr="00884713">
        <w:lastRenderedPageBreak/>
        <w:t>Полное фирменное наименование Банка, местонахождение и адрес, изменение указанных реквизитов по сравнению с предыдущим отчетным периодом</w:t>
      </w:r>
    </w:p>
    <w:p w:rsidR="00970300" w:rsidRPr="00884713" w:rsidRDefault="00970300" w:rsidP="00AD5225">
      <w:pPr>
        <w:pStyle w:val="2normal"/>
        <w:rPr>
          <w:rFonts w:cs="Arial"/>
          <w:sz w:val="20"/>
          <w:szCs w:val="20"/>
          <w:lang w:val="ru-RU"/>
        </w:rPr>
      </w:pP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Полное официальное наименование: Публичное акционерное общество «Норвик Банк».</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Сокращенное наименование: ПАО «Норвик Банк».</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Место нахождения (юридический адрес): 610000, Российская Федерация, г. Киров, ул. Преображенская, д. 4.</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Государственный регистрационный номер: ОГРН 1024300004739.</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Регистрационный номер и дата регистрации Центральным банком РФ: 902, 22.11.1990г.</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Лицензии:</w:t>
      </w:r>
    </w:p>
    <w:p w:rsidR="00FF152C" w:rsidRPr="00884713" w:rsidRDefault="00FF152C" w:rsidP="00E528C1">
      <w:pPr>
        <w:pStyle w:val="2normal"/>
        <w:numPr>
          <w:ilvl w:val="0"/>
          <w:numId w:val="16"/>
        </w:numPr>
        <w:tabs>
          <w:tab w:val="left" w:pos="851"/>
        </w:tabs>
        <w:spacing w:line="230" w:lineRule="auto"/>
        <w:ind w:left="0" w:firstLine="567"/>
        <w:jc w:val="both"/>
        <w:rPr>
          <w:rFonts w:cs="Arial"/>
          <w:sz w:val="20"/>
          <w:szCs w:val="20"/>
          <w:lang w:val="ru-RU"/>
        </w:rPr>
      </w:pPr>
      <w:r w:rsidRPr="00884713">
        <w:rPr>
          <w:rFonts w:cs="Arial"/>
          <w:sz w:val="20"/>
          <w:szCs w:val="20"/>
          <w:lang w:val="ru-RU"/>
        </w:rPr>
        <w:t>лицензия на осуществление банковских операций со средствами физических лиц в рублях и иностранной валюте № 902, выдана Банком России 17.07.2015г.;</w:t>
      </w:r>
    </w:p>
    <w:p w:rsidR="00FF152C" w:rsidRPr="00884713" w:rsidRDefault="00FF152C" w:rsidP="00E528C1">
      <w:pPr>
        <w:pStyle w:val="2normal"/>
        <w:numPr>
          <w:ilvl w:val="0"/>
          <w:numId w:val="16"/>
        </w:numPr>
        <w:tabs>
          <w:tab w:val="left" w:pos="851"/>
        </w:tabs>
        <w:spacing w:line="230" w:lineRule="auto"/>
        <w:ind w:left="0" w:firstLine="567"/>
        <w:jc w:val="both"/>
        <w:rPr>
          <w:rFonts w:cs="Arial"/>
          <w:sz w:val="20"/>
          <w:szCs w:val="20"/>
          <w:lang w:val="ru-RU"/>
        </w:rPr>
      </w:pPr>
      <w:r w:rsidRPr="00884713">
        <w:rPr>
          <w:rFonts w:cs="Arial"/>
          <w:sz w:val="20"/>
          <w:szCs w:val="20"/>
          <w:lang w:val="ru-RU"/>
        </w:rPr>
        <w:t xml:space="preserve">лицензия на осуществление банковских операций со средствами юридических лиц в рублях и иностранной валюте № 902, выдана Банком России 17.07.2015г. </w:t>
      </w:r>
    </w:p>
    <w:p w:rsidR="00FF152C" w:rsidRPr="00884713" w:rsidRDefault="00FF152C" w:rsidP="0047057C">
      <w:pPr>
        <w:pStyle w:val="2normal"/>
        <w:tabs>
          <w:tab w:val="left" w:pos="851"/>
        </w:tabs>
        <w:spacing w:line="230" w:lineRule="auto"/>
        <w:jc w:val="both"/>
        <w:rPr>
          <w:rFonts w:cs="Arial"/>
          <w:sz w:val="20"/>
          <w:szCs w:val="20"/>
          <w:lang w:val="ru-RU"/>
        </w:rPr>
      </w:pP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 xml:space="preserve">Платежные реквизиты: </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БИК 043304728</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 xml:space="preserve">ИНН 4346001485 </w:t>
      </w:r>
    </w:p>
    <w:p w:rsidR="00FF152C" w:rsidRPr="00884713" w:rsidRDefault="00FF152C" w:rsidP="00FF152C">
      <w:pPr>
        <w:pStyle w:val="2normal"/>
        <w:spacing w:line="230" w:lineRule="auto"/>
        <w:jc w:val="both"/>
        <w:rPr>
          <w:rFonts w:cs="Arial"/>
          <w:sz w:val="20"/>
          <w:szCs w:val="20"/>
          <w:lang w:val="ru-RU"/>
        </w:rPr>
      </w:pPr>
      <w:r w:rsidRPr="00884713">
        <w:rPr>
          <w:rFonts w:cs="Arial"/>
          <w:sz w:val="20"/>
          <w:szCs w:val="20"/>
          <w:lang w:val="ru-RU"/>
        </w:rPr>
        <w:t>корсчет 30101810300000000728 в Отделение по Кировской области Волго-Вятского ГУ ЦБ РФ.</w:t>
      </w:r>
    </w:p>
    <w:p w:rsidR="00970300" w:rsidRPr="00884713" w:rsidRDefault="00970300" w:rsidP="00AD5225">
      <w:pPr>
        <w:pStyle w:val="2normal"/>
        <w:jc w:val="both"/>
        <w:rPr>
          <w:rFonts w:cs="Arial"/>
          <w:sz w:val="20"/>
          <w:szCs w:val="20"/>
          <w:highlight w:val="yellow"/>
          <w:lang w:val="ru-RU"/>
        </w:rPr>
      </w:pPr>
    </w:p>
    <w:p w:rsidR="008F531D" w:rsidRPr="00884713" w:rsidRDefault="008F531D" w:rsidP="006F5EF5">
      <w:pPr>
        <w:pStyle w:val="a"/>
        <w:ind w:left="0" w:firstLine="0"/>
        <w:rPr>
          <w:sz w:val="20"/>
          <w:szCs w:val="20"/>
        </w:rPr>
      </w:pPr>
      <w:r w:rsidRPr="00884713">
        <w:t>Отчетный период и единицы измерения годовой</w:t>
      </w:r>
      <w:r w:rsidR="00367D3E" w:rsidRPr="00884713">
        <w:t xml:space="preserve"> </w:t>
      </w:r>
      <w:r w:rsidRPr="00884713">
        <w:t>отчетности</w:t>
      </w:r>
    </w:p>
    <w:p w:rsidR="008C6899" w:rsidRPr="00884713" w:rsidRDefault="008C6899" w:rsidP="008C6899">
      <w:pPr>
        <w:pStyle w:val="a"/>
        <w:numPr>
          <w:ilvl w:val="0"/>
          <w:numId w:val="0"/>
        </w:numPr>
        <w:rPr>
          <w:sz w:val="20"/>
          <w:szCs w:val="20"/>
        </w:rPr>
      </w:pPr>
    </w:p>
    <w:p w:rsidR="00970300" w:rsidRPr="00884713" w:rsidRDefault="00970300" w:rsidP="00AD5225">
      <w:pPr>
        <w:pStyle w:val="2normal"/>
        <w:jc w:val="both"/>
        <w:rPr>
          <w:rFonts w:cs="Arial"/>
          <w:sz w:val="20"/>
          <w:szCs w:val="20"/>
          <w:lang w:val="ru-RU"/>
        </w:rPr>
      </w:pPr>
      <w:r w:rsidRPr="00884713">
        <w:rPr>
          <w:rFonts w:cs="Arial"/>
          <w:sz w:val="20"/>
          <w:szCs w:val="20"/>
          <w:lang w:val="ru-RU"/>
        </w:rPr>
        <w:t>Годовая отчетность составлена за отчетный период (календарный год) с 1 января по 31 декабря включительно 201</w:t>
      </w:r>
      <w:r w:rsidR="00884713" w:rsidRPr="00884713">
        <w:rPr>
          <w:rFonts w:cs="Arial"/>
          <w:sz w:val="20"/>
          <w:szCs w:val="20"/>
          <w:lang w:val="ru-RU"/>
        </w:rPr>
        <w:t>8</w:t>
      </w:r>
      <w:r w:rsidRPr="00884713">
        <w:rPr>
          <w:rFonts w:cs="Arial"/>
          <w:sz w:val="20"/>
          <w:szCs w:val="20"/>
          <w:lang w:val="ru-RU"/>
        </w:rPr>
        <w:t xml:space="preserve"> г</w:t>
      </w:r>
      <w:r w:rsidR="00866798" w:rsidRPr="00884713">
        <w:rPr>
          <w:rFonts w:cs="Arial"/>
          <w:sz w:val="20"/>
          <w:szCs w:val="20"/>
          <w:lang w:val="ru-RU"/>
        </w:rPr>
        <w:t>ода. Годовая отчетность составл</w:t>
      </w:r>
      <w:r w:rsidRPr="00884713">
        <w:rPr>
          <w:rFonts w:cs="Arial"/>
          <w:sz w:val="20"/>
          <w:szCs w:val="20"/>
          <w:lang w:val="ru-RU"/>
        </w:rPr>
        <w:t>е</w:t>
      </w:r>
      <w:r w:rsidR="00866798" w:rsidRPr="00884713">
        <w:rPr>
          <w:rFonts w:cs="Arial"/>
          <w:sz w:val="20"/>
          <w:szCs w:val="20"/>
          <w:lang w:val="ru-RU"/>
        </w:rPr>
        <w:t>на</w:t>
      </w:r>
      <w:r w:rsidRPr="00884713">
        <w:rPr>
          <w:rFonts w:cs="Arial"/>
          <w:sz w:val="20"/>
          <w:szCs w:val="20"/>
          <w:lang w:val="ru-RU"/>
        </w:rPr>
        <w:t xml:space="preserve"> в валюте Российской </w:t>
      </w:r>
      <w:r w:rsidR="004C52AE">
        <w:rPr>
          <w:rFonts w:cs="Arial"/>
          <w:sz w:val="20"/>
          <w:szCs w:val="20"/>
          <w:lang w:val="ru-RU"/>
        </w:rPr>
        <w:t>Ф</w:t>
      </w:r>
      <w:r w:rsidRPr="00884713">
        <w:rPr>
          <w:rFonts w:cs="Arial"/>
          <w:sz w:val="20"/>
          <w:szCs w:val="20"/>
          <w:lang w:val="ru-RU"/>
        </w:rPr>
        <w:t>едерации, в тысячах российских рублей. В годовой отчетности все активы и обязательства в иностранной валюте отраж</w:t>
      </w:r>
      <w:r w:rsidR="00866798" w:rsidRPr="00884713">
        <w:rPr>
          <w:rFonts w:cs="Arial"/>
          <w:sz w:val="20"/>
          <w:szCs w:val="20"/>
          <w:lang w:val="ru-RU"/>
        </w:rPr>
        <w:t>ены</w:t>
      </w:r>
      <w:r w:rsidRPr="00884713">
        <w:rPr>
          <w:rFonts w:cs="Arial"/>
          <w:sz w:val="20"/>
          <w:szCs w:val="20"/>
          <w:lang w:val="ru-RU"/>
        </w:rPr>
        <w:t xml:space="preserve"> в рублях по официальному курсу соответствующей иностранной валюты по отношению к рублю, установленному Банком России на 31 декабря 201</w:t>
      </w:r>
      <w:r w:rsidR="00884713" w:rsidRPr="00884713">
        <w:rPr>
          <w:rFonts w:cs="Arial"/>
          <w:sz w:val="20"/>
          <w:szCs w:val="20"/>
          <w:lang w:val="ru-RU"/>
        </w:rPr>
        <w:t>8</w:t>
      </w:r>
      <w:r w:rsidRPr="00884713">
        <w:rPr>
          <w:rFonts w:cs="Arial"/>
          <w:sz w:val="20"/>
          <w:szCs w:val="20"/>
          <w:lang w:val="ru-RU"/>
        </w:rPr>
        <w:t xml:space="preserve"> года.</w:t>
      </w:r>
    </w:p>
    <w:p w:rsidR="00970300" w:rsidRPr="00884713" w:rsidRDefault="00970300" w:rsidP="00AD5225">
      <w:pPr>
        <w:pStyle w:val="2normal"/>
        <w:jc w:val="both"/>
        <w:rPr>
          <w:rFonts w:cs="Arial"/>
          <w:sz w:val="20"/>
          <w:szCs w:val="20"/>
          <w:lang w:val="ru-RU"/>
        </w:rPr>
      </w:pPr>
    </w:p>
    <w:p w:rsidR="00970300" w:rsidRPr="00884713" w:rsidRDefault="00970300" w:rsidP="00AD5225">
      <w:pPr>
        <w:pStyle w:val="2normal"/>
        <w:jc w:val="both"/>
        <w:rPr>
          <w:rFonts w:cs="Arial"/>
          <w:sz w:val="20"/>
          <w:szCs w:val="20"/>
          <w:lang w:val="ru-RU"/>
        </w:rPr>
      </w:pPr>
      <w:r w:rsidRPr="00884713">
        <w:rPr>
          <w:rFonts w:cs="Arial"/>
          <w:sz w:val="20"/>
          <w:szCs w:val="20"/>
          <w:lang w:val="ru-RU"/>
        </w:rPr>
        <w:t>Участие Банка в капитале компаний:</w:t>
      </w:r>
    </w:p>
    <w:p w:rsidR="00970300" w:rsidRPr="00884713" w:rsidRDefault="00970300" w:rsidP="00E528C1">
      <w:pPr>
        <w:pStyle w:val="2normal"/>
        <w:numPr>
          <w:ilvl w:val="0"/>
          <w:numId w:val="10"/>
        </w:numPr>
        <w:tabs>
          <w:tab w:val="left" w:pos="851"/>
        </w:tabs>
        <w:ind w:left="0" w:firstLine="567"/>
        <w:jc w:val="both"/>
        <w:rPr>
          <w:rFonts w:cs="Arial"/>
          <w:sz w:val="20"/>
          <w:szCs w:val="20"/>
          <w:lang w:val="ru-RU"/>
        </w:rPr>
      </w:pPr>
      <w:r w:rsidRPr="00884713">
        <w:rPr>
          <w:rFonts w:cs="Arial"/>
          <w:sz w:val="20"/>
          <w:szCs w:val="20"/>
          <w:lang w:val="ru-RU"/>
        </w:rPr>
        <w:t xml:space="preserve">Кировский областной фонд поддержки малого и среднего предпринимательства </w:t>
      </w:r>
      <w:r w:rsidR="008C74CD" w:rsidRPr="00884713">
        <w:rPr>
          <w:rFonts w:cs="Arial"/>
          <w:sz w:val="20"/>
          <w:szCs w:val="20"/>
          <w:lang w:val="ru-RU"/>
        </w:rPr>
        <w:t>(микро</w:t>
      </w:r>
      <w:r w:rsidR="006F5F86" w:rsidRPr="00884713">
        <w:rPr>
          <w:rFonts w:cs="Arial"/>
          <w:sz w:val="20"/>
          <w:szCs w:val="20"/>
          <w:lang w:val="ru-RU"/>
        </w:rPr>
        <w:t>кредитная компания</w:t>
      </w:r>
      <w:r w:rsidR="008C74CD" w:rsidRPr="00884713">
        <w:rPr>
          <w:rFonts w:cs="Arial"/>
          <w:sz w:val="20"/>
          <w:szCs w:val="20"/>
          <w:lang w:val="ru-RU"/>
        </w:rPr>
        <w:t xml:space="preserve">) </w:t>
      </w:r>
      <w:r w:rsidRPr="00884713">
        <w:rPr>
          <w:rFonts w:cs="Arial"/>
          <w:sz w:val="20"/>
          <w:szCs w:val="20"/>
          <w:lang w:val="ru-RU"/>
        </w:rPr>
        <w:t>учрежден 22 июля 2002 года в форме фонда в соответствии с законодательством Российской Федерации. Основной деятельностью компании является финансовое посредничество. Доля участия</w:t>
      </w:r>
      <w:r w:rsidR="00C428E4" w:rsidRPr="00884713">
        <w:rPr>
          <w:rFonts w:cs="Arial"/>
          <w:sz w:val="20"/>
          <w:szCs w:val="20"/>
          <w:lang w:val="ru-RU"/>
        </w:rPr>
        <w:t xml:space="preserve"> банка 25% </w:t>
      </w:r>
      <w:r w:rsidRPr="00884713">
        <w:rPr>
          <w:rFonts w:cs="Arial"/>
          <w:sz w:val="20"/>
          <w:szCs w:val="20"/>
          <w:lang w:val="ru-RU"/>
        </w:rPr>
        <w:t xml:space="preserve">в уставном капитале фонда. Банк не оказывает прямо или косвенно существенного </w:t>
      </w:r>
      <w:r w:rsidR="00C428E4" w:rsidRPr="00884713">
        <w:rPr>
          <w:rFonts w:cs="Arial"/>
          <w:sz w:val="20"/>
          <w:szCs w:val="20"/>
          <w:lang w:val="ru-RU"/>
        </w:rPr>
        <w:t xml:space="preserve">влияния на решения, принимаемые </w:t>
      </w:r>
      <w:r w:rsidRPr="00884713">
        <w:rPr>
          <w:rFonts w:cs="Arial"/>
          <w:sz w:val="20"/>
          <w:szCs w:val="20"/>
          <w:lang w:val="ru-RU"/>
        </w:rPr>
        <w:t>Советом Кировского областного фонда поддержки малого предпринимательства и соответственно не является консолидированной с ним группой.</w:t>
      </w:r>
    </w:p>
    <w:p w:rsidR="00970300" w:rsidRDefault="00970300" w:rsidP="00884713">
      <w:pPr>
        <w:pStyle w:val="2normal"/>
        <w:jc w:val="both"/>
        <w:rPr>
          <w:rFonts w:cs="Arial"/>
          <w:sz w:val="20"/>
          <w:szCs w:val="20"/>
          <w:highlight w:val="yellow"/>
          <w:lang w:val="ru-RU"/>
        </w:rPr>
      </w:pPr>
    </w:p>
    <w:p w:rsidR="00884713" w:rsidRPr="00884713" w:rsidRDefault="00884713" w:rsidP="00884713">
      <w:pPr>
        <w:jc w:val="both"/>
        <w:rPr>
          <w:sz w:val="20"/>
          <w:szCs w:val="20"/>
          <w:lang w:val="ru-RU"/>
        </w:rPr>
      </w:pPr>
      <w:r w:rsidRPr="00884713">
        <w:rPr>
          <w:sz w:val="20"/>
          <w:szCs w:val="20"/>
          <w:lang w:val="ru-RU"/>
        </w:rPr>
        <w:t>Банк является головной кредитной организацией банковской группы. В состав банковской группы за 31 декабря 2018 года входит Общество с ограниченной ответственностью «Сингл». Банк является единственным учредителем общества. Целью создания и деятельности общества является деятельность по предоставлению консультационных услуг по вопросам финансового посредничества. Банк не составляет и не предоставляет в Банк России надзорную консолидированную отчетность, т.к. отчетные данные единственного участника банковской группы - ООО «Сингл» за 31 декабря 2018 года признаны Банком несущественными.</w:t>
      </w:r>
    </w:p>
    <w:p w:rsidR="00884713" w:rsidRPr="00884713" w:rsidRDefault="00884713" w:rsidP="00884713">
      <w:pPr>
        <w:pStyle w:val="2normal"/>
        <w:jc w:val="both"/>
        <w:rPr>
          <w:rFonts w:cs="Arial"/>
          <w:sz w:val="20"/>
          <w:szCs w:val="20"/>
          <w:highlight w:val="yellow"/>
          <w:lang w:val="ru-RU"/>
        </w:rPr>
      </w:pPr>
    </w:p>
    <w:p w:rsidR="00970300" w:rsidRPr="00884713" w:rsidRDefault="00FF152C" w:rsidP="00AD5225">
      <w:pPr>
        <w:pStyle w:val="2normal"/>
        <w:jc w:val="both"/>
        <w:rPr>
          <w:rFonts w:cs="Arial"/>
          <w:spacing w:val="-2"/>
          <w:sz w:val="20"/>
          <w:szCs w:val="20"/>
          <w:lang w:val="ru-RU"/>
        </w:rPr>
      </w:pPr>
      <w:r w:rsidRPr="00884713">
        <w:rPr>
          <w:rFonts w:cs="Arial"/>
          <w:spacing w:val="-2"/>
          <w:sz w:val="20"/>
          <w:szCs w:val="20"/>
          <w:lang w:val="ru-RU"/>
        </w:rPr>
        <w:t>В соответствие</w:t>
      </w:r>
      <w:r w:rsidR="00970300" w:rsidRPr="00884713">
        <w:rPr>
          <w:rFonts w:cs="Arial"/>
          <w:spacing w:val="-2"/>
          <w:sz w:val="20"/>
          <w:szCs w:val="20"/>
          <w:lang w:val="ru-RU"/>
        </w:rPr>
        <w:t xml:space="preserve"> с Распоряжением Банка от </w:t>
      </w:r>
      <w:r w:rsidR="00367D3E" w:rsidRPr="00884713">
        <w:rPr>
          <w:rFonts w:cs="Arial"/>
          <w:spacing w:val="-2"/>
          <w:sz w:val="20"/>
          <w:szCs w:val="20"/>
          <w:lang w:val="ru-RU"/>
        </w:rPr>
        <w:t>2</w:t>
      </w:r>
      <w:r w:rsidR="00884713" w:rsidRPr="00884713">
        <w:rPr>
          <w:rFonts w:cs="Arial"/>
          <w:spacing w:val="-2"/>
          <w:sz w:val="20"/>
          <w:szCs w:val="20"/>
          <w:lang w:val="ru-RU"/>
        </w:rPr>
        <w:t>6</w:t>
      </w:r>
      <w:r w:rsidR="00970300" w:rsidRPr="00884713">
        <w:rPr>
          <w:rFonts w:cs="Arial"/>
          <w:spacing w:val="-2"/>
          <w:sz w:val="20"/>
          <w:szCs w:val="20"/>
          <w:lang w:val="ru-RU"/>
        </w:rPr>
        <w:t xml:space="preserve"> декабря 201</w:t>
      </w:r>
      <w:r w:rsidR="00884713" w:rsidRPr="00884713">
        <w:rPr>
          <w:rFonts w:cs="Arial"/>
          <w:spacing w:val="-2"/>
          <w:sz w:val="20"/>
          <w:szCs w:val="20"/>
          <w:lang w:val="ru-RU"/>
        </w:rPr>
        <w:t>8</w:t>
      </w:r>
      <w:r w:rsidR="0055636B" w:rsidRPr="00884713">
        <w:rPr>
          <w:rFonts w:cs="Arial"/>
          <w:spacing w:val="-2"/>
          <w:sz w:val="20"/>
          <w:szCs w:val="20"/>
          <w:lang w:val="ru-RU"/>
        </w:rPr>
        <w:t xml:space="preserve"> года №</w:t>
      </w:r>
      <w:r w:rsidR="0003317B" w:rsidRPr="00884713">
        <w:rPr>
          <w:rFonts w:cs="Arial"/>
          <w:spacing w:val="-2"/>
          <w:sz w:val="20"/>
          <w:szCs w:val="20"/>
          <w:lang w:val="ru-RU"/>
        </w:rPr>
        <w:t>1</w:t>
      </w:r>
      <w:r w:rsidR="00884713" w:rsidRPr="00884713">
        <w:rPr>
          <w:rFonts w:cs="Arial"/>
          <w:spacing w:val="-2"/>
          <w:sz w:val="20"/>
          <w:szCs w:val="20"/>
          <w:lang w:val="ru-RU"/>
        </w:rPr>
        <w:t>44</w:t>
      </w:r>
      <w:r w:rsidR="00970300" w:rsidRPr="00884713">
        <w:rPr>
          <w:rFonts w:cs="Arial"/>
          <w:spacing w:val="-2"/>
          <w:sz w:val="20"/>
          <w:szCs w:val="20"/>
          <w:lang w:val="ru-RU"/>
        </w:rPr>
        <w:t xml:space="preserve"> «О порядке составления годовой (фина</w:t>
      </w:r>
      <w:r w:rsidR="00884713" w:rsidRPr="00884713">
        <w:rPr>
          <w:rFonts w:cs="Arial"/>
          <w:spacing w:val="-2"/>
          <w:sz w:val="20"/>
          <w:szCs w:val="20"/>
          <w:lang w:val="ru-RU"/>
        </w:rPr>
        <w:t>нсовой) отчетности банка за 2018</w:t>
      </w:r>
      <w:r w:rsidR="00970300" w:rsidRPr="00884713">
        <w:rPr>
          <w:rFonts w:cs="Arial"/>
          <w:spacing w:val="-2"/>
          <w:sz w:val="20"/>
          <w:szCs w:val="20"/>
          <w:lang w:val="ru-RU"/>
        </w:rPr>
        <w:t xml:space="preserve"> год» срок составления (дата подписания) годовой бухгалтерской (финансовой) отчетности утвержден – </w:t>
      </w:r>
      <w:r w:rsidR="00884713" w:rsidRPr="00CE4A5E">
        <w:rPr>
          <w:rFonts w:cs="Arial"/>
          <w:spacing w:val="-2"/>
          <w:sz w:val="20"/>
          <w:szCs w:val="20"/>
          <w:lang w:val="ru-RU"/>
        </w:rPr>
        <w:t xml:space="preserve">19 марта </w:t>
      </w:r>
      <w:r w:rsidR="00970300" w:rsidRPr="00CE4A5E">
        <w:rPr>
          <w:rFonts w:cs="Arial"/>
          <w:spacing w:val="-2"/>
          <w:sz w:val="20"/>
          <w:szCs w:val="20"/>
          <w:lang w:val="ru-RU"/>
        </w:rPr>
        <w:t>201</w:t>
      </w:r>
      <w:r w:rsidR="00884713" w:rsidRPr="00CE4A5E">
        <w:rPr>
          <w:rFonts w:cs="Arial"/>
          <w:spacing w:val="-2"/>
          <w:sz w:val="20"/>
          <w:szCs w:val="20"/>
          <w:lang w:val="ru-RU"/>
        </w:rPr>
        <w:t>9</w:t>
      </w:r>
      <w:r w:rsidR="00970300" w:rsidRPr="00CE4A5E">
        <w:rPr>
          <w:rFonts w:cs="Arial"/>
          <w:spacing w:val="-2"/>
          <w:sz w:val="20"/>
          <w:szCs w:val="20"/>
          <w:lang w:val="ru-RU"/>
        </w:rPr>
        <w:t xml:space="preserve"> года.</w:t>
      </w:r>
      <w:r w:rsidR="00970300" w:rsidRPr="00884713">
        <w:rPr>
          <w:rFonts w:cs="Arial"/>
          <w:spacing w:val="-2"/>
          <w:sz w:val="20"/>
          <w:szCs w:val="20"/>
          <w:lang w:val="ru-RU"/>
        </w:rPr>
        <w:t xml:space="preserve"> </w:t>
      </w:r>
    </w:p>
    <w:p w:rsidR="0075683B" w:rsidRPr="00884713" w:rsidRDefault="00FF152C" w:rsidP="00781B29">
      <w:pPr>
        <w:jc w:val="both"/>
        <w:rPr>
          <w:rFonts w:cs="Arial"/>
          <w:sz w:val="20"/>
          <w:szCs w:val="20"/>
          <w:lang w:val="ru-RU"/>
        </w:rPr>
      </w:pPr>
      <w:r w:rsidRPr="00884713">
        <w:rPr>
          <w:rFonts w:cs="Arial"/>
          <w:spacing w:val="-2"/>
          <w:sz w:val="20"/>
          <w:szCs w:val="20"/>
          <w:lang w:val="ru-RU"/>
        </w:rPr>
        <w:t>В соответствие</w:t>
      </w:r>
      <w:r w:rsidR="00970300" w:rsidRPr="00884713">
        <w:rPr>
          <w:rFonts w:cs="Arial"/>
          <w:spacing w:val="-2"/>
          <w:sz w:val="20"/>
          <w:szCs w:val="20"/>
          <w:lang w:val="ru-RU"/>
        </w:rPr>
        <w:t xml:space="preserve"> с Уставом Банка годовой отчет Банка подлежит предварительному утверждению Советом директоров Банка не позднее 30 дней до даты проведения годового общего собрания акционеров Банка. Утверждение годовой бухгалтерской</w:t>
      </w:r>
      <w:r w:rsidR="008415C3" w:rsidRPr="00884713">
        <w:rPr>
          <w:rFonts w:cs="Arial"/>
          <w:spacing w:val="-2"/>
          <w:sz w:val="20"/>
          <w:szCs w:val="20"/>
          <w:lang w:val="ru-RU"/>
        </w:rPr>
        <w:t xml:space="preserve"> (финансовой)</w:t>
      </w:r>
      <w:r w:rsidR="00970300" w:rsidRPr="00884713">
        <w:rPr>
          <w:rFonts w:cs="Arial"/>
          <w:spacing w:val="-2"/>
          <w:sz w:val="20"/>
          <w:szCs w:val="20"/>
          <w:lang w:val="ru-RU"/>
        </w:rPr>
        <w:t xml:space="preserve"> отчетности относится к компетенции общего собрания акционеров.</w:t>
      </w:r>
      <w:r w:rsidR="00231E0E" w:rsidRPr="00884713">
        <w:rPr>
          <w:rFonts w:cs="Arial"/>
          <w:spacing w:val="-2"/>
          <w:sz w:val="20"/>
          <w:szCs w:val="20"/>
          <w:lang w:val="ru-RU"/>
        </w:rPr>
        <w:t xml:space="preserve"> </w:t>
      </w:r>
    </w:p>
    <w:p w:rsidR="0075683B" w:rsidRPr="003D5AC4" w:rsidRDefault="0075683B" w:rsidP="00AD5225">
      <w:pPr>
        <w:pStyle w:val="2normal"/>
        <w:jc w:val="both"/>
        <w:rPr>
          <w:rFonts w:cs="Arial"/>
          <w:color w:val="FF0000"/>
          <w:sz w:val="20"/>
          <w:szCs w:val="20"/>
          <w:lang w:val="ru-RU"/>
        </w:rPr>
      </w:pPr>
    </w:p>
    <w:p w:rsidR="00970300" w:rsidRPr="003D5AC4" w:rsidRDefault="00970300" w:rsidP="006F5EF5">
      <w:pPr>
        <w:pStyle w:val="a"/>
        <w:ind w:left="0" w:firstLine="0"/>
      </w:pPr>
      <w:bookmarkStart w:id="3" w:name="_Toc189376421"/>
      <w:bookmarkStart w:id="4" w:name="_Toc355092294"/>
      <w:r w:rsidRPr="003D5AC4">
        <w:t xml:space="preserve">Краткая характеристика деятельности </w:t>
      </w:r>
      <w:bookmarkEnd w:id="3"/>
      <w:bookmarkEnd w:id="4"/>
      <w:r w:rsidR="0011361C" w:rsidRPr="003D5AC4">
        <w:t>Банка</w:t>
      </w:r>
    </w:p>
    <w:p w:rsidR="008121EC" w:rsidRPr="003D5AC4" w:rsidRDefault="008121EC" w:rsidP="008121EC">
      <w:pPr>
        <w:pStyle w:val="2normal"/>
        <w:jc w:val="both"/>
        <w:rPr>
          <w:rFonts w:cs="Arial"/>
          <w:b/>
          <w:color w:val="000000" w:themeColor="text1"/>
          <w:sz w:val="20"/>
          <w:szCs w:val="20"/>
          <w:lang w:val="ru-RU"/>
        </w:rPr>
      </w:pPr>
    </w:p>
    <w:p w:rsidR="008121EC" w:rsidRPr="003D5AC4" w:rsidRDefault="00856080" w:rsidP="008121EC">
      <w:pPr>
        <w:pStyle w:val="2normal"/>
        <w:jc w:val="both"/>
        <w:rPr>
          <w:rFonts w:cs="Arial"/>
          <w:b/>
          <w:color w:val="000000" w:themeColor="text1"/>
          <w:sz w:val="20"/>
          <w:szCs w:val="20"/>
          <w:lang w:val="ru-RU"/>
        </w:rPr>
      </w:pPr>
      <w:r w:rsidRPr="003D5AC4">
        <w:rPr>
          <w:rFonts w:cs="Arial"/>
          <w:b/>
          <w:color w:val="000000" w:themeColor="text1"/>
          <w:sz w:val="20"/>
          <w:szCs w:val="20"/>
          <w:lang w:val="ru-RU"/>
        </w:rPr>
        <w:t>Характер операций и основных направлений деятельности Банка</w:t>
      </w:r>
    </w:p>
    <w:p w:rsidR="0047057C" w:rsidRDefault="0047057C" w:rsidP="008121EC">
      <w:pPr>
        <w:pStyle w:val="2normal"/>
        <w:jc w:val="both"/>
        <w:rPr>
          <w:rFonts w:cs="Arial"/>
          <w:b/>
          <w:color w:val="000000" w:themeColor="text1"/>
          <w:sz w:val="20"/>
          <w:szCs w:val="20"/>
          <w:highlight w:val="yellow"/>
          <w:lang w:val="ru-RU"/>
        </w:rPr>
      </w:pPr>
    </w:p>
    <w:p w:rsidR="00CE4A5E" w:rsidRPr="00192672" w:rsidRDefault="00CE4A5E" w:rsidP="00CE4A5E">
      <w:pPr>
        <w:pStyle w:val="2normal"/>
        <w:jc w:val="both"/>
        <w:rPr>
          <w:sz w:val="20"/>
          <w:szCs w:val="20"/>
          <w:lang w:val="ru-RU"/>
        </w:rPr>
      </w:pPr>
      <w:r>
        <w:rPr>
          <w:sz w:val="20"/>
          <w:szCs w:val="20"/>
          <w:lang w:val="ru-RU"/>
        </w:rPr>
        <w:t xml:space="preserve">ПАО «Норвик </w:t>
      </w:r>
      <w:r w:rsidRPr="00192672">
        <w:rPr>
          <w:sz w:val="20"/>
          <w:szCs w:val="20"/>
          <w:lang w:val="ru-RU"/>
        </w:rPr>
        <w:t xml:space="preserve">Банк» – </w:t>
      </w:r>
      <w:r>
        <w:rPr>
          <w:sz w:val="20"/>
          <w:szCs w:val="20"/>
          <w:lang w:val="ru-RU"/>
        </w:rPr>
        <w:t xml:space="preserve">один из </w:t>
      </w:r>
      <w:r w:rsidRPr="00192672">
        <w:rPr>
          <w:sz w:val="20"/>
          <w:szCs w:val="20"/>
          <w:lang w:val="ru-RU"/>
        </w:rPr>
        <w:t>крупнейши</w:t>
      </w:r>
      <w:r>
        <w:rPr>
          <w:sz w:val="20"/>
          <w:szCs w:val="20"/>
          <w:lang w:val="ru-RU"/>
        </w:rPr>
        <w:t>х</w:t>
      </w:r>
      <w:r w:rsidRPr="00192672">
        <w:rPr>
          <w:sz w:val="20"/>
          <w:szCs w:val="20"/>
          <w:lang w:val="ru-RU"/>
        </w:rPr>
        <w:t xml:space="preserve"> региональны</w:t>
      </w:r>
      <w:r>
        <w:rPr>
          <w:sz w:val="20"/>
          <w:szCs w:val="20"/>
          <w:lang w:val="ru-RU"/>
        </w:rPr>
        <w:t>х</w:t>
      </w:r>
      <w:r w:rsidRPr="00192672">
        <w:rPr>
          <w:sz w:val="20"/>
          <w:szCs w:val="20"/>
          <w:lang w:val="ru-RU"/>
        </w:rPr>
        <w:t xml:space="preserve"> банк</w:t>
      </w:r>
      <w:r>
        <w:rPr>
          <w:sz w:val="20"/>
          <w:szCs w:val="20"/>
          <w:lang w:val="ru-RU"/>
        </w:rPr>
        <w:t>ов</w:t>
      </w:r>
      <w:r w:rsidRPr="00192672">
        <w:rPr>
          <w:sz w:val="20"/>
          <w:szCs w:val="20"/>
          <w:lang w:val="ru-RU"/>
        </w:rPr>
        <w:t xml:space="preserve"> Кировской области, который успешно работает на финансовом рынке, на протяжении 2</w:t>
      </w:r>
      <w:r w:rsidRPr="009A3063">
        <w:rPr>
          <w:sz w:val="20"/>
          <w:szCs w:val="20"/>
          <w:lang w:val="ru-RU"/>
        </w:rPr>
        <w:t>8</w:t>
      </w:r>
      <w:r w:rsidRPr="00192672">
        <w:rPr>
          <w:sz w:val="20"/>
          <w:szCs w:val="20"/>
          <w:lang w:val="ru-RU"/>
        </w:rPr>
        <w:t xml:space="preserve"> лет.</w:t>
      </w:r>
    </w:p>
    <w:p w:rsidR="00CE4A5E" w:rsidRPr="00192672" w:rsidRDefault="00CE4A5E" w:rsidP="00CE4A5E">
      <w:pPr>
        <w:pStyle w:val="2normal"/>
        <w:jc w:val="both"/>
        <w:rPr>
          <w:sz w:val="20"/>
          <w:szCs w:val="20"/>
          <w:lang w:val="ru-RU"/>
        </w:rPr>
      </w:pPr>
    </w:p>
    <w:p w:rsidR="00CE4A5E" w:rsidRPr="00192672" w:rsidRDefault="00CE4A5E" w:rsidP="00CE4A5E">
      <w:pPr>
        <w:pStyle w:val="2normal"/>
        <w:jc w:val="both"/>
        <w:rPr>
          <w:sz w:val="20"/>
          <w:szCs w:val="20"/>
          <w:lang w:val="ru-RU"/>
        </w:rPr>
      </w:pPr>
      <w:r w:rsidRPr="00192672">
        <w:rPr>
          <w:sz w:val="20"/>
          <w:szCs w:val="20"/>
          <w:lang w:val="ru-RU"/>
        </w:rPr>
        <w:t>ПАО «Норвик Банк» оказывает полный спектр банковских услуг в российских рублях и иностранной валюте физическим и юридическим лицам и ведет свою деятельность в следующих основных направлениях:</w:t>
      </w:r>
    </w:p>
    <w:p w:rsidR="00CE4A5E" w:rsidRPr="00192672" w:rsidRDefault="00CE4A5E" w:rsidP="00CE4A5E">
      <w:pPr>
        <w:pStyle w:val="2normal"/>
        <w:numPr>
          <w:ilvl w:val="0"/>
          <w:numId w:val="10"/>
        </w:numPr>
        <w:tabs>
          <w:tab w:val="left" w:pos="851"/>
        </w:tabs>
        <w:ind w:left="0" w:firstLine="567"/>
        <w:jc w:val="both"/>
        <w:rPr>
          <w:sz w:val="20"/>
          <w:szCs w:val="20"/>
          <w:lang w:val="ru-RU"/>
        </w:rPr>
      </w:pPr>
      <w:r w:rsidRPr="00192672">
        <w:rPr>
          <w:sz w:val="20"/>
          <w:szCs w:val="20"/>
          <w:lang w:val="ru-RU"/>
        </w:rPr>
        <w:lastRenderedPageBreak/>
        <w:t>Обслуживание физических лиц – прием вкладов, кредитование (потребительские кредиты,</w:t>
      </w:r>
      <w:r>
        <w:rPr>
          <w:sz w:val="20"/>
          <w:szCs w:val="20"/>
          <w:lang w:val="ru-RU"/>
        </w:rPr>
        <w:t xml:space="preserve"> кредиты под залог недвижимости, </w:t>
      </w:r>
      <w:r w:rsidRPr="00192672">
        <w:rPr>
          <w:sz w:val="20"/>
          <w:szCs w:val="20"/>
          <w:lang w:val="ru-RU"/>
        </w:rPr>
        <w:t xml:space="preserve"> карты с кредитным лимитом, овердрафты), открытие и ведение текущих счетов, выпуск и обслуживание банковских карт, дистанционное банковское обслуживание (интернет-банкинг), осуществление переводов денежных средств (в том числе через системы денежных переводов «Western Union», «Золотая Корона», «Юнистрим»), прием платежей, проведение операций с иностранной валютой, услуги аренды сейфовых ячеек и др.</w:t>
      </w:r>
    </w:p>
    <w:p w:rsidR="00CE4A5E" w:rsidRPr="00192672" w:rsidRDefault="00CE4A5E" w:rsidP="00CE4A5E">
      <w:pPr>
        <w:pStyle w:val="2normal"/>
        <w:numPr>
          <w:ilvl w:val="0"/>
          <w:numId w:val="78"/>
        </w:numPr>
        <w:tabs>
          <w:tab w:val="left" w:pos="851"/>
        </w:tabs>
        <w:ind w:left="0" w:firstLine="567"/>
        <w:jc w:val="both"/>
        <w:rPr>
          <w:sz w:val="20"/>
          <w:szCs w:val="20"/>
          <w:lang w:val="ru-RU"/>
        </w:rPr>
      </w:pPr>
      <w:r w:rsidRPr="00192672">
        <w:rPr>
          <w:sz w:val="20"/>
          <w:szCs w:val="20"/>
          <w:lang w:val="ru-RU"/>
        </w:rPr>
        <w:t>Обслуживание корпоративных клиентов – открытие и ведение расчетных и текущих счетов, расчетно-кассовое обслуживание, кредитование, выдача гарантий, прием депозитов, услуги инкассации, заключение зарплатных проектов, выпуск корпоративных пластиковых карт, дистанционное банковское обслуживание (интернет-банкинг), проведение операций с иностранной валютой и др.</w:t>
      </w:r>
    </w:p>
    <w:p w:rsidR="00CE4A5E" w:rsidRDefault="00CE4A5E" w:rsidP="00CE4A5E">
      <w:pPr>
        <w:pStyle w:val="2normal"/>
        <w:numPr>
          <w:ilvl w:val="0"/>
          <w:numId w:val="78"/>
        </w:numPr>
        <w:tabs>
          <w:tab w:val="left" w:pos="851"/>
        </w:tabs>
        <w:ind w:left="0" w:firstLine="567"/>
        <w:jc w:val="both"/>
        <w:rPr>
          <w:sz w:val="20"/>
          <w:szCs w:val="20"/>
          <w:lang w:val="ru-RU"/>
        </w:rPr>
      </w:pPr>
      <w:r w:rsidRPr="00192672">
        <w:rPr>
          <w:sz w:val="20"/>
          <w:szCs w:val="20"/>
          <w:lang w:val="ru-RU"/>
        </w:rPr>
        <w:t>Операции на финансовых рынках – операции с ценными бумагами (в том числе выпуск собственных векселей), производными финансовыми инструментами, операции на валютном рынке; размещение и привлечение средств на межбанковском рынке и др.</w:t>
      </w:r>
    </w:p>
    <w:p w:rsidR="00CE4A5E" w:rsidRPr="00192672" w:rsidRDefault="00CE4A5E" w:rsidP="00CE4A5E">
      <w:pPr>
        <w:pStyle w:val="2normal"/>
        <w:tabs>
          <w:tab w:val="left" w:pos="851"/>
        </w:tabs>
        <w:ind w:left="567"/>
        <w:jc w:val="both"/>
        <w:rPr>
          <w:sz w:val="20"/>
          <w:szCs w:val="20"/>
          <w:lang w:val="ru-RU"/>
        </w:rPr>
      </w:pPr>
    </w:p>
    <w:p w:rsidR="00CE4A5E" w:rsidRPr="00192672" w:rsidRDefault="00CE4A5E" w:rsidP="00CE4A5E">
      <w:pPr>
        <w:pStyle w:val="2normal"/>
        <w:jc w:val="both"/>
        <w:rPr>
          <w:sz w:val="20"/>
          <w:szCs w:val="20"/>
          <w:lang w:val="ru-RU"/>
        </w:rPr>
      </w:pPr>
      <w:r w:rsidRPr="00192672">
        <w:rPr>
          <w:sz w:val="20"/>
          <w:szCs w:val="20"/>
          <w:lang w:val="ru-RU"/>
        </w:rPr>
        <w:t>Банк имеет широкую разветвленную офисную сеть, которая по состоянию на 01 января 201</w:t>
      </w:r>
      <w:r w:rsidRPr="009A3063">
        <w:rPr>
          <w:sz w:val="20"/>
          <w:szCs w:val="20"/>
          <w:lang w:val="ru-RU"/>
        </w:rPr>
        <w:t>9</w:t>
      </w:r>
      <w:r w:rsidRPr="00192672">
        <w:rPr>
          <w:sz w:val="20"/>
          <w:szCs w:val="20"/>
          <w:lang w:val="ru-RU"/>
        </w:rPr>
        <w:t xml:space="preserve"> года насчитывает 3</w:t>
      </w:r>
      <w:r>
        <w:rPr>
          <w:sz w:val="20"/>
          <w:szCs w:val="20"/>
          <w:lang w:val="ru-RU"/>
        </w:rPr>
        <w:t>8</w:t>
      </w:r>
      <w:r w:rsidRPr="00192672">
        <w:rPr>
          <w:sz w:val="20"/>
          <w:szCs w:val="20"/>
          <w:lang w:val="ru-RU"/>
        </w:rPr>
        <w:t xml:space="preserve"> точек продаж и обслуживания, в том числе:</w:t>
      </w:r>
    </w:p>
    <w:p w:rsidR="00CE4A5E" w:rsidRPr="00192672" w:rsidRDefault="00CE4A5E" w:rsidP="00CE4A5E">
      <w:pPr>
        <w:pStyle w:val="2normal"/>
        <w:numPr>
          <w:ilvl w:val="0"/>
          <w:numId w:val="79"/>
        </w:numPr>
        <w:tabs>
          <w:tab w:val="left" w:pos="851"/>
        </w:tabs>
        <w:ind w:left="0" w:firstLine="567"/>
        <w:jc w:val="both"/>
        <w:rPr>
          <w:sz w:val="20"/>
          <w:szCs w:val="20"/>
          <w:lang w:val="ru-RU"/>
        </w:rPr>
      </w:pPr>
      <w:r w:rsidRPr="00E13E5F">
        <w:rPr>
          <w:sz w:val="20"/>
          <w:szCs w:val="20"/>
          <w:lang w:val="ru-RU"/>
        </w:rPr>
        <w:t>3</w:t>
      </w:r>
      <w:r>
        <w:rPr>
          <w:sz w:val="20"/>
          <w:szCs w:val="20"/>
          <w:lang w:val="ru-RU"/>
        </w:rPr>
        <w:t>3</w:t>
      </w:r>
      <w:r w:rsidRPr="00192672">
        <w:rPr>
          <w:sz w:val="20"/>
          <w:szCs w:val="20"/>
          <w:lang w:val="ru-RU"/>
        </w:rPr>
        <w:t xml:space="preserve"> дополнительных офис</w:t>
      </w:r>
      <w:r>
        <w:rPr>
          <w:sz w:val="20"/>
          <w:szCs w:val="20"/>
          <w:lang w:val="ru-RU"/>
        </w:rPr>
        <w:t>а</w:t>
      </w:r>
      <w:r w:rsidRPr="00192672">
        <w:rPr>
          <w:sz w:val="20"/>
          <w:szCs w:val="20"/>
          <w:lang w:val="ru-RU"/>
        </w:rPr>
        <w:t>, расположенных на территории г. Кирова и Кировской области;</w:t>
      </w:r>
    </w:p>
    <w:p w:rsidR="00CE4A5E" w:rsidRPr="00192672" w:rsidRDefault="00CE4A5E" w:rsidP="00CE4A5E">
      <w:pPr>
        <w:pStyle w:val="2normal"/>
        <w:numPr>
          <w:ilvl w:val="0"/>
          <w:numId w:val="79"/>
        </w:numPr>
        <w:tabs>
          <w:tab w:val="left" w:pos="851"/>
        </w:tabs>
        <w:ind w:left="0" w:firstLine="567"/>
        <w:jc w:val="both"/>
        <w:rPr>
          <w:sz w:val="20"/>
          <w:szCs w:val="20"/>
          <w:lang w:val="ru-RU"/>
        </w:rPr>
      </w:pPr>
      <w:r w:rsidRPr="00192672">
        <w:rPr>
          <w:sz w:val="20"/>
          <w:szCs w:val="20"/>
          <w:lang w:val="ru-RU"/>
        </w:rPr>
        <w:t>4 операционных офис</w:t>
      </w:r>
      <w:r>
        <w:rPr>
          <w:sz w:val="20"/>
          <w:szCs w:val="20"/>
          <w:lang w:val="ru-RU"/>
        </w:rPr>
        <w:t>а</w:t>
      </w:r>
      <w:r w:rsidRPr="00192672">
        <w:rPr>
          <w:sz w:val="20"/>
          <w:szCs w:val="20"/>
          <w:lang w:val="ru-RU"/>
        </w:rPr>
        <w:t>, расположенных в г. Йошкар-Ола (2 офиса), г. Пермь, г. Нижний Новгород;</w:t>
      </w:r>
    </w:p>
    <w:p w:rsidR="00CE4A5E" w:rsidRPr="00192672" w:rsidRDefault="00CE4A5E" w:rsidP="00CE4A5E">
      <w:pPr>
        <w:pStyle w:val="2normal"/>
        <w:numPr>
          <w:ilvl w:val="0"/>
          <w:numId w:val="79"/>
        </w:numPr>
        <w:tabs>
          <w:tab w:val="left" w:pos="851"/>
        </w:tabs>
        <w:ind w:left="0" w:firstLine="567"/>
        <w:jc w:val="both"/>
        <w:rPr>
          <w:sz w:val="20"/>
          <w:szCs w:val="20"/>
          <w:lang w:val="ru-RU"/>
        </w:rPr>
      </w:pPr>
      <w:r w:rsidRPr="00192672">
        <w:rPr>
          <w:sz w:val="20"/>
          <w:szCs w:val="20"/>
          <w:lang w:val="ru-RU"/>
        </w:rPr>
        <w:t>1 филиал, расположенный в г. Москве.</w:t>
      </w:r>
    </w:p>
    <w:p w:rsidR="00CE4A5E" w:rsidRPr="00192672" w:rsidRDefault="00CE4A5E" w:rsidP="00CE4A5E">
      <w:pPr>
        <w:pStyle w:val="2normal"/>
        <w:jc w:val="both"/>
        <w:rPr>
          <w:sz w:val="20"/>
          <w:szCs w:val="20"/>
          <w:lang w:val="ru-RU"/>
        </w:rPr>
      </w:pPr>
      <w:r w:rsidRPr="00192672">
        <w:rPr>
          <w:sz w:val="20"/>
          <w:szCs w:val="20"/>
          <w:lang w:val="ru-RU"/>
        </w:rPr>
        <w:t>Также на территории г. Москвы функционирует Представительство ПАО «Норвик банк».</w:t>
      </w:r>
    </w:p>
    <w:p w:rsidR="00CE4A5E" w:rsidRPr="00192672" w:rsidRDefault="00CE4A5E" w:rsidP="00CE4A5E">
      <w:pPr>
        <w:pStyle w:val="2normal"/>
        <w:jc w:val="both"/>
        <w:rPr>
          <w:sz w:val="20"/>
          <w:szCs w:val="20"/>
          <w:lang w:val="ru-RU"/>
        </w:rPr>
      </w:pPr>
      <w:r w:rsidRPr="00192672">
        <w:rPr>
          <w:sz w:val="20"/>
          <w:szCs w:val="20"/>
          <w:lang w:val="ru-RU"/>
        </w:rPr>
        <w:t>В 201</w:t>
      </w:r>
      <w:r>
        <w:rPr>
          <w:sz w:val="20"/>
          <w:szCs w:val="20"/>
          <w:lang w:val="ru-RU"/>
        </w:rPr>
        <w:t>8</w:t>
      </w:r>
      <w:r w:rsidRPr="00192672">
        <w:rPr>
          <w:sz w:val="20"/>
          <w:szCs w:val="20"/>
          <w:lang w:val="ru-RU"/>
        </w:rPr>
        <w:t xml:space="preserve"> год</w:t>
      </w:r>
      <w:r>
        <w:rPr>
          <w:sz w:val="20"/>
          <w:szCs w:val="20"/>
          <w:lang w:val="ru-RU"/>
        </w:rPr>
        <w:t>у</w:t>
      </w:r>
      <w:r w:rsidRPr="00192672">
        <w:rPr>
          <w:sz w:val="20"/>
          <w:szCs w:val="20"/>
          <w:lang w:val="ru-RU"/>
        </w:rPr>
        <w:t xml:space="preserve"> в целях развития и расширения филиальной сети Банка был открыт</w:t>
      </w:r>
      <w:r>
        <w:rPr>
          <w:sz w:val="20"/>
          <w:szCs w:val="20"/>
          <w:lang w:val="ru-RU"/>
        </w:rPr>
        <w:t xml:space="preserve"> новый </w:t>
      </w:r>
      <w:r w:rsidRPr="00192672">
        <w:rPr>
          <w:sz w:val="20"/>
          <w:szCs w:val="20"/>
          <w:lang w:val="ru-RU"/>
        </w:rPr>
        <w:t>дополнительн</w:t>
      </w:r>
      <w:r>
        <w:rPr>
          <w:sz w:val="20"/>
          <w:szCs w:val="20"/>
          <w:lang w:val="ru-RU"/>
        </w:rPr>
        <w:t>ый</w:t>
      </w:r>
      <w:r w:rsidRPr="00192672">
        <w:rPr>
          <w:sz w:val="20"/>
          <w:szCs w:val="20"/>
          <w:lang w:val="ru-RU"/>
        </w:rPr>
        <w:t xml:space="preserve"> офис в г.</w:t>
      </w:r>
      <w:r>
        <w:rPr>
          <w:sz w:val="20"/>
          <w:szCs w:val="20"/>
          <w:lang w:val="ru-RU"/>
        </w:rPr>
        <w:t xml:space="preserve"> Кирове (Солнечный берег)</w:t>
      </w:r>
      <w:r w:rsidRPr="00192672">
        <w:rPr>
          <w:sz w:val="20"/>
          <w:szCs w:val="20"/>
          <w:lang w:val="ru-RU"/>
        </w:rPr>
        <w:t>. Развитие сети дополнительных офисов направлено на укрепление позиций Банка в качестве одного из ведущих финансовых институтов в домашнем регионе, который помогает клиентам решать свои финансовые задачи максимально к</w:t>
      </w:r>
      <w:r>
        <w:rPr>
          <w:sz w:val="20"/>
          <w:szCs w:val="20"/>
          <w:lang w:val="ru-RU"/>
        </w:rPr>
        <w:t>ачественно, быстро и комфортно.</w:t>
      </w:r>
    </w:p>
    <w:p w:rsidR="00CE4A5E" w:rsidRDefault="00CE4A5E" w:rsidP="00CE4A5E">
      <w:pPr>
        <w:pStyle w:val="2normal"/>
        <w:jc w:val="both"/>
        <w:rPr>
          <w:sz w:val="20"/>
          <w:szCs w:val="20"/>
          <w:lang w:val="ru-RU"/>
        </w:rPr>
      </w:pPr>
      <w:r w:rsidRPr="003338DC">
        <w:rPr>
          <w:sz w:val="20"/>
          <w:szCs w:val="20"/>
          <w:lang w:val="ru-RU"/>
        </w:rPr>
        <w:t xml:space="preserve">Согласно данным рейтинга Банки.ру (http://www.banki.ru/banks/ratings/) на 1 января 2018 года ПАО «Норвик Банк» занимает следующие позиции среди </w:t>
      </w:r>
      <w:r>
        <w:rPr>
          <w:sz w:val="20"/>
          <w:szCs w:val="20"/>
          <w:lang w:val="ru-RU"/>
        </w:rPr>
        <w:t>483</w:t>
      </w:r>
      <w:r w:rsidRPr="003338DC">
        <w:rPr>
          <w:sz w:val="20"/>
          <w:szCs w:val="20"/>
          <w:lang w:val="ru-RU"/>
        </w:rPr>
        <w:t xml:space="preserve"> банк</w:t>
      </w:r>
      <w:r>
        <w:rPr>
          <w:sz w:val="20"/>
          <w:szCs w:val="20"/>
          <w:lang w:val="ru-RU"/>
        </w:rPr>
        <w:t>ов</w:t>
      </w:r>
      <w:r w:rsidRPr="003338DC">
        <w:rPr>
          <w:sz w:val="20"/>
          <w:szCs w:val="20"/>
          <w:lang w:val="ru-RU"/>
        </w:rPr>
        <w:t xml:space="preserve"> России:</w:t>
      </w:r>
    </w:p>
    <w:p w:rsidR="00CE4A5E" w:rsidRDefault="00CE4A5E" w:rsidP="00CE4A5E">
      <w:pPr>
        <w:pStyle w:val="2normal"/>
        <w:jc w:val="both"/>
        <w:rPr>
          <w:sz w:val="20"/>
          <w:szCs w:val="20"/>
          <w:lang w:val="ru-RU"/>
        </w:rPr>
      </w:pPr>
    </w:p>
    <w:tbl>
      <w:tblPr>
        <w:tblW w:w="9371" w:type="dxa"/>
        <w:tblInd w:w="93" w:type="dxa"/>
        <w:tblLook w:val="04A0" w:firstRow="1" w:lastRow="0" w:firstColumn="1" w:lastColumn="0" w:noHBand="0" w:noVBand="1"/>
      </w:tblPr>
      <w:tblGrid>
        <w:gridCol w:w="3900"/>
        <w:gridCol w:w="1785"/>
        <w:gridCol w:w="1843"/>
        <w:gridCol w:w="1843"/>
      </w:tblGrid>
      <w:tr w:rsidR="00CE4A5E" w:rsidRPr="00317B0B" w:rsidTr="00B53D00">
        <w:trPr>
          <w:trHeight w:val="465"/>
        </w:trPr>
        <w:tc>
          <w:tcPr>
            <w:tcW w:w="3900" w:type="dxa"/>
            <w:tcBorders>
              <w:top w:val="single" w:sz="8" w:space="0" w:color="auto"/>
              <w:left w:val="nil"/>
              <w:bottom w:val="single" w:sz="8" w:space="0" w:color="auto"/>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b/>
                <w:bCs/>
                <w:color w:val="000000"/>
                <w:sz w:val="16"/>
                <w:szCs w:val="16"/>
                <w:lang w:val="ru-RU" w:eastAsia="ru-RU"/>
              </w:rPr>
            </w:pPr>
            <w:r w:rsidRPr="00317B0B">
              <w:rPr>
                <w:rFonts w:cs="Arial"/>
                <w:b/>
                <w:bCs/>
                <w:color w:val="000000"/>
                <w:sz w:val="16"/>
                <w:szCs w:val="16"/>
                <w:lang w:val="ru-RU" w:eastAsia="ru-RU"/>
              </w:rPr>
              <w:t>Показатель</w:t>
            </w:r>
          </w:p>
        </w:tc>
        <w:tc>
          <w:tcPr>
            <w:tcW w:w="1785" w:type="dxa"/>
            <w:tcBorders>
              <w:top w:val="single" w:sz="8" w:space="0" w:color="auto"/>
              <w:left w:val="nil"/>
              <w:bottom w:val="single" w:sz="8" w:space="0" w:color="auto"/>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b/>
                <w:bCs/>
                <w:color w:val="000000"/>
                <w:sz w:val="16"/>
                <w:szCs w:val="16"/>
                <w:lang w:val="ru-RU" w:eastAsia="ru-RU"/>
              </w:rPr>
            </w:pPr>
            <w:r w:rsidRPr="00317B0B">
              <w:rPr>
                <w:rFonts w:cs="Arial"/>
                <w:b/>
                <w:bCs/>
                <w:color w:val="000000"/>
                <w:sz w:val="16"/>
                <w:szCs w:val="16"/>
                <w:lang w:val="ru-RU" w:eastAsia="ru-RU"/>
              </w:rPr>
              <w:t>Место на 01.01.1</w:t>
            </w:r>
            <w:r>
              <w:rPr>
                <w:rFonts w:cs="Arial"/>
                <w:b/>
                <w:bCs/>
                <w:color w:val="000000"/>
                <w:sz w:val="16"/>
                <w:szCs w:val="16"/>
                <w:lang w:val="ru-RU" w:eastAsia="ru-RU"/>
              </w:rPr>
              <w:t>9</w:t>
            </w:r>
          </w:p>
        </w:tc>
        <w:tc>
          <w:tcPr>
            <w:tcW w:w="1843" w:type="dxa"/>
            <w:tcBorders>
              <w:top w:val="single" w:sz="8" w:space="0" w:color="auto"/>
              <w:left w:val="nil"/>
              <w:bottom w:val="single" w:sz="8" w:space="0" w:color="auto"/>
              <w:right w:val="nil"/>
            </w:tcBorders>
            <w:vAlign w:val="center"/>
          </w:tcPr>
          <w:p w:rsidR="00CE4A5E" w:rsidRPr="00317B0B" w:rsidRDefault="00CE4A5E" w:rsidP="00B53D00">
            <w:pPr>
              <w:overflowPunct/>
              <w:autoSpaceDE/>
              <w:autoSpaceDN/>
              <w:adjustRightInd/>
              <w:jc w:val="center"/>
              <w:textAlignment w:val="auto"/>
              <w:rPr>
                <w:rFonts w:cs="Arial"/>
                <w:b/>
                <w:bCs/>
                <w:color w:val="000000"/>
                <w:sz w:val="16"/>
                <w:szCs w:val="16"/>
                <w:lang w:val="ru-RU" w:eastAsia="ru-RU"/>
              </w:rPr>
            </w:pPr>
            <w:r w:rsidRPr="00317B0B">
              <w:rPr>
                <w:rFonts w:cs="Arial"/>
                <w:b/>
                <w:bCs/>
                <w:color w:val="000000"/>
                <w:sz w:val="16"/>
                <w:szCs w:val="16"/>
                <w:lang w:val="ru-RU" w:eastAsia="ru-RU"/>
              </w:rPr>
              <w:t>Место на 01.01.18</w:t>
            </w:r>
          </w:p>
        </w:tc>
        <w:tc>
          <w:tcPr>
            <w:tcW w:w="1843" w:type="dxa"/>
            <w:tcBorders>
              <w:top w:val="single" w:sz="8" w:space="0" w:color="auto"/>
              <w:left w:val="nil"/>
              <w:bottom w:val="single" w:sz="8" w:space="0" w:color="auto"/>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b/>
                <w:bCs/>
                <w:color w:val="000000"/>
                <w:sz w:val="16"/>
                <w:szCs w:val="16"/>
                <w:lang w:val="ru-RU" w:eastAsia="ru-RU"/>
              </w:rPr>
            </w:pPr>
            <w:r w:rsidRPr="00317B0B">
              <w:rPr>
                <w:rFonts w:cs="Arial"/>
                <w:b/>
                <w:bCs/>
                <w:color w:val="000000"/>
                <w:sz w:val="16"/>
                <w:szCs w:val="16"/>
                <w:lang w:val="ru-RU" w:eastAsia="ru-RU"/>
              </w:rPr>
              <w:t>Изменение за 201</w:t>
            </w:r>
            <w:r>
              <w:rPr>
                <w:rFonts w:cs="Arial"/>
                <w:b/>
                <w:bCs/>
                <w:color w:val="000000"/>
                <w:sz w:val="16"/>
                <w:szCs w:val="16"/>
                <w:lang w:val="ru-RU" w:eastAsia="ru-RU"/>
              </w:rPr>
              <w:t>8</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Активы нетто</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176</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187</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Pr>
                <w:rFonts w:cs="Arial"/>
                <w:color w:val="000000"/>
                <w:szCs w:val="16"/>
                <w:lang w:val="ru-RU"/>
              </w:rPr>
              <w:t xml:space="preserve">+ </w:t>
            </w:r>
            <w:r w:rsidRPr="006C0A64">
              <w:rPr>
                <w:rFonts w:cs="Arial"/>
                <w:color w:val="000000"/>
                <w:szCs w:val="16"/>
              </w:rPr>
              <w:t>11</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Капитал по форме 123</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181</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179</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sidRPr="006C0A64">
              <w:rPr>
                <w:rFonts w:cs="Arial"/>
                <w:color w:val="000000"/>
                <w:szCs w:val="16"/>
              </w:rPr>
              <w:t>-</w:t>
            </w:r>
            <w:r>
              <w:rPr>
                <w:rFonts w:cs="Arial"/>
                <w:color w:val="000000"/>
                <w:szCs w:val="16"/>
              </w:rPr>
              <w:t xml:space="preserve"> </w:t>
            </w:r>
            <w:r w:rsidRPr="006C0A64">
              <w:rPr>
                <w:rFonts w:cs="Arial"/>
                <w:color w:val="000000"/>
                <w:szCs w:val="16"/>
              </w:rPr>
              <w:t>2</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Кредиты физическим лицам</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121</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149</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Pr>
                <w:rFonts w:cs="Arial"/>
                <w:color w:val="000000"/>
                <w:szCs w:val="16"/>
                <w:lang w:val="ru-RU"/>
              </w:rPr>
              <w:t xml:space="preserve">+ </w:t>
            </w:r>
            <w:r w:rsidRPr="006C0A64">
              <w:rPr>
                <w:rFonts w:cs="Arial"/>
                <w:color w:val="000000"/>
                <w:szCs w:val="16"/>
              </w:rPr>
              <w:t>28</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Кредиты предприятиям и организациям</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155</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178</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Pr>
                <w:rFonts w:cs="Arial"/>
                <w:color w:val="000000"/>
                <w:szCs w:val="16"/>
                <w:lang w:val="ru-RU"/>
              </w:rPr>
              <w:t xml:space="preserve">+ </w:t>
            </w:r>
            <w:r w:rsidRPr="006C0A64">
              <w:rPr>
                <w:rFonts w:cs="Arial"/>
                <w:color w:val="000000"/>
                <w:szCs w:val="16"/>
              </w:rPr>
              <w:t>23</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Вклады физических лиц</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109</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116</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Pr>
                <w:rFonts w:cs="Arial"/>
                <w:color w:val="000000"/>
                <w:szCs w:val="16"/>
                <w:lang w:val="ru-RU"/>
              </w:rPr>
              <w:t xml:space="preserve">+ </w:t>
            </w:r>
            <w:r w:rsidRPr="006C0A64">
              <w:rPr>
                <w:rFonts w:cs="Arial"/>
                <w:color w:val="000000"/>
                <w:szCs w:val="16"/>
              </w:rPr>
              <w:t>7</w:t>
            </w:r>
          </w:p>
        </w:tc>
      </w:tr>
      <w:tr w:rsidR="00CE4A5E" w:rsidRPr="00317B0B" w:rsidTr="00B53D00">
        <w:trPr>
          <w:trHeight w:val="300"/>
        </w:trPr>
        <w:tc>
          <w:tcPr>
            <w:tcW w:w="390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Средства предприятий и организаций</w:t>
            </w:r>
          </w:p>
        </w:tc>
        <w:tc>
          <w:tcPr>
            <w:tcW w:w="1785"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183</w:t>
            </w:r>
          </w:p>
        </w:tc>
        <w:tc>
          <w:tcPr>
            <w:tcW w:w="1843" w:type="dxa"/>
            <w:tcBorders>
              <w:top w:val="nil"/>
              <w:left w:val="nil"/>
              <w:bottom w:val="nil"/>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195</w:t>
            </w:r>
          </w:p>
        </w:tc>
        <w:tc>
          <w:tcPr>
            <w:tcW w:w="1843" w:type="dxa"/>
            <w:tcBorders>
              <w:top w:val="nil"/>
              <w:left w:val="nil"/>
              <w:bottom w:val="nil"/>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Pr>
                <w:rFonts w:cs="Arial"/>
                <w:color w:val="000000"/>
                <w:szCs w:val="16"/>
                <w:lang w:val="ru-RU"/>
              </w:rPr>
              <w:t xml:space="preserve">+ </w:t>
            </w:r>
            <w:r w:rsidRPr="006C0A64">
              <w:rPr>
                <w:rFonts w:cs="Arial"/>
                <w:color w:val="000000"/>
                <w:szCs w:val="16"/>
              </w:rPr>
              <w:t>12</w:t>
            </w:r>
          </w:p>
        </w:tc>
      </w:tr>
      <w:tr w:rsidR="00CE4A5E" w:rsidRPr="00317B0B" w:rsidTr="00B53D00">
        <w:trPr>
          <w:trHeight w:val="315"/>
        </w:trPr>
        <w:tc>
          <w:tcPr>
            <w:tcW w:w="3900" w:type="dxa"/>
            <w:tcBorders>
              <w:top w:val="nil"/>
              <w:left w:val="nil"/>
              <w:bottom w:val="double" w:sz="6" w:space="0" w:color="auto"/>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Вложения в ценные бумаги</w:t>
            </w:r>
          </w:p>
        </w:tc>
        <w:tc>
          <w:tcPr>
            <w:tcW w:w="1785" w:type="dxa"/>
            <w:tcBorders>
              <w:top w:val="nil"/>
              <w:left w:val="nil"/>
              <w:bottom w:val="double" w:sz="6" w:space="0" w:color="auto"/>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6C0A64">
              <w:rPr>
                <w:rFonts w:cs="Arial"/>
                <w:color w:val="000000"/>
                <w:szCs w:val="16"/>
                <w:lang w:val="ru-RU" w:eastAsia="ru-RU"/>
              </w:rPr>
              <w:t>112</w:t>
            </w:r>
          </w:p>
        </w:tc>
        <w:tc>
          <w:tcPr>
            <w:tcW w:w="1843" w:type="dxa"/>
            <w:tcBorders>
              <w:top w:val="nil"/>
              <w:left w:val="nil"/>
              <w:bottom w:val="double" w:sz="6" w:space="0" w:color="auto"/>
              <w:right w:val="nil"/>
            </w:tcBorders>
            <w:vAlign w:val="center"/>
          </w:tcPr>
          <w:p w:rsidR="00CE4A5E" w:rsidRPr="00317B0B" w:rsidRDefault="00CE4A5E" w:rsidP="00B53D00">
            <w:pPr>
              <w:overflowPunct/>
              <w:autoSpaceDE/>
              <w:autoSpaceDN/>
              <w:adjustRightInd/>
              <w:jc w:val="center"/>
              <w:textAlignment w:val="auto"/>
              <w:rPr>
                <w:rFonts w:cs="Arial"/>
                <w:color w:val="000000"/>
                <w:szCs w:val="16"/>
                <w:lang w:val="ru-RU" w:eastAsia="ru-RU"/>
              </w:rPr>
            </w:pPr>
            <w:r w:rsidRPr="00317B0B">
              <w:rPr>
                <w:rFonts w:cs="Arial"/>
                <w:color w:val="000000"/>
                <w:szCs w:val="16"/>
                <w:lang w:val="ru-RU" w:eastAsia="ru-RU"/>
              </w:rPr>
              <w:t>107</w:t>
            </w:r>
          </w:p>
        </w:tc>
        <w:tc>
          <w:tcPr>
            <w:tcW w:w="1843" w:type="dxa"/>
            <w:tcBorders>
              <w:top w:val="nil"/>
              <w:left w:val="nil"/>
              <w:bottom w:val="double" w:sz="6" w:space="0" w:color="auto"/>
              <w:right w:val="nil"/>
            </w:tcBorders>
            <w:shd w:val="clear" w:color="auto" w:fill="auto"/>
            <w:vAlign w:val="center"/>
            <w:hideMark/>
          </w:tcPr>
          <w:p w:rsidR="00CE4A5E" w:rsidRPr="006C0A64" w:rsidRDefault="00CE4A5E" w:rsidP="00B53D00">
            <w:pPr>
              <w:overflowPunct/>
              <w:autoSpaceDE/>
              <w:autoSpaceDN/>
              <w:adjustRightInd/>
              <w:ind w:left="176" w:right="459"/>
              <w:jc w:val="right"/>
              <w:textAlignment w:val="auto"/>
              <w:rPr>
                <w:rFonts w:cs="Arial"/>
                <w:color w:val="000000"/>
                <w:szCs w:val="16"/>
                <w:lang w:val="ru-RU" w:eastAsia="ru-RU"/>
              </w:rPr>
            </w:pPr>
            <w:r w:rsidRPr="006C0A64">
              <w:rPr>
                <w:rFonts w:cs="Arial"/>
                <w:color w:val="000000"/>
                <w:szCs w:val="16"/>
              </w:rPr>
              <w:t>-</w:t>
            </w:r>
            <w:r>
              <w:rPr>
                <w:rFonts w:cs="Arial"/>
                <w:color w:val="000000"/>
                <w:szCs w:val="16"/>
              </w:rPr>
              <w:t xml:space="preserve"> </w:t>
            </w:r>
            <w:r w:rsidRPr="006C0A64">
              <w:rPr>
                <w:rFonts w:cs="Arial"/>
                <w:color w:val="000000"/>
                <w:szCs w:val="16"/>
              </w:rPr>
              <w:t>5</w:t>
            </w:r>
          </w:p>
        </w:tc>
      </w:tr>
    </w:tbl>
    <w:p w:rsidR="00CE4A5E" w:rsidRPr="006149A9" w:rsidRDefault="00CE4A5E" w:rsidP="00CE4A5E">
      <w:pPr>
        <w:pStyle w:val="2normal"/>
        <w:jc w:val="both"/>
        <w:rPr>
          <w:sz w:val="20"/>
          <w:szCs w:val="20"/>
          <w:highlight w:val="yellow"/>
          <w:lang w:val="ru-RU"/>
        </w:rPr>
      </w:pPr>
    </w:p>
    <w:p w:rsidR="00CE4A5E" w:rsidRPr="00856080" w:rsidRDefault="00CE4A5E" w:rsidP="00CE4A5E">
      <w:pPr>
        <w:pStyle w:val="2normal"/>
        <w:jc w:val="both"/>
        <w:rPr>
          <w:rFonts w:cs="Arial"/>
          <w:b/>
          <w:sz w:val="20"/>
          <w:szCs w:val="20"/>
          <w:lang w:val="ru-RU"/>
        </w:rPr>
      </w:pPr>
      <w:r w:rsidRPr="00856080">
        <w:rPr>
          <w:rFonts w:cs="Arial"/>
          <w:b/>
          <w:sz w:val="20"/>
          <w:szCs w:val="20"/>
          <w:lang w:val="ru-RU"/>
        </w:rPr>
        <w:t>Основные показатели деятельности и факторы, повлиявшие в отчетном году на финансовые результаты деятельности Банка</w:t>
      </w:r>
    </w:p>
    <w:p w:rsidR="00CE4A5E" w:rsidRPr="00632CA0" w:rsidRDefault="00CE4A5E" w:rsidP="00CE4A5E">
      <w:pPr>
        <w:pStyle w:val="2normal"/>
        <w:jc w:val="both"/>
        <w:rPr>
          <w:rFonts w:cs="Arial"/>
          <w:b/>
          <w:sz w:val="20"/>
          <w:szCs w:val="20"/>
          <w:lang w:val="ru-RU"/>
        </w:rPr>
      </w:pPr>
    </w:p>
    <w:p w:rsidR="00CE4A5E" w:rsidRPr="003338DC" w:rsidRDefault="00CE4A5E" w:rsidP="00CE4A5E">
      <w:pPr>
        <w:pStyle w:val="2normal"/>
        <w:jc w:val="both"/>
        <w:rPr>
          <w:b/>
          <w:sz w:val="20"/>
          <w:szCs w:val="20"/>
          <w:lang w:val="en-US"/>
        </w:rPr>
      </w:pPr>
      <w:r w:rsidRPr="003338DC">
        <w:rPr>
          <w:b/>
          <w:sz w:val="20"/>
          <w:szCs w:val="20"/>
          <w:lang w:val="ru-RU"/>
        </w:rPr>
        <w:t>Динамика основных показателей деятельности Банка</w:t>
      </w:r>
    </w:p>
    <w:p w:rsidR="00CE4A5E" w:rsidRPr="00473609" w:rsidRDefault="00CE4A5E" w:rsidP="00CE4A5E">
      <w:pPr>
        <w:pStyle w:val="2normal"/>
        <w:jc w:val="both"/>
        <w:rPr>
          <w:b/>
          <w:sz w:val="20"/>
          <w:szCs w:val="20"/>
          <w:highlight w:val="green"/>
          <w:lang w:val="en-US"/>
        </w:rPr>
      </w:pPr>
    </w:p>
    <w:tbl>
      <w:tblPr>
        <w:tblW w:w="9371" w:type="dxa"/>
        <w:tblInd w:w="93" w:type="dxa"/>
        <w:tblLook w:val="04A0" w:firstRow="1" w:lastRow="0" w:firstColumn="1" w:lastColumn="0" w:noHBand="0" w:noVBand="1"/>
      </w:tblPr>
      <w:tblGrid>
        <w:gridCol w:w="4410"/>
        <w:gridCol w:w="3118"/>
        <w:gridCol w:w="1843"/>
      </w:tblGrid>
      <w:tr w:rsidR="00CE4A5E" w:rsidRPr="00473609" w:rsidTr="00B53D00">
        <w:trPr>
          <w:trHeight w:val="315"/>
          <w:tblHeader/>
        </w:trPr>
        <w:tc>
          <w:tcPr>
            <w:tcW w:w="4410" w:type="dxa"/>
            <w:tcBorders>
              <w:top w:val="single" w:sz="4" w:space="0" w:color="auto"/>
              <w:left w:val="nil"/>
              <w:bottom w:val="single" w:sz="8" w:space="0" w:color="auto"/>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b/>
                <w:bCs/>
                <w:color w:val="000000"/>
                <w:sz w:val="16"/>
                <w:szCs w:val="16"/>
                <w:lang w:val="ru-RU" w:eastAsia="ru-RU"/>
              </w:rPr>
            </w:pPr>
            <w:r w:rsidRPr="00317B0B">
              <w:rPr>
                <w:rFonts w:cs="Arial"/>
                <w:b/>
                <w:bCs/>
                <w:color w:val="000000"/>
                <w:sz w:val="16"/>
                <w:szCs w:val="16"/>
                <w:lang w:val="ru-RU" w:eastAsia="ru-RU"/>
              </w:rPr>
              <w:t>Показатели</w:t>
            </w:r>
          </w:p>
        </w:tc>
        <w:tc>
          <w:tcPr>
            <w:tcW w:w="3118" w:type="dxa"/>
            <w:tcBorders>
              <w:top w:val="single" w:sz="4" w:space="0" w:color="auto"/>
              <w:left w:val="nil"/>
              <w:bottom w:val="single" w:sz="8" w:space="0" w:color="auto"/>
              <w:right w:val="nil"/>
            </w:tcBorders>
            <w:shd w:val="clear" w:color="auto" w:fill="auto"/>
            <w:vAlign w:val="center"/>
            <w:hideMark/>
          </w:tcPr>
          <w:p w:rsidR="00CE4A5E" w:rsidRPr="00317B0B" w:rsidRDefault="00CE4A5E" w:rsidP="00B53D00">
            <w:pPr>
              <w:overflowPunct/>
              <w:autoSpaceDE/>
              <w:autoSpaceDN/>
              <w:adjustRightInd/>
              <w:jc w:val="center"/>
              <w:textAlignment w:val="auto"/>
              <w:rPr>
                <w:rFonts w:cs="Arial"/>
                <w:b/>
                <w:bCs/>
                <w:color w:val="000000"/>
                <w:sz w:val="16"/>
                <w:szCs w:val="16"/>
                <w:lang w:val="en-US" w:eastAsia="ru-RU"/>
              </w:rPr>
            </w:pPr>
            <w:r>
              <w:rPr>
                <w:rFonts w:cs="Arial"/>
                <w:b/>
                <w:bCs/>
                <w:color w:val="000000"/>
                <w:sz w:val="16"/>
                <w:szCs w:val="16"/>
                <w:lang w:val="ru-RU" w:eastAsia="ru-RU"/>
              </w:rPr>
              <w:t>з</w:t>
            </w:r>
            <w:r w:rsidRPr="00317B0B">
              <w:rPr>
                <w:rFonts w:cs="Arial"/>
                <w:b/>
                <w:bCs/>
                <w:color w:val="000000"/>
                <w:sz w:val="16"/>
                <w:szCs w:val="16"/>
                <w:lang w:val="ru-RU" w:eastAsia="ru-RU"/>
              </w:rPr>
              <w:t xml:space="preserve">а </w:t>
            </w:r>
            <w:r>
              <w:rPr>
                <w:rFonts w:cs="Arial"/>
                <w:b/>
                <w:bCs/>
                <w:color w:val="000000"/>
                <w:sz w:val="16"/>
                <w:szCs w:val="16"/>
                <w:lang w:val="en-US" w:eastAsia="ru-RU"/>
              </w:rPr>
              <w:t>31</w:t>
            </w:r>
            <w:r w:rsidRPr="00317B0B">
              <w:rPr>
                <w:rFonts w:cs="Arial"/>
                <w:b/>
                <w:bCs/>
                <w:color w:val="000000"/>
                <w:sz w:val="16"/>
                <w:szCs w:val="16"/>
                <w:lang w:val="ru-RU" w:eastAsia="ru-RU"/>
              </w:rPr>
              <w:t>.</w:t>
            </w:r>
            <w:r>
              <w:rPr>
                <w:rFonts w:cs="Arial"/>
                <w:b/>
                <w:bCs/>
                <w:color w:val="000000"/>
                <w:sz w:val="16"/>
                <w:szCs w:val="16"/>
                <w:lang w:val="en-US" w:eastAsia="ru-RU"/>
              </w:rPr>
              <w:t>12</w:t>
            </w:r>
            <w:r>
              <w:rPr>
                <w:rFonts w:cs="Arial"/>
                <w:b/>
                <w:bCs/>
                <w:color w:val="000000"/>
                <w:sz w:val="16"/>
                <w:szCs w:val="16"/>
                <w:lang w:val="ru-RU" w:eastAsia="ru-RU"/>
              </w:rPr>
              <w:t>.</w:t>
            </w:r>
            <w:r w:rsidRPr="00317B0B">
              <w:rPr>
                <w:rFonts w:cs="Arial"/>
                <w:b/>
                <w:bCs/>
                <w:color w:val="000000"/>
                <w:sz w:val="16"/>
                <w:szCs w:val="16"/>
                <w:lang w:val="ru-RU" w:eastAsia="ru-RU"/>
              </w:rPr>
              <w:t>201</w:t>
            </w:r>
            <w:r>
              <w:rPr>
                <w:rFonts w:cs="Arial"/>
                <w:b/>
                <w:bCs/>
                <w:color w:val="000000"/>
                <w:sz w:val="16"/>
                <w:szCs w:val="16"/>
                <w:lang w:val="ru-RU" w:eastAsia="ru-RU"/>
              </w:rPr>
              <w:t>8</w:t>
            </w:r>
          </w:p>
        </w:tc>
        <w:tc>
          <w:tcPr>
            <w:tcW w:w="1843" w:type="dxa"/>
            <w:tcBorders>
              <w:top w:val="single" w:sz="4" w:space="0" w:color="auto"/>
              <w:left w:val="nil"/>
              <w:bottom w:val="single" w:sz="8" w:space="0" w:color="auto"/>
              <w:right w:val="nil"/>
            </w:tcBorders>
            <w:vAlign w:val="center"/>
          </w:tcPr>
          <w:p w:rsidR="00CE4A5E" w:rsidRDefault="00CE4A5E" w:rsidP="00B53D00">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з</w:t>
            </w:r>
            <w:r w:rsidRPr="00317B0B">
              <w:rPr>
                <w:rFonts w:cs="Arial"/>
                <w:b/>
                <w:bCs/>
                <w:color w:val="000000"/>
                <w:sz w:val="16"/>
                <w:szCs w:val="16"/>
                <w:lang w:val="ru-RU" w:eastAsia="ru-RU"/>
              </w:rPr>
              <w:t xml:space="preserve">а </w:t>
            </w:r>
            <w:r>
              <w:rPr>
                <w:rFonts w:cs="Arial"/>
                <w:b/>
                <w:bCs/>
                <w:color w:val="000000"/>
                <w:sz w:val="16"/>
                <w:szCs w:val="16"/>
                <w:lang w:val="en-US" w:eastAsia="ru-RU"/>
              </w:rPr>
              <w:t>31</w:t>
            </w:r>
            <w:r w:rsidRPr="00317B0B">
              <w:rPr>
                <w:rFonts w:cs="Arial"/>
                <w:b/>
                <w:bCs/>
                <w:color w:val="000000"/>
                <w:sz w:val="16"/>
                <w:szCs w:val="16"/>
                <w:lang w:val="ru-RU" w:eastAsia="ru-RU"/>
              </w:rPr>
              <w:t>.</w:t>
            </w:r>
            <w:r>
              <w:rPr>
                <w:rFonts w:cs="Arial"/>
                <w:b/>
                <w:bCs/>
                <w:color w:val="000000"/>
                <w:sz w:val="16"/>
                <w:szCs w:val="16"/>
                <w:lang w:val="en-US" w:eastAsia="ru-RU"/>
              </w:rPr>
              <w:t>12</w:t>
            </w:r>
            <w:r>
              <w:rPr>
                <w:rFonts w:cs="Arial"/>
                <w:b/>
                <w:bCs/>
                <w:color w:val="000000"/>
                <w:sz w:val="16"/>
                <w:szCs w:val="16"/>
                <w:lang w:val="ru-RU" w:eastAsia="ru-RU"/>
              </w:rPr>
              <w:t>.</w:t>
            </w:r>
            <w:r w:rsidRPr="00317B0B">
              <w:rPr>
                <w:rFonts w:cs="Arial"/>
                <w:b/>
                <w:bCs/>
                <w:color w:val="000000"/>
                <w:sz w:val="16"/>
                <w:szCs w:val="16"/>
                <w:lang w:val="ru-RU" w:eastAsia="ru-RU"/>
              </w:rPr>
              <w:t>201</w:t>
            </w:r>
            <w:r>
              <w:rPr>
                <w:rFonts w:cs="Arial"/>
                <w:b/>
                <w:bCs/>
                <w:color w:val="000000"/>
                <w:sz w:val="16"/>
                <w:szCs w:val="16"/>
                <w:lang w:val="ru-RU" w:eastAsia="ru-RU"/>
              </w:rPr>
              <w:t>7</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Совокупные активы (валюта баланса)</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szCs w:val="16"/>
                <w:highlight w:val="red"/>
                <w:lang w:val="ru-RU" w:eastAsia="ru-RU"/>
              </w:rPr>
            </w:pPr>
            <w:r w:rsidRPr="00B036DF">
              <w:rPr>
                <w:rFonts w:cs="Arial"/>
                <w:szCs w:val="16"/>
              </w:rPr>
              <w:t>16 672 273</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en-US" w:eastAsia="ru-RU"/>
              </w:rPr>
            </w:pPr>
            <w:r w:rsidRPr="00B036DF">
              <w:rPr>
                <w:rFonts w:cs="Arial"/>
                <w:szCs w:val="16"/>
              </w:rPr>
              <w:t>16 118 027</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Активы по публикуемой отчетности</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14 341 470</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14 394 446</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Капитал (по 808 форме)</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2 027 984</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2 421 630</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Резервы на возможные потери</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szCs w:val="16"/>
                <w:highlight w:val="red"/>
                <w:lang w:val="ru-RU" w:eastAsia="ru-RU"/>
              </w:rPr>
            </w:pPr>
            <w:r w:rsidRPr="00B036DF">
              <w:rPr>
                <w:rFonts w:cs="Arial"/>
                <w:szCs w:val="16"/>
              </w:rPr>
              <w:t>1 367 085</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szCs w:val="16"/>
              </w:rPr>
              <w:t>1 238 705</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Отчисления в резервы</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en-US" w:eastAsia="ru-RU"/>
              </w:rPr>
            </w:pPr>
            <w:r w:rsidRPr="00B036DF">
              <w:rPr>
                <w:rFonts w:cs="Arial"/>
                <w:color w:val="000000"/>
                <w:szCs w:val="16"/>
              </w:rPr>
              <w:t xml:space="preserve"> (168 932)</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 xml:space="preserve"> (20 892)</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 xml:space="preserve">Балансовая прибыль </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 xml:space="preserve"> (270 145)</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97 951</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Отложенный налог на прибыль</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19 915</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 xml:space="preserve"> (25 679)</w:t>
            </w:r>
          </w:p>
        </w:tc>
      </w:tr>
      <w:tr w:rsidR="00CE4A5E" w:rsidRPr="00473609" w:rsidTr="00B53D00">
        <w:trPr>
          <w:trHeight w:val="300"/>
        </w:trPr>
        <w:tc>
          <w:tcPr>
            <w:tcW w:w="4410" w:type="dxa"/>
            <w:tcBorders>
              <w:top w:val="nil"/>
              <w:left w:val="nil"/>
              <w:bottom w:val="nil"/>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 xml:space="preserve">Налог на прибыль </w:t>
            </w:r>
          </w:p>
        </w:tc>
        <w:tc>
          <w:tcPr>
            <w:tcW w:w="3118" w:type="dxa"/>
            <w:tcBorders>
              <w:top w:val="nil"/>
              <w:left w:val="nil"/>
              <w:bottom w:val="nil"/>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 xml:space="preserve"> (36 937)</w:t>
            </w:r>
          </w:p>
        </w:tc>
        <w:tc>
          <w:tcPr>
            <w:tcW w:w="1843" w:type="dxa"/>
            <w:tcBorders>
              <w:top w:val="nil"/>
              <w:left w:val="nil"/>
              <w:bottom w:val="nil"/>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en-US" w:eastAsia="ru-RU"/>
              </w:rPr>
            </w:pPr>
            <w:r w:rsidRPr="00B036DF">
              <w:rPr>
                <w:rFonts w:cs="Arial"/>
                <w:color w:val="000000"/>
                <w:szCs w:val="16"/>
              </w:rPr>
              <w:t xml:space="preserve"> (17 370)</w:t>
            </w:r>
          </w:p>
        </w:tc>
      </w:tr>
      <w:tr w:rsidR="00CE4A5E" w:rsidRPr="00473609" w:rsidTr="00B53D00">
        <w:trPr>
          <w:trHeight w:val="315"/>
        </w:trPr>
        <w:tc>
          <w:tcPr>
            <w:tcW w:w="4410" w:type="dxa"/>
            <w:tcBorders>
              <w:top w:val="nil"/>
              <w:left w:val="nil"/>
              <w:bottom w:val="double" w:sz="6" w:space="0" w:color="auto"/>
              <w:right w:val="nil"/>
            </w:tcBorders>
            <w:shd w:val="clear" w:color="auto" w:fill="auto"/>
            <w:vAlign w:val="center"/>
            <w:hideMark/>
          </w:tcPr>
          <w:p w:rsidR="00CE4A5E" w:rsidRPr="00317B0B" w:rsidRDefault="00CE4A5E" w:rsidP="00B53D00">
            <w:pPr>
              <w:overflowPunct/>
              <w:autoSpaceDE/>
              <w:autoSpaceDN/>
              <w:adjustRightInd/>
              <w:jc w:val="both"/>
              <w:textAlignment w:val="auto"/>
              <w:rPr>
                <w:rFonts w:cs="Arial"/>
                <w:color w:val="000000"/>
                <w:szCs w:val="16"/>
                <w:lang w:val="ru-RU" w:eastAsia="ru-RU"/>
              </w:rPr>
            </w:pPr>
            <w:r w:rsidRPr="00317B0B">
              <w:rPr>
                <w:rFonts w:cs="Arial"/>
                <w:color w:val="000000"/>
                <w:szCs w:val="16"/>
                <w:lang w:val="ru-RU" w:eastAsia="ru-RU"/>
              </w:rPr>
              <w:t>Чистая прибыль</w:t>
            </w:r>
          </w:p>
        </w:tc>
        <w:tc>
          <w:tcPr>
            <w:tcW w:w="3118" w:type="dxa"/>
            <w:tcBorders>
              <w:top w:val="nil"/>
              <w:left w:val="nil"/>
              <w:bottom w:val="double" w:sz="6" w:space="0" w:color="auto"/>
              <w:right w:val="nil"/>
            </w:tcBorders>
            <w:shd w:val="clear" w:color="auto" w:fill="auto"/>
            <w:vAlign w:val="center"/>
            <w:hideMark/>
          </w:tcPr>
          <w:p w:rsidR="00CE4A5E" w:rsidRPr="00B036DF" w:rsidRDefault="00CE4A5E" w:rsidP="00B53D00">
            <w:pPr>
              <w:overflowPunct/>
              <w:autoSpaceDE/>
              <w:autoSpaceDN/>
              <w:adjustRightInd/>
              <w:jc w:val="center"/>
              <w:textAlignment w:val="auto"/>
              <w:rPr>
                <w:rFonts w:cs="Arial"/>
                <w:color w:val="000000"/>
                <w:szCs w:val="16"/>
                <w:highlight w:val="red"/>
                <w:lang w:val="ru-RU" w:eastAsia="ru-RU"/>
              </w:rPr>
            </w:pPr>
            <w:r w:rsidRPr="00B036DF">
              <w:rPr>
                <w:rFonts w:cs="Arial"/>
                <w:color w:val="000000"/>
                <w:szCs w:val="16"/>
              </w:rPr>
              <w:t xml:space="preserve"> (287 167)</w:t>
            </w:r>
          </w:p>
        </w:tc>
        <w:tc>
          <w:tcPr>
            <w:tcW w:w="1843" w:type="dxa"/>
            <w:tcBorders>
              <w:top w:val="nil"/>
              <w:left w:val="nil"/>
              <w:bottom w:val="double" w:sz="6" w:space="0" w:color="auto"/>
              <w:right w:val="nil"/>
            </w:tcBorders>
            <w:vAlign w:val="center"/>
          </w:tcPr>
          <w:p w:rsidR="00CE4A5E" w:rsidRPr="00B036DF" w:rsidRDefault="00CE4A5E" w:rsidP="00B53D00">
            <w:pPr>
              <w:overflowPunct/>
              <w:autoSpaceDE/>
              <w:autoSpaceDN/>
              <w:adjustRightInd/>
              <w:jc w:val="center"/>
              <w:textAlignment w:val="auto"/>
              <w:rPr>
                <w:rFonts w:cs="Arial"/>
                <w:color w:val="000000"/>
                <w:szCs w:val="16"/>
                <w:lang w:val="ru-RU" w:eastAsia="ru-RU"/>
              </w:rPr>
            </w:pPr>
            <w:r w:rsidRPr="00B036DF">
              <w:rPr>
                <w:rFonts w:cs="Arial"/>
                <w:color w:val="000000"/>
                <w:szCs w:val="16"/>
              </w:rPr>
              <w:t>54 902</w:t>
            </w:r>
          </w:p>
        </w:tc>
      </w:tr>
    </w:tbl>
    <w:p w:rsidR="00CE4A5E" w:rsidRDefault="00CE4A5E" w:rsidP="00CE4A5E">
      <w:pPr>
        <w:pStyle w:val="2normal"/>
        <w:jc w:val="both"/>
        <w:rPr>
          <w:sz w:val="20"/>
          <w:szCs w:val="20"/>
          <w:lang w:val="ru-RU"/>
        </w:rPr>
      </w:pPr>
    </w:p>
    <w:p w:rsidR="00CE4A5E" w:rsidRDefault="00CE4A5E" w:rsidP="00CE4A5E">
      <w:pPr>
        <w:pStyle w:val="2normal"/>
        <w:jc w:val="both"/>
        <w:rPr>
          <w:sz w:val="20"/>
          <w:szCs w:val="20"/>
          <w:lang w:val="ru-RU"/>
        </w:rPr>
      </w:pPr>
      <w:r w:rsidRPr="003338DC">
        <w:rPr>
          <w:sz w:val="20"/>
          <w:szCs w:val="20"/>
          <w:lang w:val="ru-RU"/>
        </w:rPr>
        <w:t xml:space="preserve">Активы Банка </w:t>
      </w:r>
      <w:r w:rsidRPr="001B69F0">
        <w:rPr>
          <w:sz w:val="20"/>
          <w:szCs w:val="20"/>
          <w:lang w:val="ru-RU"/>
        </w:rPr>
        <w:t>за 31.12.201</w:t>
      </w:r>
      <w:r>
        <w:rPr>
          <w:sz w:val="20"/>
          <w:szCs w:val="20"/>
          <w:lang w:val="ru-RU"/>
        </w:rPr>
        <w:t xml:space="preserve">8 </w:t>
      </w:r>
      <w:r w:rsidRPr="003338DC">
        <w:rPr>
          <w:sz w:val="20"/>
          <w:szCs w:val="20"/>
          <w:lang w:val="ru-RU"/>
        </w:rPr>
        <w:t xml:space="preserve">составили </w:t>
      </w:r>
      <w:r w:rsidRPr="00B036DF">
        <w:rPr>
          <w:sz w:val="20"/>
          <w:szCs w:val="20"/>
          <w:lang w:val="ru-RU"/>
        </w:rPr>
        <w:t>14 341</w:t>
      </w:r>
      <w:r w:rsidRPr="003338DC">
        <w:rPr>
          <w:sz w:val="20"/>
          <w:szCs w:val="20"/>
          <w:lang w:val="ru-RU"/>
        </w:rPr>
        <w:t xml:space="preserve"> млн. рублей (</w:t>
      </w:r>
      <w:r w:rsidRPr="001B69F0">
        <w:rPr>
          <w:sz w:val="20"/>
          <w:szCs w:val="20"/>
          <w:lang w:val="ru-RU"/>
        </w:rPr>
        <w:t>за 31.12.201</w:t>
      </w:r>
      <w:r>
        <w:rPr>
          <w:sz w:val="20"/>
          <w:szCs w:val="20"/>
          <w:lang w:val="ru-RU"/>
        </w:rPr>
        <w:t>7</w:t>
      </w:r>
      <w:r w:rsidRPr="003338DC">
        <w:rPr>
          <w:sz w:val="20"/>
          <w:szCs w:val="20"/>
          <w:lang w:val="ru-RU"/>
        </w:rPr>
        <w:t xml:space="preserve"> – 14</w:t>
      </w:r>
      <w:r>
        <w:rPr>
          <w:sz w:val="20"/>
          <w:szCs w:val="20"/>
          <w:lang w:val="ru-RU"/>
        </w:rPr>
        <w:t> </w:t>
      </w:r>
      <w:r w:rsidRPr="003338DC">
        <w:rPr>
          <w:sz w:val="20"/>
          <w:szCs w:val="20"/>
          <w:lang w:val="ru-RU"/>
        </w:rPr>
        <w:t>394</w:t>
      </w:r>
      <w:r>
        <w:rPr>
          <w:sz w:val="20"/>
          <w:szCs w:val="20"/>
          <w:lang w:val="ru-RU"/>
        </w:rPr>
        <w:t xml:space="preserve"> </w:t>
      </w:r>
      <w:r w:rsidRPr="003338DC">
        <w:rPr>
          <w:sz w:val="20"/>
          <w:szCs w:val="20"/>
          <w:lang w:val="ru-RU"/>
        </w:rPr>
        <w:t xml:space="preserve">млн. рублей). </w:t>
      </w:r>
      <w:r>
        <w:rPr>
          <w:sz w:val="20"/>
          <w:szCs w:val="20"/>
          <w:lang w:val="ru-RU"/>
        </w:rPr>
        <w:t>Объем</w:t>
      </w:r>
      <w:r w:rsidRPr="003338DC">
        <w:rPr>
          <w:sz w:val="20"/>
          <w:szCs w:val="20"/>
          <w:lang w:val="ru-RU"/>
        </w:rPr>
        <w:t xml:space="preserve"> активов </w:t>
      </w:r>
      <w:r>
        <w:rPr>
          <w:sz w:val="20"/>
          <w:szCs w:val="20"/>
          <w:lang w:val="ru-RU"/>
        </w:rPr>
        <w:t xml:space="preserve">за 2018 год остался примерно на том же уровне (не значительно </w:t>
      </w:r>
      <w:r w:rsidRPr="00B036DF">
        <w:rPr>
          <w:sz w:val="20"/>
          <w:szCs w:val="20"/>
          <w:lang w:val="ru-RU"/>
        </w:rPr>
        <w:t xml:space="preserve">сократился на  53 </w:t>
      </w:r>
      <w:r w:rsidRPr="00B036DF">
        <w:rPr>
          <w:sz w:val="20"/>
          <w:szCs w:val="20"/>
          <w:lang w:val="ru-RU"/>
        </w:rPr>
        <w:lastRenderedPageBreak/>
        <w:t xml:space="preserve">млн. рублей или 0,4%),но произошли существенные </w:t>
      </w:r>
      <w:r>
        <w:rPr>
          <w:sz w:val="20"/>
          <w:szCs w:val="20"/>
          <w:lang w:val="ru-RU"/>
        </w:rPr>
        <w:t xml:space="preserve">изменения в </w:t>
      </w:r>
      <w:r w:rsidRPr="00B036DF">
        <w:rPr>
          <w:sz w:val="20"/>
          <w:szCs w:val="20"/>
          <w:lang w:val="ru-RU"/>
        </w:rPr>
        <w:t xml:space="preserve">структуре </w:t>
      </w:r>
      <w:r>
        <w:rPr>
          <w:sz w:val="20"/>
          <w:szCs w:val="20"/>
          <w:lang w:val="ru-RU"/>
        </w:rPr>
        <w:t>активов</w:t>
      </w:r>
      <w:r w:rsidRPr="00B036DF">
        <w:rPr>
          <w:sz w:val="20"/>
          <w:szCs w:val="20"/>
          <w:lang w:val="ru-RU"/>
        </w:rPr>
        <w:t xml:space="preserve">. Увеличилась доля </w:t>
      </w:r>
      <w:r>
        <w:rPr>
          <w:sz w:val="20"/>
          <w:szCs w:val="20"/>
          <w:lang w:val="ru-RU"/>
        </w:rPr>
        <w:t>к</w:t>
      </w:r>
      <w:r w:rsidRPr="00B036DF">
        <w:rPr>
          <w:sz w:val="20"/>
          <w:szCs w:val="20"/>
          <w:lang w:val="ru-RU"/>
        </w:rPr>
        <w:t>редитов клиентам в общей сумме активов с 37,9% до 44,4%. Рост произошел как за счет увеличения объем</w:t>
      </w:r>
      <w:r>
        <w:rPr>
          <w:sz w:val="20"/>
          <w:szCs w:val="20"/>
          <w:lang w:val="ru-RU"/>
        </w:rPr>
        <w:t>а</w:t>
      </w:r>
      <w:r w:rsidRPr="00B036DF">
        <w:rPr>
          <w:sz w:val="20"/>
          <w:szCs w:val="20"/>
          <w:lang w:val="ru-RU"/>
        </w:rPr>
        <w:t xml:space="preserve"> вложений в кредитные организации, в связи с размещением свободной ликвидности на счетах в банках и в краткосрочных межбанковских кредитах, так и за счет</w:t>
      </w:r>
      <w:r>
        <w:rPr>
          <w:sz w:val="20"/>
          <w:szCs w:val="20"/>
          <w:lang w:val="ru-RU"/>
        </w:rPr>
        <w:t xml:space="preserve"> наращивания объемов кредитования клиентов розничного и корпоративного направления.</w:t>
      </w:r>
    </w:p>
    <w:p w:rsidR="00CE4A5E" w:rsidRPr="00DE7BCF" w:rsidRDefault="00CE4A5E" w:rsidP="00CE4A5E">
      <w:pPr>
        <w:pStyle w:val="2normal"/>
        <w:jc w:val="both"/>
        <w:rPr>
          <w:sz w:val="20"/>
          <w:szCs w:val="20"/>
          <w:lang w:val="ru-RU"/>
        </w:rPr>
      </w:pPr>
      <w:r w:rsidRPr="00DE7BCF">
        <w:rPr>
          <w:sz w:val="20"/>
          <w:szCs w:val="20"/>
          <w:lang w:val="ru-RU"/>
        </w:rPr>
        <w:t>На фоне снижения общеэкономических показателей на протяжении последних лет руководство Банка придерживается</w:t>
      </w:r>
      <w:r>
        <w:rPr>
          <w:sz w:val="20"/>
          <w:szCs w:val="20"/>
          <w:lang w:val="ru-RU"/>
        </w:rPr>
        <w:t xml:space="preserve"> </w:t>
      </w:r>
      <w:r w:rsidRPr="00DE7BCF">
        <w:rPr>
          <w:sz w:val="20"/>
          <w:szCs w:val="20"/>
          <w:lang w:val="ru-RU"/>
        </w:rPr>
        <w:t>кредитной политики, направленной на оптимизацию кредитного портфеля путем повышения требований к финансовому положению заемщиков и обеспечению по выдаваемым кредитам.</w:t>
      </w:r>
      <w:r>
        <w:rPr>
          <w:sz w:val="20"/>
          <w:szCs w:val="20"/>
          <w:lang w:val="ru-RU"/>
        </w:rPr>
        <w:t xml:space="preserve"> Рост кредитного портфеля с 4 463 582 тыс.руб. за 31.12.2017 до </w:t>
      </w:r>
      <w:r w:rsidRPr="00B036DF">
        <w:rPr>
          <w:sz w:val="20"/>
          <w:szCs w:val="20"/>
          <w:lang w:val="ru-RU"/>
        </w:rPr>
        <w:t>4 929 734</w:t>
      </w:r>
      <w:r>
        <w:rPr>
          <w:sz w:val="20"/>
          <w:szCs w:val="20"/>
          <w:lang w:val="ru-RU"/>
        </w:rPr>
        <w:t xml:space="preserve"> тыс.руб. за 31.12.2018 обусловлен в основном развитием  кредитования с обеспечением залогом недвижимости.</w:t>
      </w:r>
    </w:p>
    <w:p w:rsidR="00CE4A5E" w:rsidRPr="00CD6EF1" w:rsidRDefault="00CE4A5E" w:rsidP="00CE4A5E">
      <w:pPr>
        <w:pStyle w:val="2normal"/>
        <w:jc w:val="both"/>
        <w:rPr>
          <w:sz w:val="20"/>
          <w:szCs w:val="20"/>
          <w:lang w:val="ru-RU"/>
        </w:rPr>
      </w:pPr>
      <w:r w:rsidRPr="00DE7BCF">
        <w:rPr>
          <w:sz w:val="20"/>
          <w:szCs w:val="20"/>
          <w:lang w:val="ru-RU"/>
        </w:rPr>
        <w:t>В течение 201</w:t>
      </w:r>
      <w:r>
        <w:rPr>
          <w:sz w:val="20"/>
          <w:szCs w:val="20"/>
          <w:lang w:val="ru-RU"/>
        </w:rPr>
        <w:t>8</w:t>
      </w:r>
      <w:r w:rsidRPr="00DE7BCF">
        <w:rPr>
          <w:sz w:val="20"/>
          <w:szCs w:val="20"/>
          <w:lang w:val="ru-RU"/>
        </w:rPr>
        <w:t xml:space="preserve"> года Банк продолжал активно работать на рынке ценных бумаг. Портфель ценных бумаг Банка </w:t>
      </w:r>
      <w:r w:rsidRPr="001B69F0">
        <w:rPr>
          <w:sz w:val="20"/>
          <w:szCs w:val="20"/>
          <w:lang w:val="ru-RU"/>
        </w:rPr>
        <w:t>за 31.12.201</w:t>
      </w:r>
      <w:r>
        <w:rPr>
          <w:sz w:val="20"/>
          <w:szCs w:val="20"/>
          <w:lang w:val="ru-RU"/>
        </w:rPr>
        <w:t xml:space="preserve">8 </w:t>
      </w:r>
      <w:r w:rsidRPr="00DE7BCF">
        <w:rPr>
          <w:sz w:val="20"/>
          <w:szCs w:val="20"/>
          <w:lang w:val="ru-RU"/>
        </w:rPr>
        <w:t xml:space="preserve">составил </w:t>
      </w:r>
      <w:r>
        <w:rPr>
          <w:sz w:val="20"/>
          <w:szCs w:val="20"/>
          <w:lang w:val="ru-RU"/>
        </w:rPr>
        <w:t>5 140 870 тыс. рублей (</w:t>
      </w:r>
      <w:r w:rsidRPr="001B69F0">
        <w:rPr>
          <w:sz w:val="20"/>
          <w:szCs w:val="20"/>
          <w:lang w:val="ru-RU"/>
        </w:rPr>
        <w:t>за 31.12.201</w:t>
      </w:r>
      <w:r>
        <w:rPr>
          <w:sz w:val="20"/>
          <w:szCs w:val="20"/>
          <w:lang w:val="ru-RU"/>
        </w:rPr>
        <w:t xml:space="preserve">7 </w:t>
      </w:r>
      <w:r w:rsidRPr="00DE7BCF">
        <w:rPr>
          <w:sz w:val="20"/>
          <w:szCs w:val="20"/>
          <w:lang w:val="ru-RU"/>
        </w:rPr>
        <w:t>– 6 </w:t>
      </w:r>
      <w:r>
        <w:rPr>
          <w:sz w:val="20"/>
          <w:szCs w:val="20"/>
          <w:lang w:val="ru-RU"/>
        </w:rPr>
        <w:t xml:space="preserve">220 374 </w:t>
      </w:r>
      <w:r w:rsidRPr="00DE7BCF">
        <w:rPr>
          <w:sz w:val="20"/>
          <w:szCs w:val="20"/>
          <w:lang w:val="ru-RU"/>
        </w:rPr>
        <w:t>тыс. рублей). В состав портфеля входят ликвидные облигации с номиналом в российских рублях, свободно обращающиеся на Московско</w:t>
      </w:r>
      <w:r>
        <w:rPr>
          <w:sz w:val="20"/>
          <w:szCs w:val="20"/>
          <w:lang w:val="ru-RU"/>
        </w:rPr>
        <w:t>й межбанковской валютной бирже</w:t>
      </w:r>
      <w:r w:rsidRPr="00DE7BCF">
        <w:rPr>
          <w:sz w:val="20"/>
          <w:szCs w:val="20"/>
          <w:lang w:val="ru-RU"/>
        </w:rPr>
        <w:t>, преимущественно входящие в ломбардный список Банка России.</w:t>
      </w:r>
    </w:p>
    <w:tbl>
      <w:tblPr>
        <w:tblW w:w="9654" w:type="dxa"/>
        <w:tblInd w:w="-34" w:type="dxa"/>
        <w:tblLayout w:type="fixed"/>
        <w:tblLook w:val="04A0" w:firstRow="1" w:lastRow="0" w:firstColumn="1" w:lastColumn="0" w:noHBand="0" w:noVBand="1"/>
      </w:tblPr>
      <w:tblGrid>
        <w:gridCol w:w="3276"/>
        <w:gridCol w:w="1134"/>
        <w:gridCol w:w="1134"/>
        <w:gridCol w:w="1040"/>
        <w:gridCol w:w="944"/>
        <w:gridCol w:w="1134"/>
        <w:gridCol w:w="992"/>
      </w:tblGrid>
      <w:tr w:rsidR="00CE4A5E" w:rsidRPr="006C0DB6" w:rsidTr="00B53D00">
        <w:trPr>
          <w:trHeight w:val="300"/>
        </w:trPr>
        <w:tc>
          <w:tcPr>
            <w:tcW w:w="3276"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1134"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1134"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1040"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944"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1134"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c>
          <w:tcPr>
            <w:tcW w:w="992" w:type="dxa"/>
            <w:tcBorders>
              <w:top w:val="nil"/>
              <w:left w:val="nil"/>
              <w:bottom w:val="single" w:sz="4" w:space="0" w:color="auto"/>
              <w:right w:val="nil"/>
            </w:tcBorders>
            <w:shd w:val="clear" w:color="auto" w:fill="auto"/>
            <w:noWrap/>
            <w:vAlign w:val="bottom"/>
            <w:hideMark/>
          </w:tcPr>
          <w:p w:rsidR="00CE4A5E" w:rsidRPr="000C3D40" w:rsidRDefault="00CE4A5E" w:rsidP="00B53D00">
            <w:pPr>
              <w:overflowPunct/>
              <w:autoSpaceDE/>
              <w:autoSpaceDN/>
              <w:adjustRightInd/>
              <w:textAlignment w:val="auto"/>
              <w:rPr>
                <w:rFonts w:ascii="Calibri" w:hAnsi="Calibri" w:cs="Times New Roman"/>
                <w:color w:val="000000"/>
                <w:sz w:val="22"/>
                <w:szCs w:val="22"/>
                <w:lang w:val="ru-RU" w:eastAsia="ru-RU"/>
              </w:rPr>
            </w:pPr>
            <w:r w:rsidRPr="000C3D40">
              <w:rPr>
                <w:rFonts w:ascii="Calibri" w:hAnsi="Calibri" w:cs="Times New Roman"/>
                <w:color w:val="000000"/>
                <w:sz w:val="22"/>
                <w:szCs w:val="22"/>
                <w:lang w:val="ru-RU" w:eastAsia="ru-RU"/>
              </w:rPr>
              <w:t> </w:t>
            </w:r>
          </w:p>
        </w:tc>
      </w:tr>
      <w:tr w:rsidR="00CE4A5E" w:rsidRPr="000C3D40" w:rsidTr="00B53D00">
        <w:trPr>
          <w:trHeight w:val="840"/>
        </w:trPr>
        <w:tc>
          <w:tcPr>
            <w:tcW w:w="3276"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b/>
                <w:bCs/>
                <w:color w:val="000000"/>
                <w:sz w:val="16"/>
                <w:szCs w:val="16"/>
                <w:lang w:val="ru-RU" w:eastAsia="ru-RU"/>
              </w:rPr>
            </w:pPr>
            <w:r w:rsidRPr="000C3D40">
              <w:rPr>
                <w:rFonts w:cs="Arial"/>
                <w:b/>
                <w:bCs/>
                <w:color w:val="000000"/>
                <w:sz w:val="16"/>
                <w:szCs w:val="16"/>
                <w:lang w:val="ru-RU" w:eastAsia="ru-RU"/>
              </w:rPr>
              <w:t>Активы</w:t>
            </w:r>
          </w:p>
        </w:tc>
        <w:tc>
          <w:tcPr>
            <w:tcW w:w="1134"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за 31.12.18</w:t>
            </w:r>
          </w:p>
        </w:tc>
        <w:tc>
          <w:tcPr>
            <w:tcW w:w="1134"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за 31.12.17</w:t>
            </w:r>
          </w:p>
        </w:tc>
        <w:tc>
          <w:tcPr>
            <w:tcW w:w="1040" w:type="dxa"/>
            <w:tcBorders>
              <w:top w:val="nil"/>
              <w:left w:val="nil"/>
              <w:bottom w:val="single" w:sz="4" w:space="0" w:color="auto"/>
              <w:right w:val="nil"/>
            </w:tcBorders>
            <w:shd w:val="clear" w:color="auto" w:fill="auto"/>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Доля за 31.12.18</w:t>
            </w:r>
          </w:p>
        </w:tc>
        <w:tc>
          <w:tcPr>
            <w:tcW w:w="944" w:type="dxa"/>
            <w:tcBorders>
              <w:top w:val="nil"/>
              <w:left w:val="nil"/>
              <w:bottom w:val="single" w:sz="4" w:space="0" w:color="auto"/>
              <w:right w:val="nil"/>
            </w:tcBorders>
            <w:shd w:val="clear" w:color="auto" w:fill="auto"/>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Доля за 31.12.17</w:t>
            </w:r>
          </w:p>
        </w:tc>
        <w:tc>
          <w:tcPr>
            <w:tcW w:w="1134" w:type="dxa"/>
            <w:tcBorders>
              <w:top w:val="nil"/>
              <w:left w:val="nil"/>
              <w:bottom w:val="single" w:sz="4" w:space="0" w:color="auto"/>
              <w:right w:val="nil"/>
            </w:tcBorders>
            <w:shd w:val="clear" w:color="auto" w:fill="auto"/>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Изм.</w:t>
            </w:r>
            <w:r w:rsidRPr="000C3D40">
              <w:rPr>
                <w:rFonts w:cs="Arial"/>
                <w:b/>
                <w:bCs/>
                <w:color w:val="000000"/>
                <w:sz w:val="16"/>
                <w:szCs w:val="16"/>
                <w:lang w:val="ru-RU" w:eastAsia="ru-RU"/>
              </w:rPr>
              <w:br/>
              <w:t>(+/-)</w:t>
            </w:r>
          </w:p>
        </w:tc>
        <w:tc>
          <w:tcPr>
            <w:tcW w:w="992" w:type="dxa"/>
            <w:tcBorders>
              <w:top w:val="nil"/>
              <w:left w:val="nil"/>
              <w:bottom w:val="single" w:sz="4" w:space="0" w:color="auto"/>
              <w:right w:val="nil"/>
            </w:tcBorders>
            <w:shd w:val="clear" w:color="auto" w:fill="auto"/>
            <w:vAlign w:val="center"/>
            <w:hideMark/>
          </w:tcPr>
          <w:p w:rsidR="00CE4A5E" w:rsidRPr="000C3D40" w:rsidRDefault="00CE4A5E" w:rsidP="00B53D00">
            <w:pPr>
              <w:overflowPunct/>
              <w:autoSpaceDE/>
              <w:autoSpaceDN/>
              <w:adjustRightInd/>
              <w:jc w:val="center"/>
              <w:textAlignment w:val="auto"/>
              <w:rPr>
                <w:rFonts w:cs="Arial"/>
                <w:b/>
                <w:bCs/>
                <w:color w:val="000000"/>
                <w:sz w:val="16"/>
                <w:szCs w:val="16"/>
                <w:lang w:val="ru-RU" w:eastAsia="ru-RU"/>
              </w:rPr>
            </w:pPr>
            <w:r w:rsidRPr="000C3D40">
              <w:rPr>
                <w:rFonts w:cs="Arial"/>
                <w:b/>
                <w:bCs/>
                <w:color w:val="000000"/>
                <w:sz w:val="16"/>
                <w:szCs w:val="16"/>
                <w:lang w:val="ru-RU" w:eastAsia="ru-RU"/>
              </w:rPr>
              <w:t>Темп прироста</w:t>
            </w:r>
            <w:r w:rsidRPr="000C3D40">
              <w:rPr>
                <w:rFonts w:cs="Arial"/>
                <w:b/>
                <w:bCs/>
                <w:color w:val="000000"/>
                <w:sz w:val="16"/>
                <w:szCs w:val="16"/>
                <w:lang w:val="ru-RU" w:eastAsia="ru-RU"/>
              </w:rPr>
              <w:br/>
              <w:t>(%)</w:t>
            </w:r>
          </w:p>
        </w:tc>
      </w:tr>
      <w:tr w:rsidR="00CE4A5E" w:rsidRPr="000C3D40" w:rsidTr="00B53D00">
        <w:trPr>
          <w:trHeight w:val="300"/>
        </w:trPr>
        <w:tc>
          <w:tcPr>
            <w:tcW w:w="3276"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color w:val="000000"/>
                <w:sz w:val="16"/>
                <w:szCs w:val="16"/>
                <w:lang w:val="ru-RU" w:eastAsia="ru-RU"/>
              </w:rPr>
            </w:pPr>
            <w:r w:rsidRPr="000C3D40">
              <w:rPr>
                <w:rFonts w:cs="Arial"/>
                <w:color w:val="000000"/>
                <w:sz w:val="16"/>
                <w:szCs w:val="16"/>
                <w:lang w:val="ru-RU" w:eastAsia="ru-RU"/>
              </w:rPr>
              <w:t>Денежные средства и средства в ЦБ РФ</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1 059 321</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780 659</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7,4%</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5,4%</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278 662</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36%</w:t>
            </w:r>
          </w:p>
        </w:tc>
      </w:tr>
      <w:tr w:rsidR="00CE4A5E" w:rsidRPr="000C3D40" w:rsidTr="00B53D00">
        <w:trPr>
          <w:trHeight w:val="300"/>
        </w:trPr>
        <w:tc>
          <w:tcPr>
            <w:tcW w:w="3276"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color w:val="000000"/>
                <w:sz w:val="16"/>
                <w:szCs w:val="16"/>
                <w:lang w:val="ru-RU" w:eastAsia="ru-RU"/>
              </w:rPr>
            </w:pPr>
            <w:r w:rsidRPr="000C3D40">
              <w:rPr>
                <w:rFonts w:cs="Arial"/>
                <w:color w:val="000000"/>
                <w:sz w:val="16"/>
                <w:szCs w:val="16"/>
                <w:lang w:val="ru-RU" w:eastAsia="ru-RU"/>
              </w:rPr>
              <w:t>Ценные бумаги</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5 140 870</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6 220 374</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35,8%</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43,2%</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 xml:space="preserve"> (1 079 504)</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-17%</w:t>
            </w:r>
          </w:p>
        </w:tc>
      </w:tr>
      <w:tr w:rsidR="00CE4A5E" w:rsidRPr="000C3D40" w:rsidTr="00B53D00">
        <w:trPr>
          <w:trHeight w:val="300"/>
        </w:trPr>
        <w:tc>
          <w:tcPr>
            <w:tcW w:w="3276"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color w:val="000000"/>
                <w:sz w:val="16"/>
                <w:szCs w:val="16"/>
                <w:lang w:val="ru-RU" w:eastAsia="ru-RU"/>
              </w:rPr>
            </w:pPr>
            <w:r w:rsidRPr="000C3D40">
              <w:rPr>
                <w:rFonts w:cs="Arial"/>
                <w:color w:val="000000"/>
                <w:sz w:val="16"/>
                <w:szCs w:val="16"/>
                <w:lang w:val="ru-RU" w:eastAsia="ru-RU"/>
              </w:rPr>
              <w:t>Средства в кредитных организациях</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124 649</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244 193</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0,9%</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1,7%</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 xml:space="preserve"> (119 544)</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-49%</w:t>
            </w:r>
          </w:p>
        </w:tc>
      </w:tr>
      <w:tr w:rsidR="00CE4A5E" w:rsidRPr="000C3D40" w:rsidTr="00B53D00">
        <w:trPr>
          <w:trHeight w:val="450"/>
        </w:trPr>
        <w:tc>
          <w:tcPr>
            <w:tcW w:w="3276"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textAlignment w:val="auto"/>
              <w:rPr>
                <w:rFonts w:cs="Arial"/>
                <w:color w:val="000000"/>
                <w:sz w:val="16"/>
                <w:szCs w:val="16"/>
                <w:lang w:val="ru-RU" w:eastAsia="ru-RU"/>
              </w:rPr>
            </w:pPr>
            <w:r w:rsidRPr="000C3D40">
              <w:rPr>
                <w:rFonts w:cs="Arial"/>
                <w:color w:val="000000"/>
                <w:sz w:val="16"/>
                <w:szCs w:val="16"/>
                <w:lang w:val="ru-RU" w:eastAsia="ru-RU"/>
              </w:rPr>
              <w:t>Кредиты клиентам (за минусом сформированных резервов)</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6 361 057</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5 461 321</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44,4%</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37,9%</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899 736</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16%</w:t>
            </w:r>
          </w:p>
        </w:tc>
      </w:tr>
      <w:tr w:rsidR="00CE4A5E" w:rsidRPr="000C3D40" w:rsidTr="00B53D00">
        <w:trPr>
          <w:trHeight w:val="300"/>
        </w:trPr>
        <w:tc>
          <w:tcPr>
            <w:tcW w:w="3276"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ind w:firstLineChars="200" w:firstLine="320"/>
              <w:textAlignment w:val="auto"/>
              <w:rPr>
                <w:rFonts w:cs="Arial"/>
                <w:color w:val="000000"/>
                <w:sz w:val="16"/>
                <w:szCs w:val="16"/>
                <w:lang w:val="ru-RU" w:eastAsia="ru-RU"/>
              </w:rPr>
            </w:pPr>
            <w:r w:rsidRPr="000C3D40">
              <w:rPr>
                <w:rFonts w:cs="Arial"/>
                <w:color w:val="000000"/>
                <w:sz w:val="16"/>
                <w:szCs w:val="16"/>
                <w:lang w:val="ru-RU" w:eastAsia="ru-RU"/>
              </w:rPr>
              <w:t>МБК и депозит в ЦБ РФ</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1 431 323</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997 739</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10,0%</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6,9%</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433 584</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43%</w:t>
            </w:r>
          </w:p>
        </w:tc>
      </w:tr>
      <w:tr w:rsidR="00CE4A5E" w:rsidRPr="000C3D40" w:rsidTr="00B53D00">
        <w:trPr>
          <w:trHeight w:val="300"/>
        </w:trPr>
        <w:tc>
          <w:tcPr>
            <w:tcW w:w="3276"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ind w:firstLineChars="200" w:firstLine="320"/>
              <w:textAlignment w:val="auto"/>
              <w:rPr>
                <w:rFonts w:cs="Arial"/>
                <w:color w:val="000000"/>
                <w:sz w:val="16"/>
                <w:szCs w:val="16"/>
                <w:lang w:val="ru-RU" w:eastAsia="ru-RU"/>
              </w:rPr>
            </w:pPr>
            <w:r w:rsidRPr="000C3D40">
              <w:rPr>
                <w:rFonts w:cs="Arial"/>
                <w:color w:val="000000"/>
                <w:sz w:val="16"/>
                <w:szCs w:val="16"/>
                <w:lang w:val="ru-RU" w:eastAsia="ru-RU"/>
              </w:rPr>
              <w:t>Кредиты клиентам (кроме МБК)</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4 929 734</w:t>
            </w:r>
          </w:p>
        </w:tc>
        <w:tc>
          <w:tcPr>
            <w:tcW w:w="113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4 463 582</w:t>
            </w:r>
          </w:p>
        </w:tc>
        <w:tc>
          <w:tcPr>
            <w:tcW w:w="1040"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34,4%</w:t>
            </w:r>
          </w:p>
        </w:tc>
        <w:tc>
          <w:tcPr>
            <w:tcW w:w="944"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31,0%</w:t>
            </w:r>
          </w:p>
        </w:tc>
        <w:tc>
          <w:tcPr>
            <w:tcW w:w="1134" w:type="dxa"/>
            <w:tcBorders>
              <w:top w:val="nil"/>
              <w:left w:val="nil"/>
              <w:bottom w:val="nil"/>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466 152</w:t>
            </w:r>
          </w:p>
        </w:tc>
        <w:tc>
          <w:tcPr>
            <w:tcW w:w="992" w:type="dxa"/>
            <w:tcBorders>
              <w:top w:val="nil"/>
              <w:left w:val="nil"/>
              <w:bottom w:val="nil"/>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10%</w:t>
            </w:r>
          </w:p>
        </w:tc>
      </w:tr>
      <w:tr w:rsidR="00CE4A5E" w:rsidRPr="000C3D40" w:rsidTr="00B53D00">
        <w:trPr>
          <w:trHeight w:val="300"/>
        </w:trPr>
        <w:tc>
          <w:tcPr>
            <w:tcW w:w="3276"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color w:val="000000"/>
                <w:sz w:val="16"/>
                <w:szCs w:val="16"/>
                <w:lang w:val="ru-RU" w:eastAsia="ru-RU"/>
              </w:rPr>
            </w:pPr>
            <w:r w:rsidRPr="000C3D40">
              <w:rPr>
                <w:rFonts w:cs="Arial"/>
                <w:color w:val="000000"/>
                <w:sz w:val="16"/>
                <w:szCs w:val="16"/>
                <w:lang w:val="ru-RU" w:eastAsia="ru-RU"/>
              </w:rPr>
              <w:t>Основные средства и прочие активы</w:t>
            </w:r>
          </w:p>
        </w:tc>
        <w:tc>
          <w:tcPr>
            <w:tcW w:w="1134"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1 655 573</w:t>
            </w:r>
          </w:p>
        </w:tc>
        <w:tc>
          <w:tcPr>
            <w:tcW w:w="1134"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1 687 899</w:t>
            </w:r>
          </w:p>
        </w:tc>
        <w:tc>
          <w:tcPr>
            <w:tcW w:w="1040"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11,5%</w:t>
            </w:r>
          </w:p>
        </w:tc>
        <w:tc>
          <w:tcPr>
            <w:tcW w:w="944"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11,7%</w:t>
            </w:r>
          </w:p>
        </w:tc>
        <w:tc>
          <w:tcPr>
            <w:tcW w:w="1134" w:type="dxa"/>
            <w:tcBorders>
              <w:top w:val="nil"/>
              <w:left w:val="nil"/>
              <w:bottom w:val="single" w:sz="4" w:space="0" w:color="auto"/>
              <w:right w:val="nil"/>
            </w:tcBorders>
            <w:shd w:val="clear" w:color="auto" w:fill="auto"/>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 xml:space="preserve"> (32 326)</w:t>
            </w:r>
          </w:p>
        </w:tc>
        <w:tc>
          <w:tcPr>
            <w:tcW w:w="992" w:type="dxa"/>
            <w:tcBorders>
              <w:top w:val="nil"/>
              <w:left w:val="nil"/>
              <w:bottom w:val="single" w:sz="4"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color w:val="000000"/>
                <w:sz w:val="16"/>
                <w:szCs w:val="16"/>
                <w:lang w:val="ru-RU" w:eastAsia="ru-RU"/>
              </w:rPr>
            </w:pPr>
            <w:r w:rsidRPr="000C3D40">
              <w:rPr>
                <w:rFonts w:cs="Arial"/>
                <w:color w:val="000000"/>
                <w:sz w:val="16"/>
                <w:szCs w:val="16"/>
                <w:lang w:val="ru-RU" w:eastAsia="ru-RU"/>
              </w:rPr>
              <w:t>-2%</w:t>
            </w:r>
          </w:p>
        </w:tc>
      </w:tr>
      <w:tr w:rsidR="00CE4A5E" w:rsidRPr="000C3D40" w:rsidTr="00B53D00">
        <w:trPr>
          <w:trHeight w:val="315"/>
        </w:trPr>
        <w:tc>
          <w:tcPr>
            <w:tcW w:w="3276"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textAlignment w:val="auto"/>
              <w:rPr>
                <w:rFonts w:cs="Arial"/>
                <w:b/>
                <w:bCs/>
                <w:color w:val="000000"/>
                <w:sz w:val="16"/>
                <w:szCs w:val="16"/>
                <w:lang w:val="ru-RU" w:eastAsia="ru-RU"/>
              </w:rPr>
            </w:pPr>
            <w:r w:rsidRPr="000C3D40">
              <w:rPr>
                <w:rFonts w:cs="Arial"/>
                <w:b/>
                <w:bCs/>
                <w:color w:val="000000"/>
                <w:sz w:val="16"/>
                <w:szCs w:val="16"/>
                <w:lang w:val="ru-RU" w:eastAsia="ru-RU"/>
              </w:rPr>
              <w:t>Итого активы</w:t>
            </w:r>
          </w:p>
        </w:tc>
        <w:tc>
          <w:tcPr>
            <w:tcW w:w="1134"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14 341 470</w:t>
            </w:r>
          </w:p>
        </w:tc>
        <w:tc>
          <w:tcPr>
            <w:tcW w:w="1134"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14 394 446</w:t>
            </w:r>
          </w:p>
        </w:tc>
        <w:tc>
          <w:tcPr>
            <w:tcW w:w="1040"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100,0%</w:t>
            </w:r>
          </w:p>
        </w:tc>
        <w:tc>
          <w:tcPr>
            <w:tcW w:w="944"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100,0%</w:t>
            </w:r>
          </w:p>
        </w:tc>
        <w:tc>
          <w:tcPr>
            <w:tcW w:w="1134"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-52 976</w:t>
            </w:r>
          </w:p>
        </w:tc>
        <w:tc>
          <w:tcPr>
            <w:tcW w:w="992" w:type="dxa"/>
            <w:tcBorders>
              <w:top w:val="nil"/>
              <w:left w:val="nil"/>
              <w:bottom w:val="double" w:sz="6" w:space="0" w:color="auto"/>
              <w:right w:val="nil"/>
            </w:tcBorders>
            <w:shd w:val="clear" w:color="auto" w:fill="auto"/>
            <w:noWrap/>
            <w:vAlign w:val="center"/>
            <w:hideMark/>
          </w:tcPr>
          <w:p w:rsidR="00CE4A5E" w:rsidRPr="000C3D40" w:rsidRDefault="00CE4A5E" w:rsidP="00B53D00">
            <w:pPr>
              <w:overflowPunct/>
              <w:autoSpaceDE/>
              <w:autoSpaceDN/>
              <w:adjustRightInd/>
              <w:jc w:val="right"/>
              <w:textAlignment w:val="auto"/>
              <w:rPr>
                <w:rFonts w:cs="Arial"/>
                <w:b/>
                <w:bCs/>
                <w:color w:val="000000"/>
                <w:sz w:val="16"/>
                <w:szCs w:val="16"/>
                <w:lang w:val="ru-RU" w:eastAsia="ru-RU"/>
              </w:rPr>
            </w:pPr>
            <w:r w:rsidRPr="000C3D40">
              <w:rPr>
                <w:rFonts w:cs="Arial"/>
                <w:b/>
                <w:bCs/>
                <w:color w:val="000000"/>
                <w:sz w:val="16"/>
                <w:szCs w:val="16"/>
                <w:lang w:val="ru-RU" w:eastAsia="ru-RU"/>
              </w:rPr>
              <w:t>0%</w:t>
            </w:r>
          </w:p>
        </w:tc>
      </w:tr>
    </w:tbl>
    <w:p w:rsidR="00CE4A5E" w:rsidRDefault="00CE4A5E" w:rsidP="00CE4A5E">
      <w:pPr>
        <w:jc w:val="center"/>
        <w:rPr>
          <w:noProof/>
          <w:lang w:val="ru-RU" w:eastAsia="ru-RU"/>
        </w:rPr>
      </w:pPr>
    </w:p>
    <w:p w:rsidR="00CE4A5E" w:rsidRDefault="00702C3F" w:rsidP="00CE4A5E">
      <w:pPr>
        <w:jc w:val="center"/>
        <w:rPr>
          <w:noProof/>
          <w:lang w:val="ru-RU" w:eastAsia="ru-RU"/>
        </w:rPr>
      </w:pPr>
      <w:r>
        <w:rPr>
          <w:noProof/>
          <w:lang w:val="ru-RU" w:eastAsia="ru-RU"/>
        </w:rPr>
        <w:drawing>
          <wp:inline distT="0" distB="0" distL="0" distR="0" wp14:anchorId="5C68F3BD" wp14:editId="415B70A7">
            <wp:extent cx="5475626" cy="3768919"/>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2697" cy="3773786"/>
                    </a:xfrm>
                    <a:prstGeom prst="rect">
                      <a:avLst/>
                    </a:prstGeom>
                    <a:noFill/>
                  </pic:spPr>
                </pic:pic>
              </a:graphicData>
            </a:graphic>
          </wp:inline>
        </w:drawing>
      </w:r>
    </w:p>
    <w:p w:rsidR="00CE4A5E" w:rsidRDefault="00CE4A5E" w:rsidP="00CE4A5E">
      <w:pPr>
        <w:jc w:val="center"/>
        <w:rPr>
          <w:noProof/>
          <w:lang w:val="ru-RU" w:eastAsia="ru-RU"/>
        </w:rPr>
      </w:pPr>
    </w:p>
    <w:p w:rsidR="003D5AC4" w:rsidRDefault="003D5AC4" w:rsidP="00CE4A5E">
      <w:pPr>
        <w:pStyle w:val="2normal"/>
        <w:jc w:val="both"/>
        <w:rPr>
          <w:noProof/>
          <w:lang w:val="ru-RU" w:eastAsia="ru-RU"/>
        </w:rPr>
      </w:pPr>
    </w:p>
    <w:p w:rsidR="00702C3F" w:rsidRDefault="00702C3F" w:rsidP="00CE4A5E">
      <w:pPr>
        <w:pStyle w:val="2normal"/>
        <w:jc w:val="both"/>
        <w:rPr>
          <w:noProof/>
          <w:lang w:val="ru-RU" w:eastAsia="ru-RU"/>
        </w:rPr>
      </w:pPr>
    </w:p>
    <w:p w:rsidR="00702C3F" w:rsidRDefault="00702C3F" w:rsidP="00CE4A5E">
      <w:pPr>
        <w:pStyle w:val="2normal"/>
        <w:jc w:val="both"/>
        <w:rPr>
          <w:noProof/>
          <w:lang w:val="ru-RU" w:eastAsia="ru-RU"/>
        </w:rPr>
      </w:pPr>
    </w:p>
    <w:p w:rsidR="00702C3F" w:rsidRDefault="00702C3F" w:rsidP="00CE4A5E">
      <w:pPr>
        <w:pStyle w:val="2normal"/>
        <w:jc w:val="both"/>
        <w:rPr>
          <w:noProof/>
          <w:lang w:val="ru-RU" w:eastAsia="ru-RU"/>
        </w:rPr>
      </w:pPr>
    </w:p>
    <w:p w:rsidR="00702C3F" w:rsidRDefault="00702C3F" w:rsidP="00CE4A5E">
      <w:pPr>
        <w:pStyle w:val="2normal"/>
        <w:jc w:val="both"/>
        <w:rPr>
          <w:noProof/>
          <w:lang w:val="ru-RU" w:eastAsia="ru-RU"/>
        </w:rPr>
      </w:pPr>
    </w:p>
    <w:p w:rsidR="00CE4A5E" w:rsidRDefault="00CE4A5E" w:rsidP="00CE4A5E">
      <w:pPr>
        <w:pStyle w:val="2normal"/>
        <w:jc w:val="both"/>
        <w:rPr>
          <w:sz w:val="20"/>
          <w:szCs w:val="20"/>
          <w:lang w:val="ru-RU"/>
        </w:rPr>
      </w:pPr>
      <w:r>
        <w:rPr>
          <w:sz w:val="20"/>
          <w:szCs w:val="20"/>
          <w:lang w:val="ru-RU"/>
        </w:rPr>
        <w:lastRenderedPageBreak/>
        <w:t>С</w:t>
      </w:r>
      <w:r w:rsidRPr="0048010F">
        <w:rPr>
          <w:sz w:val="20"/>
          <w:szCs w:val="20"/>
          <w:lang w:val="ru-RU"/>
        </w:rPr>
        <w:t xml:space="preserve">труктура источников финансирования Банка </w:t>
      </w:r>
      <w:r w:rsidRPr="001B69F0">
        <w:rPr>
          <w:sz w:val="20"/>
          <w:szCs w:val="20"/>
          <w:lang w:val="ru-RU"/>
        </w:rPr>
        <w:t>за 31.12.201</w:t>
      </w:r>
      <w:r>
        <w:rPr>
          <w:sz w:val="20"/>
          <w:szCs w:val="20"/>
          <w:lang w:val="ru-RU"/>
        </w:rPr>
        <w:t xml:space="preserve">8 </w:t>
      </w:r>
      <w:r w:rsidRPr="0048010F">
        <w:rPr>
          <w:sz w:val="20"/>
          <w:szCs w:val="20"/>
          <w:lang w:val="ru-RU"/>
        </w:rPr>
        <w:t xml:space="preserve">включает следующие финансовые инструменты: </w:t>
      </w:r>
    </w:p>
    <w:tbl>
      <w:tblPr>
        <w:tblW w:w="9945" w:type="dxa"/>
        <w:tblInd w:w="93" w:type="dxa"/>
        <w:tblLook w:val="04A0" w:firstRow="1" w:lastRow="0" w:firstColumn="1" w:lastColumn="0" w:noHBand="0" w:noVBand="1"/>
      </w:tblPr>
      <w:tblGrid>
        <w:gridCol w:w="3417"/>
        <w:gridCol w:w="1134"/>
        <w:gridCol w:w="1134"/>
        <w:gridCol w:w="1040"/>
        <w:gridCol w:w="1040"/>
        <w:gridCol w:w="1120"/>
        <w:gridCol w:w="1060"/>
      </w:tblGrid>
      <w:tr w:rsidR="001D2BC3" w:rsidRPr="001D2BC3" w:rsidTr="00A702EE">
        <w:trPr>
          <w:trHeight w:val="445"/>
          <w:tblHeader/>
        </w:trPr>
        <w:tc>
          <w:tcPr>
            <w:tcW w:w="3417"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Пассивы</w:t>
            </w:r>
          </w:p>
        </w:tc>
        <w:tc>
          <w:tcPr>
            <w:tcW w:w="1134"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за 31.12.18</w:t>
            </w:r>
          </w:p>
        </w:tc>
        <w:tc>
          <w:tcPr>
            <w:tcW w:w="1134"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за 31.12.17</w:t>
            </w:r>
          </w:p>
        </w:tc>
        <w:tc>
          <w:tcPr>
            <w:tcW w:w="1040"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Доля за 31.12.18</w:t>
            </w:r>
          </w:p>
        </w:tc>
        <w:tc>
          <w:tcPr>
            <w:tcW w:w="1040" w:type="dxa"/>
            <w:tcBorders>
              <w:top w:val="nil"/>
              <w:left w:val="nil"/>
              <w:bottom w:val="single" w:sz="8" w:space="0" w:color="auto"/>
              <w:right w:val="nil"/>
            </w:tcBorders>
            <w:shd w:val="clear" w:color="auto" w:fill="auto"/>
            <w:vAlign w:val="center"/>
            <w:hideMark/>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Доля за 31.12.17</w:t>
            </w:r>
          </w:p>
        </w:tc>
        <w:tc>
          <w:tcPr>
            <w:tcW w:w="1120" w:type="dxa"/>
            <w:tcBorders>
              <w:top w:val="nil"/>
              <w:left w:val="nil"/>
              <w:bottom w:val="single" w:sz="8" w:space="0" w:color="auto"/>
              <w:right w:val="nil"/>
            </w:tcBorders>
            <w:shd w:val="clear" w:color="auto" w:fill="auto"/>
            <w:vAlign w:val="center"/>
            <w:hideMark/>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Изм.</w:t>
            </w:r>
            <w:r w:rsidRPr="001D2BC3">
              <w:rPr>
                <w:rFonts w:cs="Arial"/>
                <w:b/>
                <w:bCs/>
                <w:color w:val="000000"/>
                <w:sz w:val="16"/>
                <w:szCs w:val="16"/>
                <w:lang w:val="ru-RU" w:eastAsia="ru-RU"/>
              </w:rPr>
              <w:br/>
              <w:t>(+/-)</w:t>
            </w:r>
          </w:p>
        </w:tc>
        <w:tc>
          <w:tcPr>
            <w:tcW w:w="1060" w:type="dxa"/>
            <w:tcBorders>
              <w:top w:val="nil"/>
              <w:left w:val="nil"/>
              <w:bottom w:val="single" w:sz="8" w:space="0" w:color="auto"/>
              <w:right w:val="nil"/>
            </w:tcBorders>
            <w:shd w:val="clear" w:color="auto" w:fill="auto"/>
            <w:vAlign w:val="center"/>
            <w:hideMark/>
          </w:tcPr>
          <w:p w:rsidR="001D2BC3" w:rsidRPr="001D2BC3" w:rsidRDefault="001D2BC3" w:rsidP="00A702EE">
            <w:pPr>
              <w:overflowPunct/>
              <w:autoSpaceDE/>
              <w:autoSpaceDN/>
              <w:adjustRightInd/>
              <w:jc w:val="center"/>
              <w:textAlignment w:val="auto"/>
              <w:rPr>
                <w:rFonts w:cs="Arial"/>
                <w:b/>
                <w:bCs/>
                <w:color w:val="000000"/>
                <w:sz w:val="16"/>
                <w:szCs w:val="16"/>
                <w:lang w:val="ru-RU" w:eastAsia="ru-RU"/>
              </w:rPr>
            </w:pPr>
            <w:r w:rsidRPr="001D2BC3">
              <w:rPr>
                <w:rFonts w:cs="Arial"/>
                <w:b/>
                <w:bCs/>
                <w:color w:val="000000"/>
                <w:sz w:val="16"/>
                <w:szCs w:val="16"/>
                <w:lang w:val="ru-RU" w:eastAsia="ru-RU"/>
              </w:rPr>
              <w:t>Темп прироста</w:t>
            </w:r>
            <w:r w:rsidRPr="001D2BC3">
              <w:rPr>
                <w:rFonts w:cs="Arial"/>
                <w:b/>
                <w:bCs/>
                <w:color w:val="000000"/>
                <w:sz w:val="16"/>
                <w:szCs w:val="16"/>
                <w:lang w:val="ru-RU" w:eastAsia="ru-RU"/>
              </w:rPr>
              <w:br/>
              <w:t>(%)</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Средства кредитных организаций</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7</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51 547</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0,0%</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0,4%</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 xml:space="preserve"> (51 540)</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left="708"/>
              <w:textAlignment w:val="auto"/>
              <w:rPr>
                <w:rFonts w:cs="Arial"/>
                <w:b/>
                <w:bCs/>
                <w:color w:val="000000"/>
                <w:sz w:val="16"/>
                <w:szCs w:val="16"/>
                <w:lang w:val="ru-RU" w:eastAsia="ru-RU"/>
              </w:rPr>
            </w:pPr>
            <w:r w:rsidRPr="001D2BC3">
              <w:rPr>
                <w:rFonts w:cs="Arial"/>
                <w:b/>
                <w:bCs/>
                <w:color w:val="000000"/>
                <w:sz w:val="16"/>
                <w:szCs w:val="16"/>
              </w:rPr>
              <w:t>-</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Средства юридических лиц</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1 785 413</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1 866 113</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14,5%</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15,6%</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 xml:space="preserve"> (80 700)</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-4%</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191"/>
              <w:textAlignment w:val="auto"/>
              <w:rPr>
                <w:rFonts w:cs="Arial"/>
                <w:color w:val="000000"/>
                <w:sz w:val="16"/>
                <w:szCs w:val="16"/>
                <w:lang w:val="ru-RU" w:eastAsia="ru-RU"/>
              </w:rPr>
            </w:pPr>
            <w:r w:rsidRPr="001D2BC3">
              <w:rPr>
                <w:rFonts w:cs="Arial"/>
                <w:color w:val="000000"/>
                <w:sz w:val="16"/>
                <w:szCs w:val="16"/>
                <w:lang w:val="ru-RU" w:eastAsia="ru-RU"/>
              </w:rPr>
              <w:t>в т.ч. остатки на расчетных счетах</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1 461 193</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1 497 373</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11,9%</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12,5%</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xml:space="preserve"> (36 180)</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-2%</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Chars="385" w:firstLine="616"/>
              <w:textAlignment w:val="auto"/>
              <w:rPr>
                <w:rFonts w:cs="Arial"/>
                <w:color w:val="000000"/>
                <w:sz w:val="16"/>
                <w:szCs w:val="16"/>
                <w:lang w:val="ru-RU" w:eastAsia="ru-RU"/>
              </w:rPr>
            </w:pPr>
            <w:r w:rsidRPr="001D2BC3">
              <w:rPr>
                <w:rFonts w:cs="Arial"/>
                <w:color w:val="000000"/>
                <w:sz w:val="16"/>
                <w:szCs w:val="16"/>
                <w:lang w:val="ru-RU" w:eastAsia="ru-RU"/>
              </w:rPr>
              <w:t xml:space="preserve">срочные депозиты </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324 220</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368 740</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2,6%</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3,1%</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xml:space="preserve"> (44 520)</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-12%</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Средства индивидуальных предпринимателей</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635 332</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494 063</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5,2%</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4,1%</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141 269</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29%</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Chars="119" w:firstLine="190"/>
              <w:textAlignment w:val="auto"/>
              <w:rPr>
                <w:rFonts w:cs="Arial"/>
                <w:color w:val="000000"/>
                <w:sz w:val="16"/>
                <w:szCs w:val="16"/>
                <w:lang w:val="ru-RU" w:eastAsia="ru-RU"/>
              </w:rPr>
            </w:pPr>
            <w:r w:rsidRPr="001D2BC3">
              <w:rPr>
                <w:rFonts w:cs="Arial"/>
                <w:color w:val="000000"/>
                <w:sz w:val="16"/>
                <w:szCs w:val="16"/>
                <w:lang w:val="ru-RU" w:eastAsia="ru-RU"/>
              </w:rPr>
              <w:t>в т.ч. остатки на расчетных счетах</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526 460</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447 964</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4,3%</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3,7%</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78 496</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18%</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Chars="385" w:firstLine="616"/>
              <w:textAlignment w:val="auto"/>
              <w:rPr>
                <w:rFonts w:cs="Arial"/>
                <w:color w:val="000000"/>
                <w:sz w:val="16"/>
                <w:szCs w:val="16"/>
                <w:lang w:val="ru-RU" w:eastAsia="ru-RU"/>
              </w:rPr>
            </w:pPr>
            <w:r w:rsidRPr="001D2BC3">
              <w:rPr>
                <w:rFonts w:cs="Arial"/>
                <w:color w:val="000000"/>
                <w:sz w:val="16"/>
                <w:szCs w:val="16"/>
                <w:lang w:val="ru-RU" w:eastAsia="ru-RU"/>
              </w:rPr>
              <w:t xml:space="preserve">срочные депозиты </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108 930</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46 099</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0,9%</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0,4%</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62 831</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136%</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Вклады (средства) физических лиц</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9 627 347</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9 352 519</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78,3%</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78,2%</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274 828</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3%</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191"/>
              <w:textAlignment w:val="auto"/>
              <w:rPr>
                <w:rFonts w:cs="Arial"/>
                <w:color w:val="000000"/>
                <w:sz w:val="16"/>
                <w:szCs w:val="16"/>
                <w:lang w:val="ru-RU" w:eastAsia="ru-RU"/>
              </w:rPr>
            </w:pPr>
            <w:r w:rsidRPr="001D2BC3">
              <w:rPr>
                <w:rFonts w:cs="Arial"/>
                <w:color w:val="000000"/>
                <w:sz w:val="16"/>
                <w:szCs w:val="16"/>
                <w:lang w:val="ru-RU" w:eastAsia="ru-RU"/>
              </w:rPr>
              <w:t>в т.ч. остатки на пластиковых счетах</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1 269 438</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936 577</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10,3%</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7,8%</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332 861</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36%</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ind w:firstLineChars="385" w:firstLine="616"/>
              <w:textAlignment w:val="auto"/>
              <w:rPr>
                <w:rFonts w:cs="Arial"/>
                <w:color w:val="000000"/>
                <w:sz w:val="16"/>
                <w:szCs w:val="16"/>
                <w:lang w:val="ru-RU" w:eastAsia="ru-RU"/>
              </w:rPr>
            </w:pPr>
            <w:r w:rsidRPr="001D2BC3">
              <w:rPr>
                <w:rFonts w:cs="Arial"/>
                <w:color w:val="000000"/>
                <w:sz w:val="16"/>
                <w:szCs w:val="16"/>
                <w:lang w:val="ru-RU" w:eastAsia="ru-RU"/>
              </w:rPr>
              <w:t>средства до востребования</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458 513</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436 633</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3,7%</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3,6%</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21 880</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5%</w:t>
            </w:r>
          </w:p>
        </w:tc>
      </w:tr>
      <w:tr w:rsidR="001D2BC3" w:rsidRPr="001D2BC3" w:rsidTr="00A702EE">
        <w:trPr>
          <w:trHeight w:val="300"/>
        </w:trPr>
        <w:tc>
          <w:tcPr>
            <w:tcW w:w="3417"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color w:val="000000"/>
                <w:sz w:val="16"/>
                <w:szCs w:val="16"/>
                <w:lang w:val="ru-RU" w:eastAsia="ru-RU"/>
              </w:rPr>
            </w:pPr>
            <w:r w:rsidRPr="001D2BC3">
              <w:rPr>
                <w:rFonts w:cs="Arial"/>
                <w:color w:val="000000"/>
                <w:sz w:val="16"/>
                <w:szCs w:val="16"/>
                <w:lang w:val="ru-RU" w:eastAsia="ru-RU"/>
              </w:rPr>
              <w:t xml:space="preserve">              срочные вклады</w:t>
            </w:r>
          </w:p>
        </w:tc>
        <w:tc>
          <w:tcPr>
            <w:tcW w:w="1134"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7 899 396</w:t>
            </w:r>
          </w:p>
        </w:tc>
        <w:tc>
          <w:tcPr>
            <w:tcW w:w="1134"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7 979 309</w:t>
            </w:r>
          </w:p>
        </w:tc>
        <w:tc>
          <w:tcPr>
            <w:tcW w:w="1040" w:type="dxa"/>
            <w:tcBorders>
              <w:top w:val="nil"/>
              <w:left w:val="nil"/>
              <w:bottom w:val="nil"/>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64,3%</w:t>
            </w:r>
          </w:p>
        </w:tc>
        <w:tc>
          <w:tcPr>
            <w:tcW w:w="104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66,7%</w:t>
            </w:r>
          </w:p>
        </w:tc>
        <w:tc>
          <w:tcPr>
            <w:tcW w:w="1120" w:type="dxa"/>
            <w:tcBorders>
              <w:top w:val="nil"/>
              <w:left w:val="nil"/>
              <w:bottom w:val="nil"/>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xml:space="preserve"> (79 913)</w:t>
            </w:r>
          </w:p>
        </w:tc>
        <w:tc>
          <w:tcPr>
            <w:tcW w:w="1060" w:type="dxa"/>
            <w:tcBorders>
              <w:top w:val="nil"/>
              <w:left w:val="nil"/>
              <w:bottom w:val="nil"/>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-1%</w:t>
            </w:r>
          </w:p>
        </w:tc>
      </w:tr>
      <w:tr w:rsidR="001D2BC3" w:rsidRPr="001D2BC3" w:rsidTr="00A702EE">
        <w:trPr>
          <w:trHeight w:val="315"/>
        </w:trPr>
        <w:tc>
          <w:tcPr>
            <w:tcW w:w="3417"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Прочие обязательства</w:t>
            </w:r>
          </w:p>
        </w:tc>
        <w:tc>
          <w:tcPr>
            <w:tcW w:w="1134"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246 648</w:t>
            </w:r>
          </w:p>
        </w:tc>
        <w:tc>
          <w:tcPr>
            <w:tcW w:w="1134"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198 736</w:t>
            </w:r>
          </w:p>
        </w:tc>
        <w:tc>
          <w:tcPr>
            <w:tcW w:w="1040"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2,0%</w:t>
            </w:r>
          </w:p>
        </w:tc>
        <w:tc>
          <w:tcPr>
            <w:tcW w:w="1040"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1,7%</w:t>
            </w:r>
          </w:p>
        </w:tc>
        <w:tc>
          <w:tcPr>
            <w:tcW w:w="1120" w:type="dxa"/>
            <w:tcBorders>
              <w:top w:val="nil"/>
              <w:left w:val="nil"/>
              <w:bottom w:val="single" w:sz="8" w:space="0" w:color="auto"/>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47 912</w:t>
            </w:r>
          </w:p>
        </w:tc>
        <w:tc>
          <w:tcPr>
            <w:tcW w:w="1060"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24%</w:t>
            </w:r>
          </w:p>
        </w:tc>
      </w:tr>
      <w:tr w:rsidR="001D2BC3" w:rsidRPr="001D2BC3" w:rsidTr="00A702EE">
        <w:trPr>
          <w:trHeight w:val="330"/>
        </w:trPr>
        <w:tc>
          <w:tcPr>
            <w:tcW w:w="3417" w:type="dxa"/>
            <w:tcBorders>
              <w:top w:val="single" w:sz="8" w:space="0" w:color="auto"/>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Итого обязательства</w:t>
            </w:r>
          </w:p>
        </w:tc>
        <w:tc>
          <w:tcPr>
            <w:tcW w:w="1134" w:type="dxa"/>
            <w:tcBorders>
              <w:top w:val="single" w:sz="8" w:space="0" w:color="auto"/>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ind w:left="-44" w:firstLine="44"/>
              <w:jc w:val="right"/>
              <w:textAlignment w:val="auto"/>
              <w:rPr>
                <w:rFonts w:cs="Arial"/>
                <w:b/>
                <w:bCs/>
                <w:color w:val="000000"/>
                <w:sz w:val="16"/>
                <w:szCs w:val="16"/>
                <w:lang w:val="ru-RU" w:eastAsia="ru-RU"/>
              </w:rPr>
            </w:pPr>
            <w:r w:rsidRPr="001D2BC3">
              <w:rPr>
                <w:rFonts w:cs="Arial"/>
                <w:b/>
                <w:bCs/>
                <w:color w:val="000000"/>
                <w:sz w:val="16"/>
                <w:szCs w:val="16"/>
              </w:rPr>
              <w:t>12 294 747</w:t>
            </w:r>
          </w:p>
        </w:tc>
        <w:tc>
          <w:tcPr>
            <w:tcW w:w="1134" w:type="dxa"/>
            <w:tcBorders>
              <w:top w:val="single" w:sz="8" w:space="0" w:color="auto"/>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11 962 978</w:t>
            </w:r>
          </w:p>
        </w:tc>
        <w:tc>
          <w:tcPr>
            <w:tcW w:w="1040" w:type="dxa"/>
            <w:tcBorders>
              <w:top w:val="single" w:sz="8" w:space="0" w:color="auto"/>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100,0%</w:t>
            </w:r>
          </w:p>
        </w:tc>
        <w:tc>
          <w:tcPr>
            <w:tcW w:w="1040" w:type="dxa"/>
            <w:tcBorders>
              <w:top w:val="single" w:sz="8" w:space="0" w:color="auto"/>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100,0%</w:t>
            </w:r>
          </w:p>
        </w:tc>
        <w:tc>
          <w:tcPr>
            <w:tcW w:w="1120" w:type="dxa"/>
            <w:tcBorders>
              <w:top w:val="single" w:sz="8" w:space="0" w:color="auto"/>
              <w:left w:val="nil"/>
              <w:bottom w:val="single" w:sz="8" w:space="0" w:color="auto"/>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331 769</w:t>
            </w:r>
          </w:p>
        </w:tc>
        <w:tc>
          <w:tcPr>
            <w:tcW w:w="1060" w:type="dxa"/>
            <w:tcBorders>
              <w:top w:val="single" w:sz="8" w:space="0" w:color="auto"/>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3%</w:t>
            </w:r>
          </w:p>
        </w:tc>
      </w:tr>
      <w:tr w:rsidR="001D2BC3" w:rsidRPr="001D2BC3" w:rsidTr="00A702EE">
        <w:trPr>
          <w:trHeight w:val="165"/>
        </w:trPr>
        <w:tc>
          <w:tcPr>
            <w:tcW w:w="3417"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color w:val="000000"/>
                <w:sz w:val="16"/>
                <w:szCs w:val="16"/>
                <w:lang w:val="ru-RU" w:eastAsia="ru-RU"/>
              </w:rPr>
            </w:pPr>
            <w:r w:rsidRPr="001D2BC3">
              <w:rPr>
                <w:rFonts w:cs="Arial"/>
                <w:color w:val="000000"/>
                <w:sz w:val="16"/>
                <w:szCs w:val="16"/>
                <w:lang w:val="ru-RU" w:eastAsia="ru-RU"/>
              </w:rPr>
              <w:t> </w:t>
            </w:r>
          </w:p>
        </w:tc>
        <w:tc>
          <w:tcPr>
            <w:tcW w:w="1134"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c>
          <w:tcPr>
            <w:tcW w:w="1134"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c>
          <w:tcPr>
            <w:tcW w:w="1040" w:type="dxa"/>
            <w:tcBorders>
              <w:top w:val="nil"/>
              <w:left w:val="nil"/>
              <w:bottom w:val="single" w:sz="8" w:space="0" w:color="auto"/>
              <w:right w:val="nil"/>
            </w:tcBorders>
            <w:vAlign w:val="center"/>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c>
          <w:tcPr>
            <w:tcW w:w="1040"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c>
          <w:tcPr>
            <w:tcW w:w="1120"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c>
          <w:tcPr>
            <w:tcW w:w="1060" w:type="dxa"/>
            <w:tcBorders>
              <w:top w:val="nil"/>
              <w:left w:val="nil"/>
              <w:bottom w:val="single" w:sz="8"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color w:val="000000"/>
                <w:sz w:val="16"/>
                <w:szCs w:val="16"/>
                <w:lang w:val="ru-RU" w:eastAsia="ru-RU"/>
              </w:rPr>
            </w:pPr>
            <w:r w:rsidRPr="001D2BC3">
              <w:rPr>
                <w:rFonts w:cs="Arial"/>
                <w:color w:val="000000"/>
                <w:sz w:val="16"/>
                <w:szCs w:val="16"/>
              </w:rPr>
              <w:t> </w:t>
            </w:r>
          </w:p>
        </w:tc>
      </w:tr>
      <w:tr w:rsidR="001D2BC3" w:rsidRPr="001D2BC3" w:rsidTr="00A702EE">
        <w:trPr>
          <w:trHeight w:val="315"/>
        </w:trPr>
        <w:tc>
          <w:tcPr>
            <w:tcW w:w="3417" w:type="dxa"/>
            <w:tcBorders>
              <w:top w:val="single" w:sz="8" w:space="0" w:color="auto"/>
              <w:left w:val="nil"/>
              <w:bottom w:val="double" w:sz="4" w:space="0" w:color="auto"/>
              <w:right w:val="nil"/>
            </w:tcBorders>
            <w:shd w:val="clear" w:color="auto" w:fill="auto"/>
            <w:noWrap/>
            <w:vAlign w:val="center"/>
            <w:hideMark/>
          </w:tcPr>
          <w:p w:rsidR="001D2BC3" w:rsidRPr="001D2BC3" w:rsidRDefault="001D2BC3" w:rsidP="00A702EE">
            <w:pPr>
              <w:overflowPunct/>
              <w:autoSpaceDE/>
              <w:autoSpaceDN/>
              <w:adjustRightInd/>
              <w:textAlignment w:val="auto"/>
              <w:rPr>
                <w:rFonts w:cs="Arial"/>
                <w:b/>
                <w:bCs/>
                <w:color w:val="000000"/>
                <w:sz w:val="16"/>
                <w:szCs w:val="16"/>
                <w:lang w:val="ru-RU" w:eastAsia="ru-RU"/>
              </w:rPr>
            </w:pPr>
            <w:r w:rsidRPr="001D2BC3">
              <w:rPr>
                <w:rFonts w:cs="Arial"/>
                <w:b/>
                <w:bCs/>
                <w:color w:val="000000"/>
                <w:sz w:val="16"/>
                <w:szCs w:val="16"/>
                <w:lang w:val="ru-RU" w:eastAsia="ru-RU"/>
              </w:rPr>
              <w:t>Собственные средства</w:t>
            </w:r>
          </w:p>
        </w:tc>
        <w:tc>
          <w:tcPr>
            <w:tcW w:w="1134" w:type="dxa"/>
            <w:tcBorders>
              <w:top w:val="single" w:sz="8" w:space="0" w:color="auto"/>
              <w:left w:val="nil"/>
              <w:bottom w:val="double" w:sz="4"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2 046 723</w:t>
            </w:r>
          </w:p>
        </w:tc>
        <w:tc>
          <w:tcPr>
            <w:tcW w:w="1134" w:type="dxa"/>
            <w:tcBorders>
              <w:top w:val="single" w:sz="8" w:space="0" w:color="auto"/>
              <w:left w:val="nil"/>
              <w:bottom w:val="double" w:sz="4"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2 431 468</w:t>
            </w:r>
          </w:p>
        </w:tc>
        <w:tc>
          <w:tcPr>
            <w:tcW w:w="1040" w:type="dxa"/>
            <w:tcBorders>
              <w:top w:val="single" w:sz="8" w:space="0" w:color="auto"/>
              <w:left w:val="nil"/>
              <w:bottom w:val="double" w:sz="4" w:space="0" w:color="auto"/>
              <w:right w:val="nil"/>
            </w:tcBorders>
            <w:vAlign w:val="center"/>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 </w:t>
            </w:r>
          </w:p>
        </w:tc>
        <w:tc>
          <w:tcPr>
            <w:tcW w:w="1040" w:type="dxa"/>
            <w:tcBorders>
              <w:top w:val="single" w:sz="8" w:space="0" w:color="auto"/>
              <w:left w:val="nil"/>
              <w:bottom w:val="double" w:sz="4"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 </w:t>
            </w:r>
          </w:p>
        </w:tc>
        <w:tc>
          <w:tcPr>
            <w:tcW w:w="1120" w:type="dxa"/>
            <w:tcBorders>
              <w:top w:val="single" w:sz="8" w:space="0" w:color="auto"/>
              <w:left w:val="nil"/>
              <w:bottom w:val="double" w:sz="4" w:space="0" w:color="auto"/>
              <w:right w:val="nil"/>
            </w:tcBorders>
            <w:shd w:val="clear" w:color="auto" w:fill="auto"/>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 xml:space="preserve"> (384 745)</w:t>
            </w:r>
          </w:p>
        </w:tc>
        <w:tc>
          <w:tcPr>
            <w:tcW w:w="1060" w:type="dxa"/>
            <w:tcBorders>
              <w:top w:val="single" w:sz="8" w:space="0" w:color="auto"/>
              <w:left w:val="nil"/>
              <w:bottom w:val="double" w:sz="4" w:space="0" w:color="auto"/>
              <w:right w:val="nil"/>
            </w:tcBorders>
            <w:shd w:val="clear" w:color="auto" w:fill="auto"/>
            <w:noWrap/>
            <w:vAlign w:val="center"/>
            <w:hideMark/>
          </w:tcPr>
          <w:p w:rsidR="001D2BC3" w:rsidRPr="001D2BC3" w:rsidRDefault="001D2BC3" w:rsidP="00A702EE">
            <w:pPr>
              <w:overflowPunct/>
              <w:autoSpaceDE/>
              <w:autoSpaceDN/>
              <w:adjustRightInd/>
              <w:jc w:val="right"/>
              <w:textAlignment w:val="auto"/>
              <w:rPr>
                <w:rFonts w:cs="Arial"/>
                <w:b/>
                <w:bCs/>
                <w:color w:val="000000"/>
                <w:sz w:val="16"/>
                <w:szCs w:val="16"/>
                <w:lang w:val="ru-RU" w:eastAsia="ru-RU"/>
              </w:rPr>
            </w:pPr>
            <w:r w:rsidRPr="001D2BC3">
              <w:rPr>
                <w:rFonts w:cs="Arial"/>
                <w:b/>
                <w:bCs/>
                <w:color w:val="000000"/>
                <w:sz w:val="16"/>
                <w:szCs w:val="16"/>
              </w:rPr>
              <w:t>-16%</w:t>
            </w:r>
          </w:p>
        </w:tc>
      </w:tr>
    </w:tbl>
    <w:p w:rsidR="001D2BC3" w:rsidRPr="001D2BC3" w:rsidRDefault="001D2BC3" w:rsidP="001D2BC3">
      <w:pPr>
        <w:pStyle w:val="2normal"/>
        <w:jc w:val="both"/>
        <w:rPr>
          <w:sz w:val="20"/>
          <w:szCs w:val="20"/>
          <w:lang w:val="ru-RU"/>
        </w:rPr>
      </w:pPr>
    </w:p>
    <w:p w:rsidR="001D2BC3" w:rsidRPr="00E933F5" w:rsidRDefault="001D2BC3" w:rsidP="001D2BC3">
      <w:pPr>
        <w:pStyle w:val="2normal"/>
        <w:jc w:val="both"/>
        <w:rPr>
          <w:sz w:val="20"/>
          <w:szCs w:val="20"/>
          <w:lang w:val="ru-RU"/>
        </w:rPr>
      </w:pPr>
      <w:r w:rsidRPr="001D2BC3">
        <w:rPr>
          <w:sz w:val="20"/>
          <w:szCs w:val="20"/>
          <w:lang w:val="ru-RU"/>
        </w:rPr>
        <w:t>Структура привлеченных средств Банка включает средства клиентов привлеченные в срочные депозиты, на расчетные счета и на счета «до востребования». Доля средств юридических лиц в общей сумме обязательств банка за 31.12.2018 – 14,5%, доля средств физических лиц – 78,3%, доля средств индивидуальных предпринимателей – 5,2% (за 31.12.2017: 15,6%, 78,2% и 4,1% соответственно).</w:t>
      </w:r>
    </w:p>
    <w:p w:rsidR="001D2BC3" w:rsidRPr="00E933F5" w:rsidRDefault="001D2BC3" w:rsidP="001D2BC3">
      <w:pPr>
        <w:pStyle w:val="2normal"/>
        <w:jc w:val="both"/>
        <w:rPr>
          <w:sz w:val="20"/>
          <w:szCs w:val="20"/>
          <w:lang w:val="ru-RU"/>
        </w:rPr>
      </w:pPr>
    </w:p>
    <w:p w:rsidR="001D2BC3" w:rsidRPr="00E933F5" w:rsidRDefault="001D2BC3" w:rsidP="001D2BC3">
      <w:pPr>
        <w:pStyle w:val="2normal"/>
        <w:jc w:val="center"/>
        <w:rPr>
          <w:sz w:val="20"/>
          <w:szCs w:val="20"/>
          <w:lang w:val="ru-RU"/>
        </w:rPr>
      </w:pPr>
      <w:r>
        <w:rPr>
          <w:noProof/>
          <w:sz w:val="20"/>
          <w:szCs w:val="20"/>
          <w:lang w:val="ru-RU" w:eastAsia="ru-RU"/>
        </w:rPr>
        <w:drawing>
          <wp:inline distT="0" distB="0" distL="0" distR="0" wp14:anchorId="44B26585" wp14:editId="0AED65FA">
            <wp:extent cx="5298141" cy="339520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8601" cy="3395502"/>
                    </a:xfrm>
                    <a:prstGeom prst="rect">
                      <a:avLst/>
                    </a:prstGeom>
                    <a:noFill/>
                  </pic:spPr>
                </pic:pic>
              </a:graphicData>
            </a:graphic>
          </wp:inline>
        </w:drawing>
      </w:r>
    </w:p>
    <w:p w:rsidR="001D2BC3" w:rsidRPr="00E933F5" w:rsidRDefault="001D2BC3" w:rsidP="001D2BC3">
      <w:pPr>
        <w:pStyle w:val="2normal"/>
        <w:jc w:val="both"/>
        <w:rPr>
          <w:sz w:val="20"/>
          <w:szCs w:val="20"/>
          <w:lang w:val="ru-RU"/>
        </w:rPr>
      </w:pPr>
    </w:p>
    <w:p w:rsidR="001D2BC3" w:rsidRDefault="001D2BC3" w:rsidP="00CE4A5E">
      <w:pPr>
        <w:pStyle w:val="2normal"/>
        <w:jc w:val="both"/>
        <w:rPr>
          <w:b/>
          <w:i/>
          <w:szCs w:val="18"/>
          <w:lang w:val="ru-RU"/>
        </w:rPr>
      </w:pPr>
    </w:p>
    <w:p w:rsidR="00CE4A5E" w:rsidRDefault="00CE4A5E" w:rsidP="00CE4A5E">
      <w:pPr>
        <w:pStyle w:val="2normal"/>
        <w:jc w:val="both"/>
        <w:rPr>
          <w:b/>
          <w:i/>
          <w:szCs w:val="18"/>
          <w:lang w:val="ru-RU"/>
        </w:rPr>
      </w:pPr>
      <w:r w:rsidRPr="00856080">
        <w:rPr>
          <w:b/>
          <w:i/>
          <w:szCs w:val="18"/>
          <w:lang w:val="ru-RU"/>
        </w:rPr>
        <w:t>Формирование финансового результата банка</w:t>
      </w:r>
    </w:p>
    <w:p w:rsidR="00CE4A5E" w:rsidRPr="00856080" w:rsidRDefault="00CE4A5E" w:rsidP="00CE4A5E">
      <w:pPr>
        <w:pStyle w:val="2normal"/>
        <w:jc w:val="both"/>
        <w:rPr>
          <w:b/>
          <w:i/>
          <w:szCs w:val="18"/>
          <w:lang w:val="ru-RU"/>
        </w:rPr>
      </w:pPr>
    </w:p>
    <w:p w:rsidR="00CE4A5E" w:rsidRDefault="00CE4A5E" w:rsidP="00CE4A5E">
      <w:pPr>
        <w:pStyle w:val="2normal"/>
        <w:jc w:val="both"/>
        <w:rPr>
          <w:sz w:val="20"/>
          <w:szCs w:val="20"/>
          <w:lang w:val="ru-RU"/>
        </w:rPr>
      </w:pPr>
      <w:r>
        <w:rPr>
          <w:sz w:val="20"/>
          <w:szCs w:val="20"/>
          <w:lang w:val="ru-RU"/>
        </w:rPr>
        <w:t xml:space="preserve">Аналитическая прибыль от операционной деятельности  Банка до налогообложения за 2018 год составила 111 900 тыс.руб., </w:t>
      </w:r>
      <w:r w:rsidR="00B53D00">
        <w:rPr>
          <w:sz w:val="20"/>
          <w:szCs w:val="20"/>
          <w:lang w:val="ru-RU"/>
        </w:rPr>
        <w:t>с</w:t>
      </w:r>
      <w:r>
        <w:rPr>
          <w:sz w:val="20"/>
          <w:szCs w:val="20"/>
          <w:lang w:val="ru-RU"/>
        </w:rPr>
        <w:t xml:space="preserve">  учетом фактически сложившихся  геополитических  факторов, выраженных в падении котировок ценных бумаг (негативное влияние на балансовую прибыль 159 714 тыс.руб.), а так же  создание резервов по крупным выданным ссудам  (негативное влияние на балансовую прибыль 187 403 тыс.руб.), начисленные и уплаченные налоги – 51</w:t>
      </w:r>
      <w:r w:rsidR="00B53D00">
        <w:rPr>
          <w:sz w:val="20"/>
          <w:szCs w:val="20"/>
          <w:lang w:val="ru-RU"/>
        </w:rPr>
        <w:t xml:space="preserve"> </w:t>
      </w:r>
      <w:r>
        <w:rPr>
          <w:sz w:val="20"/>
          <w:szCs w:val="20"/>
          <w:lang w:val="ru-RU"/>
        </w:rPr>
        <w:t>950 тыс.руб. ,  итоговый, отразившийся на балансе Банка, финансовый результат составил – 287 167 тыс.руб.</w:t>
      </w:r>
    </w:p>
    <w:p w:rsidR="00CE4A5E" w:rsidRDefault="00CE4A5E" w:rsidP="00CE4A5E">
      <w:pPr>
        <w:pStyle w:val="2normal"/>
        <w:jc w:val="both"/>
        <w:rPr>
          <w:sz w:val="20"/>
          <w:szCs w:val="20"/>
          <w:lang w:val="ru-RU"/>
        </w:rPr>
      </w:pPr>
    </w:p>
    <w:tbl>
      <w:tblPr>
        <w:tblW w:w="9233" w:type="dxa"/>
        <w:tblInd w:w="93" w:type="dxa"/>
        <w:tblLook w:val="04A0" w:firstRow="1" w:lastRow="0" w:firstColumn="1" w:lastColumn="0" w:noHBand="0" w:noVBand="1"/>
      </w:tblPr>
      <w:tblGrid>
        <w:gridCol w:w="4693"/>
        <w:gridCol w:w="1180"/>
        <w:gridCol w:w="1180"/>
        <w:gridCol w:w="1180"/>
        <w:gridCol w:w="1000"/>
      </w:tblGrid>
      <w:tr w:rsidR="00CE4A5E" w:rsidRPr="00111880" w:rsidTr="00B53D00">
        <w:trPr>
          <w:trHeight w:val="300"/>
        </w:trPr>
        <w:tc>
          <w:tcPr>
            <w:tcW w:w="4693" w:type="dxa"/>
            <w:tcBorders>
              <w:top w:val="single" w:sz="4" w:space="0" w:color="auto"/>
              <w:left w:val="nil"/>
              <w:bottom w:val="single" w:sz="4"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b/>
                <w:bCs/>
                <w:color w:val="000000"/>
                <w:sz w:val="16"/>
                <w:szCs w:val="16"/>
                <w:lang w:val="ru-RU" w:eastAsia="ru-RU"/>
              </w:rPr>
            </w:pPr>
            <w:r w:rsidRPr="00725FF0">
              <w:rPr>
                <w:rFonts w:cs="Arial"/>
                <w:b/>
                <w:bCs/>
                <w:color w:val="000000"/>
                <w:sz w:val="16"/>
                <w:szCs w:val="16"/>
                <w:lang w:val="ru-RU" w:eastAsia="ru-RU"/>
              </w:rPr>
              <w:t>Показатель</w:t>
            </w:r>
          </w:p>
        </w:tc>
        <w:tc>
          <w:tcPr>
            <w:tcW w:w="1180" w:type="dxa"/>
            <w:tcBorders>
              <w:top w:val="single" w:sz="4" w:space="0" w:color="auto"/>
              <w:left w:val="nil"/>
              <w:bottom w:val="single" w:sz="4" w:space="0" w:color="auto"/>
              <w:right w:val="nil"/>
            </w:tcBorders>
            <w:shd w:val="clear" w:color="auto" w:fill="auto"/>
            <w:noWrap/>
            <w:vAlign w:val="center"/>
            <w:hideMark/>
          </w:tcPr>
          <w:p w:rsidR="00CE4A5E" w:rsidRPr="00713DD1" w:rsidRDefault="00CE4A5E" w:rsidP="00B53D00">
            <w:pPr>
              <w:overflowPunct/>
              <w:autoSpaceDE/>
              <w:autoSpaceDN/>
              <w:adjustRightInd/>
              <w:jc w:val="center"/>
              <w:textAlignment w:val="auto"/>
              <w:rPr>
                <w:rFonts w:cs="Arial"/>
                <w:b/>
                <w:bCs/>
                <w:color w:val="000000"/>
                <w:sz w:val="16"/>
                <w:szCs w:val="16"/>
                <w:lang w:val="ru-RU" w:eastAsia="ru-RU"/>
              </w:rPr>
            </w:pPr>
            <w:r w:rsidRPr="00DC6BEF">
              <w:rPr>
                <w:rFonts w:cs="Arial"/>
                <w:b/>
                <w:bCs/>
                <w:color w:val="000000"/>
                <w:sz w:val="16"/>
                <w:szCs w:val="16"/>
                <w:lang w:val="ru-RU" w:eastAsia="ru-RU"/>
              </w:rPr>
              <w:t xml:space="preserve">    </w:t>
            </w:r>
            <w:r w:rsidRPr="00713DD1">
              <w:rPr>
                <w:rFonts w:cs="Arial"/>
                <w:b/>
                <w:bCs/>
                <w:color w:val="000000"/>
                <w:sz w:val="16"/>
                <w:szCs w:val="16"/>
                <w:lang w:val="ru-RU" w:eastAsia="ru-RU"/>
              </w:rPr>
              <w:t>2018</w:t>
            </w:r>
          </w:p>
        </w:tc>
        <w:tc>
          <w:tcPr>
            <w:tcW w:w="1180" w:type="dxa"/>
            <w:tcBorders>
              <w:top w:val="single" w:sz="4" w:space="0" w:color="auto"/>
              <w:left w:val="nil"/>
              <w:bottom w:val="single" w:sz="4" w:space="0" w:color="auto"/>
              <w:right w:val="nil"/>
            </w:tcBorders>
            <w:vAlign w:val="center"/>
          </w:tcPr>
          <w:p w:rsidR="00CE4A5E" w:rsidRPr="00DC6BEF" w:rsidRDefault="00CE4A5E" w:rsidP="00B53D00">
            <w:pPr>
              <w:overflowPunct/>
              <w:autoSpaceDE/>
              <w:autoSpaceDN/>
              <w:adjustRightInd/>
              <w:jc w:val="center"/>
              <w:textAlignment w:val="auto"/>
              <w:rPr>
                <w:rFonts w:cs="Arial"/>
                <w:b/>
                <w:bCs/>
                <w:color w:val="000000"/>
                <w:sz w:val="16"/>
                <w:szCs w:val="16"/>
                <w:lang w:val="ru-RU" w:eastAsia="ru-RU"/>
              </w:rPr>
            </w:pPr>
            <w:r w:rsidRPr="00DC6BEF">
              <w:rPr>
                <w:rFonts w:cs="Arial"/>
                <w:b/>
                <w:bCs/>
                <w:color w:val="000000"/>
                <w:sz w:val="16"/>
                <w:szCs w:val="16"/>
                <w:lang w:val="ru-RU" w:eastAsia="ru-RU"/>
              </w:rPr>
              <w:t xml:space="preserve">    </w:t>
            </w:r>
            <w:r w:rsidRPr="00713DD1">
              <w:rPr>
                <w:rFonts w:cs="Arial"/>
                <w:b/>
                <w:bCs/>
                <w:color w:val="000000"/>
                <w:sz w:val="16"/>
                <w:szCs w:val="16"/>
                <w:lang w:val="ru-RU" w:eastAsia="ru-RU"/>
              </w:rPr>
              <w:t>2017</w:t>
            </w:r>
          </w:p>
        </w:tc>
        <w:tc>
          <w:tcPr>
            <w:tcW w:w="1180" w:type="dxa"/>
            <w:tcBorders>
              <w:top w:val="single" w:sz="4" w:space="0" w:color="auto"/>
              <w:left w:val="nil"/>
              <w:bottom w:val="single" w:sz="4" w:space="0" w:color="auto"/>
              <w:right w:val="nil"/>
            </w:tcBorders>
            <w:shd w:val="clear" w:color="auto" w:fill="auto"/>
            <w:noWrap/>
            <w:vAlign w:val="center"/>
            <w:hideMark/>
          </w:tcPr>
          <w:p w:rsidR="00CE4A5E" w:rsidRPr="00713DD1" w:rsidRDefault="00CE4A5E" w:rsidP="00B53D00">
            <w:pPr>
              <w:overflowPunct/>
              <w:autoSpaceDE/>
              <w:autoSpaceDN/>
              <w:adjustRightInd/>
              <w:jc w:val="center"/>
              <w:textAlignment w:val="auto"/>
              <w:rPr>
                <w:rFonts w:cs="Arial"/>
                <w:b/>
                <w:bCs/>
                <w:color w:val="000000"/>
                <w:sz w:val="16"/>
                <w:szCs w:val="16"/>
                <w:lang w:val="ru-RU" w:eastAsia="ru-RU"/>
              </w:rPr>
            </w:pPr>
            <w:r w:rsidRPr="00713DD1">
              <w:rPr>
                <w:rFonts w:cs="Arial"/>
                <w:b/>
                <w:bCs/>
                <w:color w:val="000000"/>
                <w:sz w:val="16"/>
                <w:szCs w:val="16"/>
                <w:lang w:val="ru-RU" w:eastAsia="ru-RU"/>
              </w:rPr>
              <w:t>Изм.(+/-)</w:t>
            </w:r>
          </w:p>
        </w:tc>
        <w:tc>
          <w:tcPr>
            <w:tcW w:w="1000" w:type="dxa"/>
            <w:tcBorders>
              <w:top w:val="single" w:sz="4" w:space="0" w:color="auto"/>
              <w:left w:val="nil"/>
              <w:bottom w:val="single" w:sz="4" w:space="0" w:color="auto"/>
              <w:right w:val="nil"/>
            </w:tcBorders>
            <w:shd w:val="clear" w:color="auto" w:fill="auto"/>
            <w:noWrap/>
            <w:vAlign w:val="center"/>
            <w:hideMark/>
          </w:tcPr>
          <w:p w:rsidR="00CE4A5E" w:rsidRPr="00713DD1" w:rsidRDefault="00CE4A5E" w:rsidP="00B53D00">
            <w:pPr>
              <w:overflowPunct/>
              <w:autoSpaceDE/>
              <w:autoSpaceDN/>
              <w:adjustRightInd/>
              <w:jc w:val="center"/>
              <w:textAlignment w:val="auto"/>
              <w:rPr>
                <w:rFonts w:cs="Arial"/>
                <w:b/>
                <w:bCs/>
                <w:color w:val="000000"/>
                <w:sz w:val="16"/>
                <w:szCs w:val="16"/>
                <w:lang w:val="ru-RU" w:eastAsia="ru-RU"/>
              </w:rPr>
            </w:pPr>
            <w:r w:rsidRPr="00713DD1">
              <w:rPr>
                <w:rFonts w:cs="Arial"/>
                <w:b/>
                <w:bCs/>
                <w:color w:val="000000"/>
                <w:sz w:val="16"/>
                <w:szCs w:val="16"/>
                <w:lang w:val="ru-RU" w:eastAsia="ru-RU"/>
              </w:rPr>
              <w:t>Изм.(%)</w:t>
            </w:r>
          </w:p>
        </w:tc>
      </w:tr>
      <w:tr w:rsidR="00CE4A5E" w:rsidRPr="0011188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Процентные доходы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sidRPr="00DC6BEF">
              <w:rPr>
                <w:rFonts w:cs="Arial"/>
                <w:color w:val="000000"/>
                <w:sz w:val="16"/>
                <w:szCs w:val="16"/>
                <w:lang w:val="ru-RU"/>
              </w:rPr>
              <w:t>1 208 417</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sidRPr="00DC6BEF">
              <w:rPr>
                <w:rFonts w:cs="Arial"/>
                <w:color w:val="000000"/>
                <w:sz w:val="16"/>
                <w:szCs w:val="16"/>
                <w:lang w:val="ru-RU"/>
              </w:rPr>
              <w:t>1 272 838</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sidRPr="00DC6BEF">
              <w:rPr>
                <w:rFonts w:cs="Arial"/>
                <w:color w:val="000000"/>
                <w:sz w:val="16"/>
                <w:szCs w:val="16"/>
                <w:lang w:val="ru-RU"/>
              </w:rPr>
              <w:t xml:space="preserve"> (64 421)</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sidRPr="00DC6BEF">
              <w:rPr>
                <w:rFonts w:cs="Arial"/>
                <w:color w:val="000000"/>
                <w:sz w:val="16"/>
                <w:szCs w:val="16"/>
                <w:lang w:val="ru-RU"/>
              </w:rPr>
              <w:t>-5%</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ind w:firstLineChars="200" w:firstLine="320"/>
              <w:textAlignment w:val="auto"/>
              <w:rPr>
                <w:rFonts w:cs="Arial"/>
                <w:color w:val="000000"/>
                <w:sz w:val="16"/>
                <w:szCs w:val="16"/>
                <w:lang w:val="ru-RU" w:eastAsia="ru-RU"/>
              </w:rPr>
            </w:pPr>
            <w:r w:rsidRPr="00725FF0">
              <w:rPr>
                <w:rFonts w:cs="Arial"/>
                <w:color w:val="000000"/>
                <w:sz w:val="16"/>
                <w:szCs w:val="16"/>
                <w:lang w:val="ru-RU" w:eastAsia="ru-RU"/>
              </w:rPr>
              <w:t>от размещения средств в кредитных организациях</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21 868</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13 088</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8 780</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67%</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ind w:left="333"/>
              <w:textAlignment w:val="auto"/>
              <w:rPr>
                <w:rFonts w:cs="Arial"/>
                <w:color w:val="000000"/>
                <w:sz w:val="16"/>
                <w:szCs w:val="16"/>
                <w:lang w:val="ru-RU" w:eastAsia="ru-RU"/>
              </w:rPr>
            </w:pPr>
            <w:r w:rsidRPr="00725FF0">
              <w:rPr>
                <w:rFonts w:cs="Arial"/>
                <w:color w:val="000000"/>
                <w:sz w:val="16"/>
                <w:szCs w:val="16"/>
                <w:lang w:val="ru-RU" w:eastAsia="ru-RU"/>
              </w:rPr>
              <w:t>от ссуд, предоставленных клиентам, не являющимся кредитными организациями</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714 146</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749 227</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(35 081)</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-5%</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ind w:firstLineChars="200" w:firstLine="320"/>
              <w:textAlignment w:val="auto"/>
              <w:rPr>
                <w:rFonts w:cs="Arial"/>
                <w:color w:val="000000"/>
                <w:sz w:val="16"/>
                <w:szCs w:val="16"/>
                <w:lang w:val="ru-RU" w:eastAsia="ru-RU"/>
              </w:rPr>
            </w:pPr>
            <w:r w:rsidRPr="00725FF0">
              <w:rPr>
                <w:rFonts w:cs="Arial"/>
                <w:color w:val="000000"/>
                <w:sz w:val="16"/>
                <w:szCs w:val="16"/>
                <w:lang w:val="ru-RU" w:eastAsia="ru-RU"/>
              </w:rPr>
              <w:t>от вложений в ценные бумаги</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472 403</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510 523</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(38 120)</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-7%</w:t>
            </w:r>
          </w:p>
        </w:tc>
      </w:tr>
      <w:tr w:rsidR="00CE4A5E" w:rsidRPr="00725FF0" w:rsidTr="00B53D00">
        <w:trPr>
          <w:trHeight w:val="300"/>
        </w:trPr>
        <w:tc>
          <w:tcPr>
            <w:tcW w:w="4693" w:type="dxa"/>
            <w:tcBorders>
              <w:top w:val="nil"/>
              <w:left w:val="nil"/>
              <w:bottom w:val="single" w:sz="4"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Процентные расходы </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560 559</w:t>
            </w:r>
          </w:p>
        </w:tc>
        <w:tc>
          <w:tcPr>
            <w:tcW w:w="1180" w:type="dxa"/>
            <w:tcBorders>
              <w:top w:val="nil"/>
              <w:left w:val="nil"/>
              <w:bottom w:val="single" w:sz="4" w:space="0" w:color="auto"/>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716 715</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(156 156)</w:t>
            </w:r>
          </w:p>
        </w:tc>
        <w:tc>
          <w:tcPr>
            <w:tcW w:w="100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-22%</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b/>
                <w:bCs/>
                <w:color w:val="000000"/>
                <w:sz w:val="16"/>
                <w:szCs w:val="16"/>
                <w:lang w:val="ru-RU" w:eastAsia="ru-RU"/>
              </w:rPr>
            </w:pPr>
            <w:r w:rsidRPr="00725FF0">
              <w:rPr>
                <w:rFonts w:cs="Arial"/>
                <w:b/>
                <w:bCs/>
                <w:color w:val="000000"/>
                <w:sz w:val="16"/>
                <w:szCs w:val="16"/>
                <w:lang w:val="ru-RU" w:eastAsia="ru-RU"/>
              </w:rPr>
              <w:t xml:space="preserve">Чистые процентные доходы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647 858</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556 123</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91 735</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16%</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Чистые доходы от операций с ценными бумагами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sidRPr="00DE5EE8">
              <w:rPr>
                <w:rFonts w:cs="Arial"/>
                <w:color w:val="000000"/>
                <w:sz w:val="16"/>
                <w:szCs w:val="16"/>
                <w:lang w:val="ru-RU"/>
              </w:rPr>
              <w:t xml:space="preserve"> </w:t>
            </w:r>
            <w:r>
              <w:rPr>
                <w:rFonts w:cs="Arial"/>
                <w:color w:val="000000"/>
                <w:sz w:val="16"/>
                <w:szCs w:val="16"/>
              </w:rPr>
              <w:t>(159 714)</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67 597</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(227 311)</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-336%</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Чистые доходы от операций с иностранной валютой (включая переоценку)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71 254</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174 467</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(103 213)</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-59%</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Чистые комиссионные доходы</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309 045</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304 769</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4 276</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w:t>
            </w:r>
          </w:p>
        </w:tc>
      </w:tr>
      <w:tr w:rsidR="00CE4A5E" w:rsidRPr="00725FF0" w:rsidTr="00B53D00">
        <w:trPr>
          <w:trHeight w:val="300"/>
        </w:trPr>
        <w:tc>
          <w:tcPr>
            <w:tcW w:w="4693" w:type="dxa"/>
            <w:tcBorders>
              <w:top w:val="nil"/>
              <w:left w:val="nil"/>
              <w:bottom w:val="single" w:sz="4"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Прочие операционные доходы</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68 097</w:t>
            </w:r>
          </w:p>
        </w:tc>
        <w:tc>
          <w:tcPr>
            <w:tcW w:w="1180" w:type="dxa"/>
            <w:tcBorders>
              <w:top w:val="nil"/>
              <w:left w:val="nil"/>
              <w:bottom w:val="single" w:sz="4" w:space="0" w:color="auto"/>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54 667</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13 430</w:t>
            </w:r>
          </w:p>
        </w:tc>
        <w:tc>
          <w:tcPr>
            <w:tcW w:w="100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25%</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b/>
                <w:bCs/>
                <w:color w:val="000000"/>
                <w:sz w:val="16"/>
                <w:szCs w:val="16"/>
                <w:lang w:val="ru-RU" w:eastAsia="ru-RU"/>
              </w:rPr>
            </w:pPr>
            <w:r w:rsidRPr="00725FF0">
              <w:rPr>
                <w:rFonts w:cs="Arial"/>
                <w:b/>
                <w:bCs/>
                <w:color w:val="000000"/>
                <w:sz w:val="16"/>
                <w:szCs w:val="16"/>
                <w:lang w:val="ru-RU" w:eastAsia="ru-RU"/>
              </w:rPr>
              <w:t>Операционная прибыль</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936 540</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1 157 623</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(221 083)</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-19%</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Изменение резерва на возможные потери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sidRPr="00DE5EE8">
              <w:rPr>
                <w:rFonts w:cs="Arial"/>
                <w:color w:val="000000"/>
                <w:sz w:val="16"/>
                <w:szCs w:val="16"/>
                <w:lang w:val="ru-RU"/>
              </w:rPr>
              <w:t xml:space="preserve"> </w:t>
            </w:r>
            <w:r>
              <w:rPr>
                <w:rFonts w:cs="Arial"/>
                <w:color w:val="000000"/>
                <w:sz w:val="16"/>
                <w:szCs w:val="16"/>
              </w:rPr>
              <w:t>(193 526)</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(60 365)</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(133 161)</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221%</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Изменение резерва по прочим потерям</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24 594</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39 473</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(14 879)</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-38%</w:t>
            </w:r>
          </w:p>
        </w:tc>
      </w:tr>
      <w:tr w:rsidR="00CE4A5E" w:rsidRPr="00725FF0" w:rsidTr="00B53D00">
        <w:trPr>
          <w:trHeight w:val="300"/>
        </w:trPr>
        <w:tc>
          <w:tcPr>
            <w:tcW w:w="4693" w:type="dxa"/>
            <w:tcBorders>
              <w:top w:val="nil"/>
              <w:left w:val="nil"/>
              <w:bottom w:val="single" w:sz="4"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Операционные расходы </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1 002 825</w:t>
            </w:r>
          </w:p>
        </w:tc>
        <w:tc>
          <w:tcPr>
            <w:tcW w:w="1180" w:type="dxa"/>
            <w:tcBorders>
              <w:top w:val="nil"/>
              <w:left w:val="nil"/>
              <w:bottom w:val="single" w:sz="4" w:space="0" w:color="auto"/>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1 004 658</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(1 833)</w:t>
            </w:r>
          </w:p>
        </w:tc>
        <w:tc>
          <w:tcPr>
            <w:tcW w:w="100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0%</w:t>
            </w:r>
          </w:p>
        </w:tc>
      </w:tr>
      <w:tr w:rsidR="00CE4A5E" w:rsidRPr="00725FF0" w:rsidTr="00B53D00">
        <w:trPr>
          <w:trHeight w:val="300"/>
        </w:trPr>
        <w:tc>
          <w:tcPr>
            <w:tcW w:w="4693" w:type="dxa"/>
            <w:tcBorders>
              <w:top w:val="nil"/>
              <w:left w:val="nil"/>
              <w:bottom w:val="nil"/>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b/>
                <w:bCs/>
                <w:color w:val="000000"/>
                <w:sz w:val="16"/>
                <w:szCs w:val="16"/>
                <w:lang w:val="ru-RU" w:eastAsia="ru-RU"/>
              </w:rPr>
            </w:pPr>
            <w:r w:rsidRPr="00725FF0">
              <w:rPr>
                <w:rFonts w:cs="Arial"/>
                <w:b/>
                <w:bCs/>
                <w:color w:val="000000"/>
                <w:sz w:val="16"/>
                <w:szCs w:val="16"/>
                <w:lang w:val="ru-RU" w:eastAsia="ru-RU"/>
              </w:rPr>
              <w:t xml:space="preserve">Прибыль (убыток) до налогообложения </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(235 217)</w:t>
            </w:r>
          </w:p>
        </w:tc>
        <w:tc>
          <w:tcPr>
            <w:tcW w:w="1180" w:type="dxa"/>
            <w:tcBorders>
              <w:top w:val="nil"/>
              <w:left w:val="nil"/>
              <w:bottom w:val="nil"/>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132 073</w:t>
            </w:r>
          </w:p>
        </w:tc>
        <w:tc>
          <w:tcPr>
            <w:tcW w:w="118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(367 290)</w:t>
            </w:r>
          </w:p>
        </w:tc>
        <w:tc>
          <w:tcPr>
            <w:tcW w:w="1000" w:type="dxa"/>
            <w:tcBorders>
              <w:top w:val="nil"/>
              <w:left w:val="nil"/>
              <w:bottom w:val="nil"/>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-278%</w:t>
            </w:r>
          </w:p>
        </w:tc>
      </w:tr>
      <w:tr w:rsidR="00CE4A5E" w:rsidRPr="00725FF0" w:rsidTr="00B53D00">
        <w:trPr>
          <w:trHeight w:val="300"/>
        </w:trPr>
        <w:tc>
          <w:tcPr>
            <w:tcW w:w="4693" w:type="dxa"/>
            <w:tcBorders>
              <w:top w:val="nil"/>
              <w:left w:val="nil"/>
              <w:bottom w:val="single" w:sz="4"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color w:val="000000"/>
                <w:sz w:val="16"/>
                <w:szCs w:val="16"/>
                <w:lang w:val="ru-RU" w:eastAsia="ru-RU"/>
              </w:rPr>
            </w:pPr>
            <w:r w:rsidRPr="00725FF0">
              <w:rPr>
                <w:rFonts w:cs="Arial"/>
                <w:color w:val="000000"/>
                <w:sz w:val="16"/>
                <w:szCs w:val="16"/>
                <w:lang w:val="ru-RU" w:eastAsia="ru-RU"/>
              </w:rPr>
              <w:t xml:space="preserve">Начисленные (уплаченные) налоги </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51 950</w:t>
            </w:r>
          </w:p>
        </w:tc>
        <w:tc>
          <w:tcPr>
            <w:tcW w:w="1180" w:type="dxa"/>
            <w:tcBorders>
              <w:top w:val="nil"/>
              <w:left w:val="nil"/>
              <w:bottom w:val="single" w:sz="4" w:space="0" w:color="auto"/>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77 171</w:t>
            </w:r>
          </w:p>
        </w:tc>
        <w:tc>
          <w:tcPr>
            <w:tcW w:w="118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(25 221)</w:t>
            </w:r>
          </w:p>
        </w:tc>
        <w:tc>
          <w:tcPr>
            <w:tcW w:w="1000" w:type="dxa"/>
            <w:tcBorders>
              <w:top w:val="nil"/>
              <w:left w:val="nil"/>
              <w:bottom w:val="single" w:sz="4"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-33%</w:t>
            </w:r>
          </w:p>
        </w:tc>
      </w:tr>
      <w:tr w:rsidR="00CE4A5E" w:rsidRPr="00725FF0" w:rsidTr="00B53D00">
        <w:trPr>
          <w:trHeight w:val="315"/>
        </w:trPr>
        <w:tc>
          <w:tcPr>
            <w:tcW w:w="4693" w:type="dxa"/>
            <w:tcBorders>
              <w:top w:val="nil"/>
              <w:left w:val="nil"/>
              <w:bottom w:val="double" w:sz="6" w:space="0" w:color="auto"/>
              <w:right w:val="nil"/>
            </w:tcBorders>
            <w:shd w:val="clear" w:color="auto" w:fill="auto"/>
            <w:noWrap/>
            <w:vAlign w:val="center"/>
            <w:hideMark/>
          </w:tcPr>
          <w:p w:rsidR="00CE4A5E" w:rsidRPr="00725FF0" w:rsidRDefault="00CE4A5E" w:rsidP="00B53D00">
            <w:pPr>
              <w:overflowPunct/>
              <w:autoSpaceDE/>
              <w:autoSpaceDN/>
              <w:adjustRightInd/>
              <w:textAlignment w:val="auto"/>
              <w:rPr>
                <w:rFonts w:cs="Arial"/>
                <w:b/>
                <w:bCs/>
                <w:color w:val="000000"/>
                <w:sz w:val="16"/>
                <w:szCs w:val="16"/>
                <w:lang w:val="ru-RU" w:eastAsia="ru-RU"/>
              </w:rPr>
            </w:pPr>
            <w:r w:rsidRPr="00725FF0">
              <w:rPr>
                <w:rFonts w:cs="Arial"/>
                <w:b/>
                <w:bCs/>
                <w:color w:val="000000"/>
                <w:sz w:val="16"/>
                <w:szCs w:val="16"/>
                <w:lang w:val="ru-RU" w:eastAsia="ru-RU"/>
              </w:rPr>
              <w:t xml:space="preserve">Прибыль (убыток) после налогообложения </w:t>
            </w:r>
          </w:p>
        </w:tc>
        <w:tc>
          <w:tcPr>
            <w:tcW w:w="1180" w:type="dxa"/>
            <w:tcBorders>
              <w:top w:val="nil"/>
              <w:left w:val="nil"/>
              <w:bottom w:val="double" w:sz="6"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(287 167)</w:t>
            </w:r>
          </w:p>
        </w:tc>
        <w:tc>
          <w:tcPr>
            <w:tcW w:w="1180" w:type="dxa"/>
            <w:tcBorders>
              <w:top w:val="nil"/>
              <w:left w:val="nil"/>
              <w:bottom w:val="double" w:sz="6" w:space="0" w:color="auto"/>
              <w:right w:val="nil"/>
            </w:tcBorders>
            <w:vAlign w:val="center"/>
          </w:tcPr>
          <w:p w:rsidR="00CE4A5E" w:rsidRPr="00725FF0" w:rsidRDefault="00CE4A5E"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54 902</w:t>
            </w:r>
          </w:p>
        </w:tc>
        <w:tc>
          <w:tcPr>
            <w:tcW w:w="1180" w:type="dxa"/>
            <w:tcBorders>
              <w:top w:val="nil"/>
              <w:left w:val="nil"/>
              <w:bottom w:val="double" w:sz="6"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 xml:space="preserve"> (342 069)</w:t>
            </w:r>
          </w:p>
        </w:tc>
        <w:tc>
          <w:tcPr>
            <w:tcW w:w="1000" w:type="dxa"/>
            <w:tcBorders>
              <w:top w:val="nil"/>
              <w:left w:val="nil"/>
              <w:bottom w:val="double" w:sz="6" w:space="0" w:color="auto"/>
              <w:right w:val="nil"/>
            </w:tcBorders>
            <w:shd w:val="clear" w:color="auto" w:fill="auto"/>
            <w:vAlign w:val="center"/>
            <w:hideMark/>
          </w:tcPr>
          <w:p w:rsidR="00CE4A5E" w:rsidRPr="00EE2C3D" w:rsidRDefault="00CE4A5E"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-623%</w:t>
            </w:r>
          </w:p>
        </w:tc>
      </w:tr>
    </w:tbl>
    <w:p w:rsidR="00CE4A5E" w:rsidRDefault="00CE4A5E" w:rsidP="00CE4A5E">
      <w:pPr>
        <w:pStyle w:val="2normal"/>
        <w:jc w:val="both"/>
        <w:rPr>
          <w:sz w:val="20"/>
          <w:szCs w:val="20"/>
          <w:lang w:val="ru-RU"/>
        </w:rPr>
      </w:pPr>
    </w:p>
    <w:p w:rsidR="00CE4A5E" w:rsidRPr="003E6402" w:rsidRDefault="00CE4A5E" w:rsidP="00CE4A5E">
      <w:pPr>
        <w:pStyle w:val="2normal"/>
        <w:jc w:val="both"/>
        <w:rPr>
          <w:sz w:val="20"/>
          <w:szCs w:val="20"/>
          <w:lang w:val="ru-RU"/>
        </w:rPr>
      </w:pPr>
      <w:r w:rsidRPr="008C4D04">
        <w:rPr>
          <w:sz w:val="20"/>
          <w:szCs w:val="20"/>
          <w:lang w:val="ru-RU"/>
        </w:rPr>
        <w:t xml:space="preserve">В результате общерыночного снижения ставок кредитования в след за снижением ключевой ставки, устанавливаемой Банком России, процентные доходы Банка </w:t>
      </w:r>
      <w:r w:rsidRPr="003E6402">
        <w:rPr>
          <w:sz w:val="20"/>
          <w:szCs w:val="20"/>
          <w:lang w:val="ru-RU"/>
        </w:rPr>
        <w:t>за 201</w:t>
      </w:r>
      <w:r>
        <w:rPr>
          <w:sz w:val="20"/>
          <w:szCs w:val="20"/>
          <w:lang w:val="ru-RU"/>
        </w:rPr>
        <w:t>8</w:t>
      </w:r>
      <w:r w:rsidRPr="003E6402">
        <w:rPr>
          <w:sz w:val="20"/>
          <w:szCs w:val="20"/>
          <w:lang w:val="ru-RU"/>
        </w:rPr>
        <w:t xml:space="preserve"> год снизились </w:t>
      </w:r>
      <w:r>
        <w:rPr>
          <w:sz w:val="20"/>
          <w:szCs w:val="20"/>
          <w:lang w:val="ru-RU"/>
        </w:rPr>
        <w:t xml:space="preserve">по сравнению с прошлым годом </w:t>
      </w:r>
      <w:r w:rsidRPr="003E6402">
        <w:rPr>
          <w:sz w:val="20"/>
          <w:szCs w:val="20"/>
          <w:lang w:val="ru-RU"/>
        </w:rPr>
        <w:t xml:space="preserve">на </w:t>
      </w:r>
      <w:r>
        <w:rPr>
          <w:sz w:val="20"/>
          <w:szCs w:val="20"/>
          <w:lang w:val="ru-RU"/>
        </w:rPr>
        <w:t>5</w:t>
      </w:r>
      <w:r w:rsidRPr="003E6402">
        <w:rPr>
          <w:sz w:val="20"/>
          <w:szCs w:val="20"/>
          <w:lang w:val="ru-RU"/>
        </w:rPr>
        <w:t>%</w:t>
      </w:r>
      <w:r>
        <w:rPr>
          <w:sz w:val="20"/>
          <w:szCs w:val="20"/>
          <w:lang w:val="ru-RU"/>
        </w:rPr>
        <w:t xml:space="preserve"> и </w:t>
      </w:r>
      <w:r w:rsidRPr="003E6402">
        <w:rPr>
          <w:sz w:val="20"/>
          <w:szCs w:val="20"/>
          <w:lang w:val="ru-RU"/>
        </w:rPr>
        <w:t>составили 1</w:t>
      </w:r>
      <w:r>
        <w:rPr>
          <w:sz w:val="20"/>
          <w:szCs w:val="20"/>
          <w:lang w:val="ru-RU"/>
        </w:rPr>
        <w:t> 208 417 тыс.</w:t>
      </w:r>
      <w:r w:rsidRPr="003E6402">
        <w:rPr>
          <w:sz w:val="20"/>
          <w:szCs w:val="20"/>
          <w:lang w:val="ru-RU"/>
        </w:rPr>
        <w:t xml:space="preserve"> руб.</w:t>
      </w:r>
      <w:r>
        <w:rPr>
          <w:sz w:val="20"/>
          <w:szCs w:val="20"/>
          <w:lang w:val="ru-RU"/>
        </w:rPr>
        <w:t xml:space="preserve"> (за 2017 год </w:t>
      </w:r>
      <w:r w:rsidRPr="003E6402">
        <w:rPr>
          <w:sz w:val="20"/>
          <w:szCs w:val="20"/>
          <w:lang w:val="ru-RU"/>
        </w:rPr>
        <w:t>1</w:t>
      </w:r>
      <w:r>
        <w:rPr>
          <w:sz w:val="20"/>
          <w:szCs w:val="20"/>
          <w:lang w:val="ru-RU"/>
        </w:rPr>
        <w:t> 272 838 тыс.руб.)</w:t>
      </w:r>
      <w:r w:rsidRPr="003E6402">
        <w:rPr>
          <w:sz w:val="20"/>
          <w:szCs w:val="20"/>
          <w:lang w:val="ru-RU"/>
        </w:rPr>
        <w:t>.</w:t>
      </w:r>
      <w:r>
        <w:rPr>
          <w:sz w:val="20"/>
          <w:szCs w:val="20"/>
          <w:lang w:val="ru-RU"/>
        </w:rPr>
        <w:t xml:space="preserve"> </w:t>
      </w:r>
      <w:r w:rsidRPr="008C4D04">
        <w:rPr>
          <w:sz w:val="20"/>
          <w:szCs w:val="20"/>
          <w:lang w:val="ru-RU"/>
        </w:rPr>
        <w:t xml:space="preserve">В условиях сужающегося рынка Банк проводит постоянную работу по оптимизации структуры ресурсной базы с целью снижения стоимости привлеченных средств. Результатом проводимых мероприятий стало продолжающееся сокращение суммы процентных расходов с </w:t>
      </w:r>
      <w:r>
        <w:rPr>
          <w:sz w:val="20"/>
          <w:szCs w:val="20"/>
          <w:lang w:val="ru-RU"/>
        </w:rPr>
        <w:t xml:space="preserve">716 715 </w:t>
      </w:r>
      <w:r w:rsidRPr="008C4D04">
        <w:rPr>
          <w:sz w:val="20"/>
          <w:szCs w:val="20"/>
          <w:lang w:val="ru-RU"/>
        </w:rPr>
        <w:t>тыс. руб. за 2017</w:t>
      </w:r>
      <w:r>
        <w:rPr>
          <w:sz w:val="20"/>
          <w:szCs w:val="20"/>
          <w:lang w:val="ru-RU"/>
        </w:rPr>
        <w:t xml:space="preserve"> год</w:t>
      </w:r>
      <w:r w:rsidRPr="008C4D04">
        <w:rPr>
          <w:sz w:val="20"/>
          <w:szCs w:val="20"/>
          <w:lang w:val="ru-RU"/>
        </w:rPr>
        <w:t xml:space="preserve"> до </w:t>
      </w:r>
      <w:r>
        <w:rPr>
          <w:sz w:val="20"/>
          <w:szCs w:val="20"/>
          <w:lang w:val="ru-RU"/>
        </w:rPr>
        <w:t>560 559</w:t>
      </w:r>
      <w:r w:rsidRPr="008C4D04">
        <w:rPr>
          <w:sz w:val="20"/>
          <w:szCs w:val="20"/>
          <w:lang w:val="ru-RU"/>
        </w:rPr>
        <w:t xml:space="preserve"> тыс. руб. за 2018 (снижение на 2</w:t>
      </w:r>
      <w:r>
        <w:rPr>
          <w:sz w:val="20"/>
          <w:szCs w:val="20"/>
          <w:lang w:val="ru-RU"/>
        </w:rPr>
        <w:t>2</w:t>
      </w:r>
      <w:r w:rsidRPr="008C4D04">
        <w:rPr>
          <w:sz w:val="20"/>
          <w:szCs w:val="20"/>
          <w:lang w:val="ru-RU"/>
        </w:rPr>
        <w:t xml:space="preserve">%), что в свою очередь привело к увеличению суммы чистых процентных доходов на </w:t>
      </w:r>
      <w:r>
        <w:rPr>
          <w:sz w:val="20"/>
          <w:szCs w:val="20"/>
          <w:lang w:val="ru-RU"/>
        </w:rPr>
        <w:t>16</w:t>
      </w:r>
      <w:r w:rsidRPr="008C4D04">
        <w:rPr>
          <w:sz w:val="20"/>
          <w:szCs w:val="20"/>
          <w:lang w:val="ru-RU"/>
        </w:rPr>
        <w:t xml:space="preserve">% с </w:t>
      </w:r>
      <w:r>
        <w:rPr>
          <w:sz w:val="20"/>
          <w:szCs w:val="20"/>
          <w:lang w:val="ru-RU"/>
        </w:rPr>
        <w:t>556 123</w:t>
      </w:r>
      <w:r w:rsidRPr="008C4D04">
        <w:rPr>
          <w:sz w:val="20"/>
          <w:szCs w:val="20"/>
          <w:lang w:val="ru-RU"/>
        </w:rPr>
        <w:t xml:space="preserve"> тыс. руб. за 2017</w:t>
      </w:r>
      <w:r>
        <w:rPr>
          <w:sz w:val="20"/>
          <w:szCs w:val="20"/>
          <w:lang w:val="ru-RU"/>
        </w:rPr>
        <w:t xml:space="preserve"> год</w:t>
      </w:r>
      <w:r w:rsidRPr="008C4D04">
        <w:rPr>
          <w:sz w:val="20"/>
          <w:szCs w:val="20"/>
          <w:lang w:val="ru-RU"/>
        </w:rPr>
        <w:t xml:space="preserve"> до </w:t>
      </w:r>
      <w:r>
        <w:rPr>
          <w:sz w:val="20"/>
          <w:szCs w:val="20"/>
          <w:lang w:val="ru-RU"/>
        </w:rPr>
        <w:t>647 858</w:t>
      </w:r>
      <w:r w:rsidRPr="008C4D04">
        <w:rPr>
          <w:sz w:val="20"/>
          <w:szCs w:val="20"/>
          <w:lang w:val="ru-RU"/>
        </w:rPr>
        <w:t xml:space="preserve"> тыс. руб. 2018</w:t>
      </w:r>
      <w:r>
        <w:rPr>
          <w:sz w:val="20"/>
          <w:szCs w:val="20"/>
          <w:lang w:val="ru-RU"/>
        </w:rPr>
        <w:t xml:space="preserve"> год</w:t>
      </w:r>
      <w:r w:rsidRPr="008C4D04">
        <w:rPr>
          <w:sz w:val="20"/>
          <w:szCs w:val="20"/>
          <w:lang w:val="ru-RU"/>
        </w:rPr>
        <w:t>.</w:t>
      </w:r>
    </w:p>
    <w:p w:rsidR="00CE4A5E" w:rsidRDefault="00CE4A5E" w:rsidP="00CE4A5E">
      <w:pPr>
        <w:pStyle w:val="2normal"/>
        <w:jc w:val="both"/>
        <w:rPr>
          <w:sz w:val="20"/>
          <w:szCs w:val="20"/>
          <w:lang w:val="ru-RU"/>
        </w:rPr>
      </w:pPr>
    </w:p>
    <w:p w:rsidR="00CE4A5E" w:rsidRPr="003E6402" w:rsidRDefault="00CE4A5E" w:rsidP="00CE4A5E">
      <w:pPr>
        <w:pStyle w:val="2normal"/>
        <w:jc w:val="both"/>
        <w:rPr>
          <w:sz w:val="20"/>
          <w:szCs w:val="20"/>
          <w:lang w:val="ru-RU"/>
        </w:rPr>
      </w:pPr>
      <w:r w:rsidRPr="003E6402">
        <w:rPr>
          <w:sz w:val="20"/>
          <w:szCs w:val="20"/>
          <w:lang w:val="ru-RU"/>
        </w:rPr>
        <w:t xml:space="preserve">Операционная прибыль </w:t>
      </w:r>
      <w:r>
        <w:rPr>
          <w:sz w:val="20"/>
          <w:szCs w:val="20"/>
          <w:lang w:val="ru-RU"/>
        </w:rPr>
        <w:t xml:space="preserve">за 2018 </w:t>
      </w:r>
      <w:r w:rsidRPr="003E6402">
        <w:rPr>
          <w:sz w:val="20"/>
          <w:szCs w:val="20"/>
          <w:lang w:val="ru-RU"/>
        </w:rPr>
        <w:t xml:space="preserve">составила </w:t>
      </w:r>
      <w:r>
        <w:rPr>
          <w:sz w:val="20"/>
          <w:szCs w:val="20"/>
          <w:lang w:val="ru-RU"/>
        </w:rPr>
        <w:t>936 540</w:t>
      </w:r>
      <w:r w:rsidRPr="003E6402">
        <w:rPr>
          <w:sz w:val="20"/>
          <w:szCs w:val="20"/>
          <w:lang w:val="ru-RU"/>
        </w:rPr>
        <w:t xml:space="preserve"> </w:t>
      </w:r>
      <w:r>
        <w:rPr>
          <w:sz w:val="20"/>
          <w:szCs w:val="20"/>
          <w:lang w:val="ru-RU"/>
        </w:rPr>
        <w:t>тыс</w:t>
      </w:r>
      <w:r w:rsidRPr="003E6402">
        <w:rPr>
          <w:sz w:val="20"/>
          <w:szCs w:val="20"/>
          <w:lang w:val="ru-RU"/>
        </w:rPr>
        <w:t>. руб.:</w:t>
      </w:r>
    </w:p>
    <w:p w:rsidR="00CE4A5E" w:rsidRPr="003E6402" w:rsidRDefault="00CE4A5E" w:rsidP="00CE4A5E">
      <w:pPr>
        <w:pStyle w:val="2normal"/>
        <w:numPr>
          <w:ilvl w:val="0"/>
          <w:numId w:val="80"/>
        </w:numPr>
        <w:tabs>
          <w:tab w:val="left" w:pos="851"/>
        </w:tabs>
        <w:ind w:left="0" w:firstLine="567"/>
        <w:jc w:val="both"/>
        <w:rPr>
          <w:sz w:val="20"/>
          <w:szCs w:val="20"/>
          <w:lang w:val="ru-RU"/>
        </w:rPr>
      </w:pPr>
      <w:r>
        <w:rPr>
          <w:sz w:val="20"/>
          <w:szCs w:val="20"/>
          <w:lang w:val="ru-RU"/>
        </w:rPr>
        <w:t>процентные доходы без доходов по ценным бумагам – 736 014 тыс</w:t>
      </w:r>
      <w:r w:rsidRPr="003E6402">
        <w:rPr>
          <w:sz w:val="20"/>
          <w:szCs w:val="20"/>
          <w:lang w:val="ru-RU"/>
        </w:rPr>
        <w:t>. руб.,</w:t>
      </w:r>
      <w:r>
        <w:rPr>
          <w:sz w:val="20"/>
          <w:szCs w:val="20"/>
          <w:lang w:val="ru-RU"/>
        </w:rPr>
        <w:t xml:space="preserve"> </w:t>
      </w:r>
    </w:p>
    <w:p w:rsidR="00CE4A5E" w:rsidRPr="003E6402" w:rsidRDefault="00CE4A5E" w:rsidP="00CE4A5E">
      <w:pPr>
        <w:pStyle w:val="2normal"/>
        <w:numPr>
          <w:ilvl w:val="0"/>
          <w:numId w:val="80"/>
        </w:numPr>
        <w:tabs>
          <w:tab w:val="left" w:pos="851"/>
        </w:tabs>
        <w:ind w:left="0" w:firstLine="567"/>
        <w:jc w:val="both"/>
        <w:rPr>
          <w:sz w:val="20"/>
          <w:szCs w:val="20"/>
          <w:lang w:val="ru-RU"/>
        </w:rPr>
      </w:pPr>
      <w:r>
        <w:rPr>
          <w:sz w:val="20"/>
          <w:szCs w:val="20"/>
          <w:lang w:val="ru-RU"/>
        </w:rPr>
        <w:t xml:space="preserve">доходы </w:t>
      </w:r>
      <w:r w:rsidRPr="003E6402">
        <w:rPr>
          <w:sz w:val="20"/>
          <w:szCs w:val="20"/>
          <w:lang w:val="ru-RU"/>
        </w:rPr>
        <w:t>от операций с ценными бумагами</w:t>
      </w:r>
      <w:r>
        <w:rPr>
          <w:sz w:val="20"/>
          <w:szCs w:val="20"/>
          <w:lang w:val="ru-RU"/>
        </w:rPr>
        <w:t>, включая процентные доходы 312 689 тыс. руб.,</w:t>
      </w:r>
    </w:p>
    <w:p w:rsidR="00CE4A5E" w:rsidRPr="003E6402" w:rsidRDefault="00CE4A5E" w:rsidP="00CE4A5E">
      <w:pPr>
        <w:pStyle w:val="2normal"/>
        <w:numPr>
          <w:ilvl w:val="0"/>
          <w:numId w:val="80"/>
        </w:numPr>
        <w:tabs>
          <w:tab w:val="left" w:pos="851"/>
        </w:tabs>
        <w:ind w:left="0" w:firstLine="567"/>
        <w:jc w:val="both"/>
        <w:rPr>
          <w:sz w:val="20"/>
          <w:szCs w:val="20"/>
          <w:lang w:val="ru-RU"/>
        </w:rPr>
      </w:pPr>
      <w:r w:rsidRPr="003E6402">
        <w:rPr>
          <w:sz w:val="20"/>
          <w:szCs w:val="20"/>
          <w:lang w:val="ru-RU"/>
        </w:rPr>
        <w:t xml:space="preserve">чистые доходы от операций с иностранной валютой – </w:t>
      </w:r>
      <w:r>
        <w:rPr>
          <w:sz w:val="20"/>
          <w:szCs w:val="20"/>
          <w:lang w:val="ru-RU"/>
        </w:rPr>
        <w:t>71 254</w:t>
      </w:r>
      <w:r w:rsidRPr="003E6402">
        <w:rPr>
          <w:sz w:val="20"/>
          <w:szCs w:val="20"/>
          <w:lang w:val="ru-RU"/>
        </w:rPr>
        <w:t xml:space="preserve"> </w:t>
      </w:r>
      <w:r>
        <w:rPr>
          <w:sz w:val="20"/>
          <w:szCs w:val="20"/>
          <w:lang w:val="ru-RU"/>
        </w:rPr>
        <w:t>тыс</w:t>
      </w:r>
      <w:r w:rsidRPr="003E6402">
        <w:rPr>
          <w:sz w:val="20"/>
          <w:szCs w:val="20"/>
          <w:lang w:val="ru-RU"/>
        </w:rPr>
        <w:t>. руб.,</w:t>
      </w:r>
    </w:p>
    <w:p w:rsidR="00CE4A5E" w:rsidRPr="00C60953" w:rsidRDefault="00CE4A5E" w:rsidP="00CE4A5E">
      <w:pPr>
        <w:pStyle w:val="2normal"/>
        <w:numPr>
          <w:ilvl w:val="0"/>
          <w:numId w:val="80"/>
        </w:numPr>
        <w:tabs>
          <w:tab w:val="left" w:pos="851"/>
        </w:tabs>
        <w:ind w:left="0" w:firstLine="567"/>
        <w:jc w:val="both"/>
        <w:rPr>
          <w:sz w:val="20"/>
          <w:szCs w:val="20"/>
          <w:lang w:val="ru-RU"/>
        </w:rPr>
      </w:pPr>
      <w:r w:rsidRPr="003E6402">
        <w:rPr>
          <w:sz w:val="20"/>
          <w:szCs w:val="20"/>
          <w:lang w:val="ru-RU"/>
        </w:rPr>
        <w:t>чистые комиссионные доходы</w:t>
      </w:r>
      <w:r w:rsidRPr="00C60953">
        <w:rPr>
          <w:sz w:val="20"/>
          <w:szCs w:val="20"/>
          <w:lang w:val="ru-RU"/>
        </w:rPr>
        <w:t xml:space="preserve"> </w:t>
      </w:r>
      <w:r w:rsidRPr="003E6402">
        <w:rPr>
          <w:sz w:val="20"/>
          <w:szCs w:val="20"/>
          <w:lang w:val="ru-RU"/>
        </w:rPr>
        <w:t xml:space="preserve">– </w:t>
      </w:r>
      <w:r>
        <w:rPr>
          <w:sz w:val="20"/>
          <w:szCs w:val="20"/>
          <w:lang w:val="ru-RU"/>
        </w:rPr>
        <w:t>3</w:t>
      </w:r>
      <w:r w:rsidRPr="00C60953">
        <w:rPr>
          <w:sz w:val="20"/>
          <w:szCs w:val="20"/>
          <w:lang w:val="ru-RU"/>
        </w:rPr>
        <w:t>0</w:t>
      </w:r>
      <w:r>
        <w:rPr>
          <w:sz w:val="20"/>
          <w:szCs w:val="20"/>
          <w:lang w:val="ru-RU"/>
        </w:rPr>
        <w:t>9 045</w:t>
      </w:r>
      <w:r w:rsidRPr="003E6402">
        <w:rPr>
          <w:sz w:val="20"/>
          <w:szCs w:val="20"/>
          <w:lang w:val="ru-RU"/>
        </w:rPr>
        <w:t xml:space="preserve"> </w:t>
      </w:r>
      <w:r>
        <w:rPr>
          <w:sz w:val="20"/>
          <w:szCs w:val="20"/>
          <w:lang w:val="ru-RU"/>
        </w:rPr>
        <w:t>тыс. руб.,</w:t>
      </w:r>
    </w:p>
    <w:p w:rsidR="00CE4A5E" w:rsidRDefault="00CE4A5E" w:rsidP="00CE4A5E">
      <w:pPr>
        <w:pStyle w:val="2normal"/>
        <w:numPr>
          <w:ilvl w:val="0"/>
          <w:numId w:val="80"/>
        </w:numPr>
        <w:tabs>
          <w:tab w:val="left" w:pos="851"/>
        </w:tabs>
        <w:ind w:left="0" w:firstLine="567"/>
        <w:jc w:val="both"/>
        <w:rPr>
          <w:sz w:val="20"/>
          <w:szCs w:val="20"/>
          <w:lang w:val="ru-RU"/>
        </w:rPr>
      </w:pPr>
      <w:r>
        <w:rPr>
          <w:sz w:val="20"/>
          <w:szCs w:val="20"/>
          <w:lang w:val="ru-RU"/>
        </w:rPr>
        <w:t>п</w:t>
      </w:r>
      <w:r w:rsidRPr="00725FF0">
        <w:rPr>
          <w:sz w:val="20"/>
          <w:szCs w:val="20"/>
          <w:lang w:val="ru-RU"/>
        </w:rPr>
        <w:t>рочие операционные доходы</w:t>
      </w:r>
      <w:r w:rsidRPr="00C60953">
        <w:rPr>
          <w:sz w:val="20"/>
          <w:szCs w:val="20"/>
          <w:lang w:val="ru-RU"/>
        </w:rPr>
        <w:t xml:space="preserve"> </w:t>
      </w:r>
      <w:r w:rsidRPr="003E6402">
        <w:rPr>
          <w:sz w:val="20"/>
          <w:szCs w:val="20"/>
          <w:lang w:val="ru-RU"/>
        </w:rPr>
        <w:t xml:space="preserve">– </w:t>
      </w:r>
      <w:r>
        <w:rPr>
          <w:sz w:val="20"/>
          <w:szCs w:val="20"/>
          <w:lang w:val="ru-RU"/>
        </w:rPr>
        <w:t>68 097</w:t>
      </w:r>
      <w:r w:rsidRPr="003E6402">
        <w:rPr>
          <w:sz w:val="20"/>
          <w:szCs w:val="20"/>
          <w:lang w:val="ru-RU"/>
        </w:rPr>
        <w:t xml:space="preserve"> </w:t>
      </w:r>
      <w:r>
        <w:rPr>
          <w:sz w:val="20"/>
          <w:szCs w:val="20"/>
          <w:lang w:val="ru-RU"/>
        </w:rPr>
        <w:t>тыс. руб.</w:t>
      </w:r>
    </w:p>
    <w:p w:rsidR="00CE4A5E" w:rsidRPr="00CD6EF1" w:rsidRDefault="00CE4A5E" w:rsidP="00CE4A5E">
      <w:pPr>
        <w:pStyle w:val="2normal"/>
        <w:numPr>
          <w:ilvl w:val="0"/>
          <w:numId w:val="80"/>
        </w:numPr>
        <w:tabs>
          <w:tab w:val="left" w:pos="851"/>
        </w:tabs>
        <w:ind w:left="0" w:firstLine="567"/>
        <w:jc w:val="both"/>
        <w:rPr>
          <w:sz w:val="20"/>
          <w:szCs w:val="20"/>
          <w:lang w:val="ru-RU"/>
        </w:rPr>
      </w:pPr>
      <w:r>
        <w:rPr>
          <w:sz w:val="20"/>
          <w:szCs w:val="20"/>
          <w:lang w:val="ru-RU"/>
        </w:rPr>
        <w:t>процентные расходы – 560 559 тыс.руб.</w:t>
      </w:r>
    </w:p>
    <w:p w:rsidR="00CE4A5E" w:rsidRDefault="00CE4A5E" w:rsidP="00CE4A5E">
      <w:pPr>
        <w:pStyle w:val="2normal"/>
        <w:jc w:val="both"/>
        <w:rPr>
          <w:sz w:val="20"/>
          <w:szCs w:val="20"/>
          <w:lang w:val="ru-RU"/>
        </w:rPr>
      </w:pPr>
    </w:p>
    <w:p w:rsidR="00CE4A5E" w:rsidRPr="008C3F25" w:rsidRDefault="00CE4A5E" w:rsidP="00CE4A5E">
      <w:pPr>
        <w:pStyle w:val="aff5"/>
        <w:rPr>
          <w:b w:val="0"/>
          <w:i w:val="0"/>
          <w:sz w:val="20"/>
          <w:szCs w:val="20"/>
        </w:rPr>
      </w:pPr>
      <w:r w:rsidRPr="008C3F25">
        <w:rPr>
          <w:b w:val="0"/>
          <w:i w:val="0"/>
          <w:sz w:val="20"/>
          <w:szCs w:val="20"/>
        </w:rPr>
        <w:t xml:space="preserve">После введения новых санкций в </w:t>
      </w:r>
      <w:r>
        <w:rPr>
          <w:b w:val="0"/>
          <w:i w:val="0"/>
          <w:sz w:val="20"/>
          <w:szCs w:val="20"/>
        </w:rPr>
        <w:t xml:space="preserve">течение года </w:t>
      </w:r>
      <w:r w:rsidRPr="008C3F25">
        <w:rPr>
          <w:b w:val="0"/>
          <w:i w:val="0"/>
          <w:sz w:val="20"/>
          <w:szCs w:val="20"/>
        </w:rPr>
        <w:t xml:space="preserve">российский фондовый рынок не смог в полной мере восстановиться, несмотря на повышения стоимости нефти. </w:t>
      </w:r>
      <w:r>
        <w:rPr>
          <w:b w:val="0"/>
          <w:i w:val="0"/>
          <w:sz w:val="20"/>
          <w:szCs w:val="20"/>
        </w:rPr>
        <w:t>Д</w:t>
      </w:r>
      <w:r w:rsidRPr="008C3F25">
        <w:rPr>
          <w:b w:val="0"/>
          <w:i w:val="0"/>
          <w:sz w:val="20"/>
          <w:szCs w:val="20"/>
        </w:rPr>
        <w:t>оходы от операций с ценными бумагами</w:t>
      </w:r>
      <w:r>
        <w:rPr>
          <w:b w:val="0"/>
          <w:i w:val="0"/>
          <w:sz w:val="20"/>
          <w:szCs w:val="20"/>
        </w:rPr>
        <w:t xml:space="preserve"> за счет падения котировок</w:t>
      </w:r>
      <w:r w:rsidRPr="008C3F25">
        <w:rPr>
          <w:b w:val="0"/>
          <w:i w:val="0"/>
          <w:sz w:val="20"/>
          <w:szCs w:val="20"/>
        </w:rPr>
        <w:t xml:space="preserve"> с</w:t>
      </w:r>
      <w:r>
        <w:rPr>
          <w:b w:val="0"/>
          <w:i w:val="0"/>
          <w:sz w:val="20"/>
          <w:szCs w:val="20"/>
        </w:rPr>
        <w:t xml:space="preserve">ократили операционную прибыль банка на </w:t>
      </w:r>
      <w:r w:rsidRPr="008C3F25">
        <w:rPr>
          <w:b w:val="0"/>
          <w:i w:val="0"/>
          <w:sz w:val="20"/>
          <w:szCs w:val="20"/>
        </w:rPr>
        <w:t xml:space="preserve">  159 </w:t>
      </w:r>
      <w:r>
        <w:rPr>
          <w:b w:val="0"/>
          <w:i w:val="0"/>
          <w:sz w:val="20"/>
          <w:szCs w:val="20"/>
        </w:rPr>
        <w:t>714</w:t>
      </w:r>
      <w:r w:rsidRPr="008C3F25">
        <w:rPr>
          <w:b w:val="0"/>
          <w:i w:val="0"/>
          <w:sz w:val="20"/>
          <w:szCs w:val="20"/>
        </w:rPr>
        <w:t xml:space="preserve"> тыс.руб</w:t>
      </w:r>
      <w:r w:rsidRPr="00713DD1">
        <w:rPr>
          <w:b w:val="0"/>
          <w:i w:val="0"/>
          <w:sz w:val="20"/>
          <w:szCs w:val="20"/>
        </w:rPr>
        <w:t xml:space="preserve"> </w:t>
      </w:r>
      <w:r>
        <w:rPr>
          <w:b w:val="0"/>
          <w:i w:val="0"/>
          <w:sz w:val="20"/>
          <w:szCs w:val="20"/>
        </w:rPr>
        <w:t>в</w:t>
      </w:r>
      <w:r w:rsidRPr="00713DD1">
        <w:rPr>
          <w:b w:val="0"/>
          <w:i w:val="0"/>
          <w:sz w:val="20"/>
          <w:szCs w:val="20"/>
        </w:rPr>
        <w:t xml:space="preserve"> 2018</w:t>
      </w:r>
      <w:r w:rsidRPr="008C3F25">
        <w:rPr>
          <w:b w:val="0"/>
          <w:i w:val="0"/>
          <w:sz w:val="20"/>
          <w:szCs w:val="20"/>
        </w:rPr>
        <w:t>. Сохран</w:t>
      </w:r>
      <w:r>
        <w:rPr>
          <w:b w:val="0"/>
          <w:i w:val="0"/>
          <w:sz w:val="20"/>
          <w:szCs w:val="20"/>
        </w:rPr>
        <w:t xml:space="preserve">яющаяся </w:t>
      </w:r>
      <w:r w:rsidRPr="008C3F25">
        <w:rPr>
          <w:b w:val="0"/>
          <w:i w:val="0"/>
          <w:sz w:val="20"/>
          <w:szCs w:val="20"/>
        </w:rPr>
        <w:t xml:space="preserve">в 2018 </w:t>
      </w:r>
      <w:r>
        <w:rPr>
          <w:b w:val="0"/>
          <w:i w:val="0"/>
          <w:sz w:val="20"/>
          <w:szCs w:val="20"/>
        </w:rPr>
        <w:t xml:space="preserve">году </w:t>
      </w:r>
      <w:r w:rsidRPr="008C3F25">
        <w:rPr>
          <w:b w:val="0"/>
          <w:i w:val="0"/>
          <w:sz w:val="20"/>
          <w:szCs w:val="20"/>
        </w:rPr>
        <w:t xml:space="preserve">высокая волатильность валютных рынков привела к снижению доходов от операций с иностранной валютой за 2018 год на </w:t>
      </w:r>
      <w:r>
        <w:rPr>
          <w:b w:val="0"/>
          <w:i w:val="0"/>
          <w:sz w:val="20"/>
          <w:szCs w:val="20"/>
        </w:rPr>
        <w:t>59</w:t>
      </w:r>
      <w:r w:rsidRPr="008C3F25">
        <w:rPr>
          <w:b w:val="0"/>
          <w:i w:val="0"/>
          <w:sz w:val="20"/>
          <w:szCs w:val="20"/>
        </w:rPr>
        <w:t>% к прошл</w:t>
      </w:r>
      <w:r>
        <w:rPr>
          <w:b w:val="0"/>
          <w:i w:val="0"/>
          <w:sz w:val="20"/>
          <w:szCs w:val="20"/>
        </w:rPr>
        <w:t>ому году</w:t>
      </w:r>
      <w:r w:rsidRPr="008C3F25">
        <w:rPr>
          <w:b w:val="0"/>
          <w:i w:val="0"/>
          <w:sz w:val="20"/>
          <w:szCs w:val="20"/>
        </w:rPr>
        <w:t xml:space="preserve"> (со </w:t>
      </w:r>
      <w:r w:rsidRPr="00F86FE6">
        <w:rPr>
          <w:b w:val="0"/>
          <w:i w:val="0"/>
          <w:sz w:val="20"/>
          <w:szCs w:val="20"/>
        </w:rPr>
        <w:t>174</w:t>
      </w:r>
      <w:r>
        <w:rPr>
          <w:b w:val="0"/>
          <w:i w:val="0"/>
          <w:sz w:val="20"/>
          <w:szCs w:val="20"/>
        </w:rPr>
        <w:t> </w:t>
      </w:r>
      <w:r w:rsidRPr="00F86FE6">
        <w:rPr>
          <w:b w:val="0"/>
          <w:i w:val="0"/>
          <w:sz w:val="20"/>
          <w:szCs w:val="20"/>
        </w:rPr>
        <w:t>467</w:t>
      </w:r>
      <w:r>
        <w:rPr>
          <w:b w:val="0"/>
          <w:i w:val="0"/>
          <w:sz w:val="20"/>
          <w:szCs w:val="20"/>
        </w:rPr>
        <w:t xml:space="preserve"> </w:t>
      </w:r>
      <w:r w:rsidRPr="008C3F25">
        <w:rPr>
          <w:b w:val="0"/>
          <w:i w:val="0"/>
          <w:sz w:val="20"/>
          <w:szCs w:val="20"/>
        </w:rPr>
        <w:t xml:space="preserve">тыс.руб. за 2017 до </w:t>
      </w:r>
      <w:r>
        <w:rPr>
          <w:b w:val="0"/>
          <w:i w:val="0"/>
          <w:sz w:val="20"/>
          <w:szCs w:val="20"/>
        </w:rPr>
        <w:t>71 254</w:t>
      </w:r>
      <w:r w:rsidRPr="008C3F25">
        <w:rPr>
          <w:b w:val="0"/>
          <w:i w:val="0"/>
          <w:sz w:val="20"/>
          <w:szCs w:val="20"/>
        </w:rPr>
        <w:t xml:space="preserve"> тыс.руб. за 2018).</w:t>
      </w:r>
    </w:p>
    <w:p w:rsidR="00CE4A5E" w:rsidRDefault="00CE4A5E" w:rsidP="00CE4A5E">
      <w:pPr>
        <w:pStyle w:val="2normal"/>
        <w:jc w:val="both"/>
        <w:rPr>
          <w:sz w:val="20"/>
          <w:szCs w:val="20"/>
          <w:lang w:val="ru-RU"/>
        </w:rPr>
      </w:pPr>
      <w:r w:rsidRPr="003E6402">
        <w:rPr>
          <w:sz w:val="20"/>
          <w:szCs w:val="20"/>
          <w:lang w:val="ru-RU"/>
        </w:rPr>
        <w:t xml:space="preserve">Продолжающиеся кризисные явления в экономике обусловили </w:t>
      </w:r>
      <w:r>
        <w:rPr>
          <w:sz w:val="20"/>
          <w:szCs w:val="20"/>
          <w:lang w:val="ru-RU"/>
        </w:rPr>
        <w:t>до</w:t>
      </w:r>
      <w:r w:rsidRPr="003E6402">
        <w:rPr>
          <w:sz w:val="20"/>
          <w:szCs w:val="20"/>
          <w:lang w:val="ru-RU"/>
        </w:rPr>
        <w:t>создание резервов по ссудам</w:t>
      </w:r>
      <w:r>
        <w:rPr>
          <w:sz w:val="20"/>
          <w:szCs w:val="20"/>
          <w:lang w:val="ru-RU"/>
        </w:rPr>
        <w:t xml:space="preserve"> в размере значительно большем предыдущего года: 193 526</w:t>
      </w:r>
      <w:r w:rsidRPr="003E6402">
        <w:rPr>
          <w:sz w:val="20"/>
          <w:szCs w:val="20"/>
          <w:lang w:val="ru-RU"/>
        </w:rPr>
        <w:t xml:space="preserve"> тыс. руб. в 201</w:t>
      </w:r>
      <w:r>
        <w:rPr>
          <w:sz w:val="20"/>
          <w:szCs w:val="20"/>
          <w:lang w:val="ru-RU"/>
        </w:rPr>
        <w:t xml:space="preserve">8, 60 365 </w:t>
      </w:r>
      <w:r w:rsidRPr="003E6402">
        <w:rPr>
          <w:sz w:val="20"/>
          <w:szCs w:val="20"/>
          <w:lang w:val="ru-RU"/>
        </w:rPr>
        <w:t xml:space="preserve">тыс. руб. </w:t>
      </w:r>
      <w:r>
        <w:rPr>
          <w:sz w:val="20"/>
          <w:szCs w:val="20"/>
          <w:lang w:val="ru-RU"/>
        </w:rPr>
        <w:t>в 2017.</w:t>
      </w:r>
    </w:p>
    <w:p w:rsidR="00CE4A5E" w:rsidRPr="006C19C1" w:rsidRDefault="00CE4A5E" w:rsidP="00CE4A5E">
      <w:pPr>
        <w:pStyle w:val="aff5"/>
        <w:rPr>
          <w:b w:val="0"/>
          <w:i w:val="0"/>
          <w:sz w:val="20"/>
          <w:szCs w:val="20"/>
        </w:rPr>
      </w:pPr>
      <w:r>
        <w:rPr>
          <w:b w:val="0"/>
          <w:i w:val="0"/>
          <w:sz w:val="20"/>
          <w:szCs w:val="20"/>
        </w:rPr>
        <w:t>Рост ч</w:t>
      </w:r>
      <w:r w:rsidRPr="006C19C1">
        <w:rPr>
          <w:b w:val="0"/>
          <w:i w:val="0"/>
          <w:sz w:val="20"/>
          <w:szCs w:val="20"/>
        </w:rPr>
        <w:t>исты</w:t>
      </w:r>
      <w:r>
        <w:rPr>
          <w:b w:val="0"/>
          <w:i w:val="0"/>
          <w:sz w:val="20"/>
          <w:szCs w:val="20"/>
        </w:rPr>
        <w:t>х</w:t>
      </w:r>
      <w:r w:rsidRPr="006C19C1">
        <w:rPr>
          <w:b w:val="0"/>
          <w:i w:val="0"/>
          <w:sz w:val="20"/>
          <w:szCs w:val="20"/>
        </w:rPr>
        <w:t xml:space="preserve"> комиссионны</w:t>
      </w:r>
      <w:r>
        <w:rPr>
          <w:b w:val="0"/>
          <w:i w:val="0"/>
          <w:sz w:val="20"/>
          <w:szCs w:val="20"/>
        </w:rPr>
        <w:t>х</w:t>
      </w:r>
      <w:r w:rsidRPr="006C19C1">
        <w:rPr>
          <w:b w:val="0"/>
          <w:i w:val="0"/>
          <w:sz w:val="20"/>
          <w:szCs w:val="20"/>
        </w:rPr>
        <w:t xml:space="preserve"> доход</w:t>
      </w:r>
      <w:r>
        <w:rPr>
          <w:b w:val="0"/>
          <w:i w:val="0"/>
          <w:sz w:val="20"/>
          <w:szCs w:val="20"/>
        </w:rPr>
        <w:t>ов за 2018 на 1% к аналогичному периоду прошлого года (с</w:t>
      </w:r>
      <w:r w:rsidRPr="008C3F25">
        <w:rPr>
          <w:b w:val="0"/>
          <w:i w:val="0"/>
          <w:sz w:val="20"/>
          <w:szCs w:val="20"/>
        </w:rPr>
        <w:t xml:space="preserve"> </w:t>
      </w:r>
      <w:r w:rsidRPr="00F86FE6">
        <w:rPr>
          <w:b w:val="0"/>
          <w:i w:val="0"/>
          <w:sz w:val="20"/>
          <w:szCs w:val="20"/>
        </w:rPr>
        <w:t>304 769</w:t>
      </w:r>
      <w:r w:rsidRPr="008C3F25">
        <w:rPr>
          <w:b w:val="0"/>
          <w:i w:val="0"/>
          <w:sz w:val="20"/>
          <w:szCs w:val="20"/>
        </w:rPr>
        <w:t xml:space="preserve"> тыс.руб. за 2017 до </w:t>
      </w:r>
      <w:r w:rsidRPr="00F86FE6">
        <w:rPr>
          <w:b w:val="0"/>
          <w:i w:val="0"/>
          <w:sz w:val="20"/>
          <w:szCs w:val="20"/>
        </w:rPr>
        <w:t xml:space="preserve">309 045 </w:t>
      </w:r>
      <w:r w:rsidRPr="008C3F25">
        <w:rPr>
          <w:b w:val="0"/>
          <w:i w:val="0"/>
          <w:sz w:val="20"/>
          <w:szCs w:val="20"/>
        </w:rPr>
        <w:t>тыс.руб. 2018</w:t>
      </w:r>
      <w:r>
        <w:rPr>
          <w:b w:val="0"/>
          <w:i w:val="0"/>
          <w:sz w:val="20"/>
          <w:szCs w:val="20"/>
        </w:rPr>
        <w:t xml:space="preserve">) свидетельствует об устойчивой </w:t>
      </w:r>
      <w:r w:rsidRPr="006C19C1">
        <w:rPr>
          <w:b w:val="0"/>
          <w:i w:val="0"/>
          <w:sz w:val="20"/>
          <w:szCs w:val="20"/>
        </w:rPr>
        <w:t xml:space="preserve">клиентской базе Банка. </w:t>
      </w:r>
    </w:p>
    <w:p w:rsidR="00CE4A5E" w:rsidRPr="003E6402" w:rsidRDefault="00CE4A5E" w:rsidP="00CE4A5E">
      <w:pPr>
        <w:pStyle w:val="2normal"/>
        <w:jc w:val="both"/>
        <w:rPr>
          <w:sz w:val="20"/>
          <w:szCs w:val="20"/>
          <w:lang w:val="ru-RU"/>
        </w:rPr>
      </w:pPr>
      <w:r w:rsidRPr="003E6402">
        <w:rPr>
          <w:sz w:val="20"/>
          <w:szCs w:val="20"/>
          <w:lang w:val="ru-RU"/>
        </w:rPr>
        <w:t>Операционные расходы за 201</w:t>
      </w:r>
      <w:r>
        <w:rPr>
          <w:sz w:val="20"/>
          <w:szCs w:val="20"/>
          <w:lang w:val="ru-RU"/>
        </w:rPr>
        <w:t>8</w:t>
      </w:r>
      <w:r w:rsidRPr="003E6402">
        <w:rPr>
          <w:sz w:val="20"/>
          <w:szCs w:val="20"/>
          <w:lang w:val="ru-RU"/>
        </w:rPr>
        <w:t xml:space="preserve"> год составили 1 0</w:t>
      </w:r>
      <w:r>
        <w:rPr>
          <w:sz w:val="20"/>
          <w:szCs w:val="20"/>
          <w:lang w:val="ru-RU"/>
        </w:rPr>
        <w:t>02 825 тыс</w:t>
      </w:r>
      <w:r w:rsidRPr="003E6402">
        <w:rPr>
          <w:sz w:val="20"/>
          <w:szCs w:val="20"/>
          <w:lang w:val="ru-RU"/>
        </w:rPr>
        <w:t>. руб., против 1</w:t>
      </w:r>
      <w:r>
        <w:rPr>
          <w:sz w:val="20"/>
          <w:szCs w:val="20"/>
          <w:lang w:val="ru-RU"/>
        </w:rPr>
        <w:t> </w:t>
      </w:r>
      <w:r w:rsidRPr="003E6402">
        <w:rPr>
          <w:sz w:val="20"/>
          <w:szCs w:val="20"/>
          <w:lang w:val="ru-RU"/>
        </w:rPr>
        <w:t>0</w:t>
      </w:r>
      <w:r>
        <w:rPr>
          <w:sz w:val="20"/>
          <w:szCs w:val="20"/>
          <w:lang w:val="ru-RU"/>
        </w:rPr>
        <w:t>04 658 тыс</w:t>
      </w:r>
      <w:r w:rsidRPr="003E6402">
        <w:rPr>
          <w:sz w:val="20"/>
          <w:szCs w:val="20"/>
          <w:lang w:val="ru-RU"/>
        </w:rPr>
        <w:t xml:space="preserve">. руб. годом ранее за счет </w:t>
      </w:r>
      <w:r>
        <w:rPr>
          <w:sz w:val="20"/>
          <w:szCs w:val="20"/>
          <w:lang w:val="ru-RU"/>
        </w:rPr>
        <w:t xml:space="preserve">продолжающегося курса </w:t>
      </w:r>
      <w:r w:rsidRPr="003E6402">
        <w:rPr>
          <w:sz w:val="20"/>
          <w:szCs w:val="20"/>
          <w:lang w:val="ru-RU"/>
        </w:rPr>
        <w:t>оптимизации расходов.</w:t>
      </w:r>
    </w:p>
    <w:p w:rsidR="00CE4A5E" w:rsidRPr="003E6402" w:rsidRDefault="00CE4A5E" w:rsidP="00CE4A5E">
      <w:pPr>
        <w:pStyle w:val="2normal"/>
        <w:jc w:val="both"/>
        <w:rPr>
          <w:sz w:val="20"/>
          <w:szCs w:val="20"/>
          <w:lang w:val="ru-RU"/>
        </w:rPr>
      </w:pPr>
      <w:r w:rsidRPr="003E6402">
        <w:rPr>
          <w:sz w:val="20"/>
          <w:szCs w:val="20"/>
          <w:lang w:val="ru-RU"/>
        </w:rPr>
        <w:t>Расходы по налогам за 201</w:t>
      </w:r>
      <w:r>
        <w:rPr>
          <w:sz w:val="20"/>
          <w:szCs w:val="20"/>
          <w:lang w:val="ru-RU"/>
        </w:rPr>
        <w:t>8</w:t>
      </w:r>
      <w:r w:rsidRPr="003E6402">
        <w:rPr>
          <w:sz w:val="20"/>
          <w:szCs w:val="20"/>
          <w:lang w:val="ru-RU"/>
        </w:rPr>
        <w:t xml:space="preserve"> год, составили </w:t>
      </w:r>
      <w:r w:rsidR="00702C3F">
        <w:rPr>
          <w:sz w:val="20"/>
          <w:szCs w:val="20"/>
          <w:lang w:val="ru-RU"/>
        </w:rPr>
        <w:t>5</w:t>
      </w:r>
      <w:r w:rsidR="00702C3F" w:rsidRPr="00702C3F">
        <w:rPr>
          <w:sz w:val="20"/>
          <w:szCs w:val="20"/>
          <w:lang w:val="ru-RU"/>
        </w:rPr>
        <w:t>2</w:t>
      </w:r>
      <w:r w:rsidRPr="003E6402">
        <w:rPr>
          <w:sz w:val="20"/>
          <w:szCs w:val="20"/>
          <w:lang w:val="ru-RU"/>
        </w:rPr>
        <w:t xml:space="preserve"> млн. руб.</w:t>
      </w:r>
    </w:p>
    <w:p w:rsidR="00CE4A5E" w:rsidRDefault="00CE4A5E" w:rsidP="00CE4A5E">
      <w:pPr>
        <w:pStyle w:val="2normal"/>
        <w:jc w:val="both"/>
        <w:rPr>
          <w:sz w:val="20"/>
          <w:szCs w:val="20"/>
          <w:highlight w:val="yellow"/>
          <w:lang w:val="ru-RU"/>
        </w:rPr>
      </w:pPr>
    </w:p>
    <w:p w:rsidR="00BE27CD" w:rsidRDefault="00BE27CD" w:rsidP="00CE4A5E">
      <w:pPr>
        <w:pStyle w:val="2normal"/>
        <w:jc w:val="both"/>
        <w:rPr>
          <w:sz w:val="20"/>
          <w:szCs w:val="20"/>
          <w:highlight w:val="yellow"/>
          <w:lang w:val="ru-RU"/>
        </w:rPr>
      </w:pPr>
    </w:p>
    <w:p w:rsidR="00BE27CD" w:rsidRDefault="00BE27CD" w:rsidP="00CE4A5E">
      <w:pPr>
        <w:pStyle w:val="2normal"/>
        <w:jc w:val="both"/>
        <w:rPr>
          <w:sz w:val="20"/>
          <w:szCs w:val="20"/>
          <w:highlight w:val="yellow"/>
          <w:lang w:val="ru-RU"/>
        </w:rPr>
      </w:pPr>
    </w:p>
    <w:p w:rsidR="00CE4A5E" w:rsidRPr="00BB1461" w:rsidRDefault="00CE4A5E" w:rsidP="00CE4A5E">
      <w:pPr>
        <w:pStyle w:val="2normal"/>
        <w:jc w:val="both"/>
        <w:rPr>
          <w:b/>
          <w:sz w:val="20"/>
          <w:szCs w:val="20"/>
          <w:lang w:val="ru-RU"/>
        </w:rPr>
      </w:pPr>
      <w:r w:rsidRPr="00BB1461">
        <w:rPr>
          <w:b/>
          <w:sz w:val="20"/>
          <w:szCs w:val="20"/>
          <w:lang w:val="ru-RU"/>
        </w:rPr>
        <w:lastRenderedPageBreak/>
        <w:t>Решения о распределении чистой прибыли, принятые по итогам рассмотрения годовой отчетности</w:t>
      </w:r>
    </w:p>
    <w:p w:rsidR="00CE4A5E" w:rsidRPr="000808E4" w:rsidRDefault="00CE4A5E" w:rsidP="00CE4A5E">
      <w:pPr>
        <w:pStyle w:val="2normal"/>
        <w:ind w:firstLine="709"/>
        <w:jc w:val="both"/>
        <w:rPr>
          <w:sz w:val="20"/>
          <w:szCs w:val="20"/>
          <w:lang w:val="ru-RU"/>
        </w:rPr>
      </w:pPr>
    </w:p>
    <w:p w:rsidR="00CE4A5E" w:rsidRDefault="00CE4A5E" w:rsidP="00CE4A5E">
      <w:pPr>
        <w:pStyle w:val="2normal"/>
        <w:jc w:val="both"/>
        <w:rPr>
          <w:sz w:val="20"/>
          <w:szCs w:val="20"/>
          <w:lang w:val="ru-RU"/>
        </w:rPr>
      </w:pPr>
      <w:r w:rsidRPr="000808E4">
        <w:rPr>
          <w:sz w:val="20"/>
          <w:szCs w:val="20"/>
          <w:lang w:val="ru-RU"/>
        </w:rPr>
        <w:t>Реализация дивидендной политики в 201</w:t>
      </w:r>
      <w:r>
        <w:rPr>
          <w:sz w:val="20"/>
          <w:szCs w:val="20"/>
          <w:lang w:val="ru-RU"/>
        </w:rPr>
        <w:t>8</w:t>
      </w:r>
      <w:r w:rsidRPr="000808E4">
        <w:rPr>
          <w:sz w:val="20"/>
          <w:szCs w:val="20"/>
          <w:lang w:val="ru-RU"/>
        </w:rPr>
        <w:t xml:space="preserve"> году производилась в соответствии с утвержденной Советом директоров Стратегией развития банка</w:t>
      </w:r>
      <w:r>
        <w:rPr>
          <w:sz w:val="20"/>
          <w:szCs w:val="20"/>
          <w:lang w:val="ru-RU"/>
        </w:rPr>
        <w:t xml:space="preserve"> и решениями, принятыми Общим собранием акционеров</w:t>
      </w:r>
      <w:r w:rsidRPr="000808E4">
        <w:rPr>
          <w:sz w:val="20"/>
          <w:szCs w:val="20"/>
          <w:lang w:val="ru-RU"/>
        </w:rPr>
        <w:t xml:space="preserve">. </w:t>
      </w:r>
    </w:p>
    <w:p w:rsidR="00CE4A5E" w:rsidRDefault="00CE4A5E" w:rsidP="00CE4A5E">
      <w:pPr>
        <w:pStyle w:val="2normal"/>
        <w:jc w:val="both"/>
        <w:rPr>
          <w:sz w:val="20"/>
          <w:szCs w:val="20"/>
          <w:lang w:val="ru-RU"/>
        </w:rPr>
      </w:pPr>
    </w:p>
    <w:p w:rsidR="00CE4A5E" w:rsidRPr="00FA3A68" w:rsidRDefault="00CE4A5E" w:rsidP="00CE4A5E">
      <w:pPr>
        <w:pStyle w:val="2normal"/>
        <w:spacing w:line="228" w:lineRule="auto"/>
        <w:jc w:val="both"/>
        <w:rPr>
          <w:sz w:val="20"/>
          <w:szCs w:val="20"/>
          <w:lang w:val="ru-RU"/>
        </w:rPr>
      </w:pPr>
      <w:r w:rsidRPr="00FA3A68">
        <w:rPr>
          <w:sz w:val="20"/>
          <w:szCs w:val="20"/>
          <w:lang w:val="ru-RU"/>
        </w:rPr>
        <w:t xml:space="preserve">Годовым собранием акционеров ПАО «Норвик Банк» (протокол №1 от </w:t>
      </w:r>
      <w:r w:rsidR="00702C3F" w:rsidRPr="00702C3F">
        <w:rPr>
          <w:sz w:val="20"/>
          <w:szCs w:val="20"/>
          <w:lang w:val="ru-RU"/>
        </w:rPr>
        <w:t>31</w:t>
      </w:r>
      <w:r w:rsidRPr="00702C3F">
        <w:rPr>
          <w:sz w:val="20"/>
          <w:szCs w:val="20"/>
          <w:lang w:val="ru-RU"/>
        </w:rPr>
        <w:t>.05.2018)</w:t>
      </w:r>
      <w:r w:rsidRPr="00FA3A68">
        <w:rPr>
          <w:sz w:val="20"/>
          <w:szCs w:val="20"/>
          <w:lang w:val="ru-RU"/>
        </w:rPr>
        <w:t xml:space="preserve"> было принято решение: </w:t>
      </w:r>
      <w:r>
        <w:rPr>
          <w:sz w:val="20"/>
          <w:szCs w:val="20"/>
          <w:lang w:val="ru-RU"/>
        </w:rPr>
        <w:t>р</w:t>
      </w:r>
      <w:r w:rsidRPr="00B87CC4">
        <w:rPr>
          <w:sz w:val="20"/>
          <w:szCs w:val="20"/>
          <w:lang w:val="ru-RU"/>
        </w:rPr>
        <w:t>аспределить прибыль, полученную ПАО «Норвик Банк» по результатам 2017 года в размере 54 902 тысячи рублей, следующим образом:</w:t>
      </w:r>
      <w:r>
        <w:rPr>
          <w:sz w:val="20"/>
          <w:szCs w:val="20"/>
          <w:lang w:val="ru-RU"/>
        </w:rPr>
        <w:t xml:space="preserve"> </w:t>
      </w:r>
      <w:r w:rsidRPr="00B87CC4">
        <w:rPr>
          <w:sz w:val="20"/>
          <w:szCs w:val="20"/>
          <w:lang w:val="ru-RU"/>
        </w:rPr>
        <w:t>2</w:t>
      </w:r>
      <w:r w:rsidR="00702C3F" w:rsidRPr="00702C3F">
        <w:rPr>
          <w:sz w:val="20"/>
          <w:szCs w:val="20"/>
          <w:lang w:val="ru-RU"/>
        </w:rPr>
        <w:t xml:space="preserve"> </w:t>
      </w:r>
      <w:r w:rsidRPr="00B87CC4">
        <w:rPr>
          <w:sz w:val="20"/>
          <w:szCs w:val="20"/>
          <w:lang w:val="ru-RU"/>
        </w:rPr>
        <w:t>750 тыс.руб. – в резервный фонд;</w:t>
      </w:r>
      <w:r>
        <w:rPr>
          <w:sz w:val="20"/>
          <w:szCs w:val="20"/>
          <w:lang w:val="ru-RU"/>
        </w:rPr>
        <w:t xml:space="preserve"> </w:t>
      </w:r>
      <w:r w:rsidRPr="00B87CC4">
        <w:rPr>
          <w:sz w:val="20"/>
          <w:szCs w:val="20"/>
          <w:lang w:val="ru-RU"/>
        </w:rPr>
        <w:t>52</w:t>
      </w:r>
      <w:r w:rsidR="009E34FC" w:rsidRPr="009E34FC">
        <w:rPr>
          <w:sz w:val="20"/>
          <w:szCs w:val="20"/>
          <w:lang w:val="ru-RU"/>
        </w:rPr>
        <w:t xml:space="preserve"> </w:t>
      </w:r>
      <w:r w:rsidRPr="00B87CC4">
        <w:rPr>
          <w:sz w:val="20"/>
          <w:szCs w:val="20"/>
          <w:lang w:val="ru-RU"/>
        </w:rPr>
        <w:t xml:space="preserve">152 тыс.руб.– </w:t>
      </w:r>
      <w:r>
        <w:rPr>
          <w:sz w:val="20"/>
          <w:szCs w:val="20"/>
          <w:lang w:val="ru-RU"/>
        </w:rPr>
        <w:t xml:space="preserve">в фонд </w:t>
      </w:r>
      <w:r w:rsidRPr="00B87CC4">
        <w:rPr>
          <w:sz w:val="20"/>
          <w:szCs w:val="20"/>
          <w:lang w:val="ru-RU"/>
        </w:rPr>
        <w:t>нераспределенн</w:t>
      </w:r>
      <w:r>
        <w:rPr>
          <w:sz w:val="20"/>
          <w:szCs w:val="20"/>
          <w:lang w:val="ru-RU"/>
        </w:rPr>
        <w:t>ой</w:t>
      </w:r>
      <w:r w:rsidRPr="00B87CC4">
        <w:rPr>
          <w:sz w:val="20"/>
          <w:szCs w:val="20"/>
          <w:lang w:val="ru-RU"/>
        </w:rPr>
        <w:t xml:space="preserve"> прибыл</w:t>
      </w:r>
      <w:r>
        <w:rPr>
          <w:sz w:val="20"/>
          <w:szCs w:val="20"/>
          <w:lang w:val="ru-RU"/>
        </w:rPr>
        <w:t>и; д</w:t>
      </w:r>
      <w:r w:rsidRPr="00B87CC4">
        <w:rPr>
          <w:sz w:val="20"/>
          <w:szCs w:val="20"/>
          <w:lang w:val="ru-RU"/>
        </w:rPr>
        <w:t>ивиденды по обыкновенным и привилегированным акциям ПАО «Норвик Банк» по итогам 2017 года не нач</w:t>
      </w:r>
      <w:r>
        <w:rPr>
          <w:sz w:val="20"/>
          <w:szCs w:val="20"/>
          <w:lang w:val="ru-RU"/>
        </w:rPr>
        <w:t xml:space="preserve">ислять и не выплачивать; </w:t>
      </w:r>
      <w:r w:rsidRPr="00FA3A68">
        <w:rPr>
          <w:sz w:val="20"/>
          <w:szCs w:val="20"/>
          <w:lang w:val="ru-RU"/>
        </w:rPr>
        <w:t>выплаты вознаграждений и (или) компенсаций расходов членам Совета директоров, связанных с исполнением ими своих обязанностей из прибыли 201</w:t>
      </w:r>
      <w:r>
        <w:rPr>
          <w:sz w:val="20"/>
          <w:szCs w:val="20"/>
          <w:lang w:val="ru-RU"/>
        </w:rPr>
        <w:t>7</w:t>
      </w:r>
      <w:r w:rsidRPr="00FA3A68">
        <w:rPr>
          <w:sz w:val="20"/>
          <w:szCs w:val="20"/>
          <w:lang w:val="ru-RU"/>
        </w:rPr>
        <w:t xml:space="preserve"> года не производить. </w:t>
      </w:r>
    </w:p>
    <w:p w:rsidR="00CE4A5E" w:rsidRPr="00B85AFF" w:rsidRDefault="00CE4A5E" w:rsidP="00CE4A5E">
      <w:pPr>
        <w:pStyle w:val="2normal"/>
        <w:spacing w:line="228" w:lineRule="auto"/>
        <w:jc w:val="both"/>
        <w:rPr>
          <w:sz w:val="20"/>
          <w:szCs w:val="20"/>
          <w:highlight w:val="red"/>
          <w:lang w:val="ru-RU"/>
        </w:rPr>
      </w:pPr>
    </w:p>
    <w:p w:rsidR="00CE4A5E" w:rsidRPr="00BD5AD7" w:rsidRDefault="00CE4A5E" w:rsidP="00CE4A5E">
      <w:pPr>
        <w:pStyle w:val="2normal"/>
        <w:spacing w:line="228" w:lineRule="auto"/>
        <w:jc w:val="both"/>
        <w:rPr>
          <w:sz w:val="20"/>
          <w:szCs w:val="20"/>
          <w:lang w:val="ru-RU"/>
        </w:rPr>
      </w:pPr>
      <w:r w:rsidRPr="007F5146">
        <w:rPr>
          <w:sz w:val="20"/>
          <w:szCs w:val="20"/>
          <w:lang w:val="ru-RU"/>
        </w:rPr>
        <w:t>Внеочередным общим собранием акционеров ПАО «Норвик Банк» (протокол №5 от 24.01.2018) было принято решение о распределении нераспределенной прибыли, полученной ПАО «Норвик Банк» по результатам прошлых лет в размере 150 118 тыс. руб. (149 940 тыс. руб. - по обыкновенным акциям, 178 тыс. руб.  - по привилегированным акциям) и выплате дивидендов на одну обыкновенную акцию – 0,041 руб., на одну привилегированную акцию – 0,296 руб.</w:t>
      </w:r>
    </w:p>
    <w:p w:rsidR="00CE4A5E" w:rsidRPr="006149A9" w:rsidRDefault="00CE4A5E" w:rsidP="00CE4A5E">
      <w:pPr>
        <w:pStyle w:val="2normal"/>
        <w:jc w:val="both"/>
        <w:rPr>
          <w:sz w:val="20"/>
          <w:szCs w:val="20"/>
          <w:highlight w:val="yellow"/>
          <w:lang w:val="ru-RU"/>
        </w:rPr>
      </w:pPr>
    </w:p>
    <w:p w:rsidR="00CE4A5E" w:rsidRPr="00BB1461" w:rsidRDefault="00CE4A5E" w:rsidP="00CE4A5E">
      <w:pPr>
        <w:pStyle w:val="2normal"/>
        <w:jc w:val="both"/>
        <w:rPr>
          <w:rFonts w:cs="Arial"/>
          <w:b/>
          <w:sz w:val="20"/>
          <w:szCs w:val="20"/>
          <w:lang w:val="ru-RU"/>
        </w:rPr>
      </w:pPr>
      <w:r w:rsidRPr="00BB1461">
        <w:rPr>
          <w:rFonts w:cs="Arial"/>
          <w:b/>
          <w:sz w:val="20"/>
          <w:szCs w:val="20"/>
          <w:lang w:val="ru-RU"/>
        </w:rPr>
        <w:t xml:space="preserve">Дополнительная информация в виде финансово-экономических обзоров </w:t>
      </w:r>
    </w:p>
    <w:p w:rsidR="00CE4A5E" w:rsidRPr="00BB1461" w:rsidRDefault="00CE4A5E" w:rsidP="00CE4A5E">
      <w:pPr>
        <w:pStyle w:val="2normal"/>
        <w:jc w:val="both"/>
        <w:rPr>
          <w:rFonts w:cs="Arial"/>
          <w:b/>
          <w:sz w:val="20"/>
          <w:szCs w:val="20"/>
          <w:lang w:val="ru-RU"/>
        </w:rPr>
      </w:pPr>
    </w:p>
    <w:p w:rsidR="00CE4A5E" w:rsidRDefault="00CE4A5E" w:rsidP="00CE4A5E">
      <w:pPr>
        <w:pStyle w:val="2normal"/>
        <w:jc w:val="both"/>
        <w:rPr>
          <w:b/>
          <w:i/>
          <w:szCs w:val="18"/>
          <w:lang w:val="ru-RU"/>
        </w:rPr>
      </w:pPr>
      <w:r w:rsidRPr="00781B29">
        <w:rPr>
          <w:b/>
          <w:i/>
          <w:szCs w:val="18"/>
          <w:lang w:val="ru-RU"/>
        </w:rPr>
        <w:t>Основные тенденции экономического развития России</w:t>
      </w:r>
    </w:p>
    <w:p w:rsidR="00CE4A5E" w:rsidRPr="003E20B6" w:rsidRDefault="00CE4A5E" w:rsidP="00CE4A5E">
      <w:pPr>
        <w:pStyle w:val="2normal"/>
        <w:jc w:val="both"/>
        <w:rPr>
          <w:sz w:val="20"/>
          <w:szCs w:val="20"/>
          <w:lang w:val="ru-RU"/>
        </w:rPr>
      </w:pPr>
    </w:p>
    <w:p w:rsidR="00CE4A5E" w:rsidRPr="00977BD5" w:rsidRDefault="00CE4A5E" w:rsidP="00CE4A5E">
      <w:pPr>
        <w:pStyle w:val="2normal"/>
        <w:jc w:val="both"/>
        <w:rPr>
          <w:sz w:val="20"/>
          <w:szCs w:val="20"/>
          <w:lang w:val="ru-RU"/>
        </w:rPr>
      </w:pPr>
      <w:r w:rsidRPr="00977BD5">
        <w:rPr>
          <w:sz w:val="20"/>
          <w:szCs w:val="20"/>
          <w:lang w:val="ru-RU"/>
        </w:rPr>
        <w:t>По данным Росстата, рост ВВП в 2018 г. ускорился до 2,3 % с 1,6 % годом ранее</w:t>
      </w:r>
      <w:r>
        <w:rPr>
          <w:sz w:val="20"/>
          <w:szCs w:val="20"/>
          <w:lang w:val="ru-RU"/>
        </w:rPr>
        <w:t xml:space="preserve">. </w:t>
      </w:r>
      <w:r w:rsidRPr="00977BD5">
        <w:rPr>
          <w:sz w:val="20"/>
          <w:szCs w:val="20"/>
          <w:lang w:val="ru-RU"/>
        </w:rPr>
        <w:t xml:space="preserve">Ускорение темпов роста ВВП во многом обусловлено разовыми факторами и не является устойчивым. В </w:t>
      </w:r>
      <w:r>
        <w:rPr>
          <w:sz w:val="20"/>
          <w:szCs w:val="20"/>
          <w:lang w:val="ru-RU"/>
        </w:rPr>
        <w:t xml:space="preserve">2019 </w:t>
      </w:r>
      <w:r w:rsidRPr="00977BD5">
        <w:rPr>
          <w:sz w:val="20"/>
          <w:szCs w:val="20"/>
          <w:lang w:val="ru-RU"/>
        </w:rPr>
        <w:t>году ожидается замедление экономического роста до 1,3 %.</w:t>
      </w:r>
    </w:p>
    <w:p w:rsidR="00CE4A5E" w:rsidRPr="00977BD5" w:rsidRDefault="00CE4A5E" w:rsidP="00CE4A5E">
      <w:pPr>
        <w:pStyle w:val="2normal"/>
        <w:jc w:val="both"/>
        <w:rPr>
          <w:sz w:val="20"/>
          <w:szCs w:val="20"/>
          <w:lang w:val="ru-RU"/>
        </w:rPr>
      </w:pPr>
      <w:r w:rsidRPr="00977BD5">
        <w:rPr>
          <w:sz w:val="20"/>
          <w:szCs w:val="20"/>
          <w:lang w:val="ru-RU"/>
        </w:rPr>
        <w:t>В отраслевом разрезе ускорение роста ВВП по сравнению с предыдущим годом было обеспечено такими секторами, как добывающая промышленность, транспортировка и хранение, строительство, деятельность финансовая и страховая. Вклад сельского хозяйства был слабоотрицательным (после положительного вклада годом ранее) на фоне более низкого урожая ряда ключевых культур (в первую очередь зерновых).</w:t>
      </w:r>
    </w:p>
    <w:p w:rsidR="00CE4A5E" w:rsidRPr="00977BD5" w:rsidRDefault="00CE4A5E" w:rsidP="00CE4A5E">
      <w:pPr>
        <w:pStyle w:val="2normal"/>
        <w:jc w:val="both"/>
        <w:rPr>
          <w:sz w:val="20"/>
          <w:szCs w:val="20"/>
          <w:lang w:val="ru-RU"/>
        </w:rPr>
      </w:pPr>
      <w:r w:rsidRPr="00977BD5">
        <w:rPr>
          <w:sz w:val="20"/>
          <w:szCs w:val="20"/>
          <w:lang w:val="ru-RU"/>
        </w:rPr>
        <w:t>В разрезе компонентов использования ускорение роста ВВП в 2018 г. по сравнению с предыдущим годом было связано с внешним сектором – более высоким темпом роста экспорта при значительном замедлении импорта в реальном выражении. При этом компоненты внутреннего спроса продемонстрировали замедление.</w:t>
      </w:r>
    </w:p>
    <w:p w:rsidR="00CE4A5E" w:rsidRPr="00977BD5" w:rsidRDefault="00CE4A5E" w:rsidP="00CE4A5E">
      <w:pPr>
        <w:pStyle w:val="2normal"/>
        <w:jc w:val="both"/>
        <w:rPr>
          <w:sz w:val="20"/>
          <w:szCs w:val="20"/>
          <w:lang w:val="ru-RU"/>
        </w:rPr>
      </w:pPr>
      <w:r w:rsidRPr="00977BD5">
        <w:rPr>
          <w:sz w:val="20"/>
          <w:szCs w:val="20"/>
          <w:lang w:val="ru-RU"/>
        </w:rPr>
        <w:t>Динамика показателей потребительского спроса была разнонаправленной. Темп роста оборота розничной торговли увеличился до 2,6 % в 2018 г. после 1,3 % годом ранее, в том числе за счет расширения спроса на товары длительного пользования (рост продаж легковых автомобилей составил 12,8 % в 2018 г. после 11,9 % в 2017 году). Другие компоненты потребительского спроса показали замедление темпов роста. В частности, покупки в зарубежных Интернет-магазинах в январе</w:t>
      </w:r>
      <w:r>
        <w:rPr>
          <w:sz w:val="20"/>
          <w:szCs w:val="20"/>
          <w:lang w:val="ru-RU"/>
        </w:rPr>
        <w:t>-</w:t>
      </w:r>
      <w:r w:rsidRPr="00977BD5">
        <w:rPr>
          <w:sz w:val="20"/>
          <w:szCs w:val="20"/>
          <w:lang w:val="ru-RU"/>
        </w:rPr>
        <w:t>сентябре 2018 г. увеличились на 6,5 % г/г в долларовом эквиваленте после роста на 83,9 % в 2017 году. В целом расходы домашних хозяйств на конечное потребление выросли на 2,2 % в 2018 г. после 3,2 % годом ранее.</w:t>
      </w:r>
    </w:p>
    <w:p w:rsidR="00CE4A5E" w:rsidRDefault="00CE4A5E" w:rsidP="00CE4A5E">
      <w:pPr>
        <w:pStyle w:val="2normal"/>
        <w:jc w:val="both"/>
        <w:rPr>
          <w:sz w:val="20"/>
          <w:szCs w:val="20"/>
          <w:lang w:val="ru-RU"/>
        </w:rPr>
      </w:pPr>
      <w:r w:rsidRPr="00977BD5">
        <w:rPr>
          <w:sz w:val="20"/>
          <w:szCs w:val="20"/>
          <w:lang w:val="ru-RU"/>
        </w:rPr>
        <w:t xml:space="preserve">Несмотря на высокие темпы роста заработных плат (+6,8 % в 2018 г. в реальном выражении), реальные располагаемые доходы населения снизились на 0,2 %. В то же время динамика показателя для различных доходных групп была неоднородной. Негативные факторы (падение доходов от банковских депозитов, увеличение налогов на недвижимость, рост платежей по ипотечным кредитам) сказались, в первую очередь, на доходах более обеспеченных групп населения. </w:t>
      </w:r>
      <w:r w:rsidRPr="00994558">
        <w:rPr>
          <w:sz w:val="20"/>
          <w:szCs w:val="20"/>
          <w:lang w:val="ru-RU"/>
        </w:rPr>
        <w:t>Двузначные темпы роста кредитования населения при сохранении процентных ставок по необеспеченным потребительским кредитам на высоком уровне обусловили рост расходов на обслуживание долга на 10,5% к уровню прошлого года.</w:t>
      </w:r>
    </w:p>
    <w:p w:rsidR="00CE4A5E" w:rsidRDefault="00CE4A5E" w:rsidP="00CE4A5E">
      <w:pPr>
        <w:pStyle w:val="2normal"/>
        <w:jc w:val="both"/>
        <w:rPr>
          <w:sz w:val="20"/>
          <w:szCs w:val="20"/>
          <w:lang w:val="ru-RU"/>
        </w:rPr>
      </w:pPr>
      <w:r w:rsidRPr="00977BD5">
        <w:rPr>
          <w:sz w:val="20"/>
          <w:szCs w:val="20"/>
          <w:lang w:val="ru-RU"/>
        </w:rPr>
        <w:t>В то же время повышение МРОТ, увеличение выплат семьям с детьми, повышение зарплат в бюджетной сфере серьезно поддержали доходы менее обеспеченных групп населения.</w:t>
      </w:r>
    </w:p>
    <w:p w:rsidR="00CE4A5E" w:rsidRPr="00994558" w:rsidRDefault="00CE4A5E" w:rsidP="00CE4A5E">
      <w:pPr>
        <w:pStyle w:val="2normal"/>
        <w:jc w:val="both"/>
        <w:rPr>
          <w:sz w:val="20"/>
          <w:szCs w:val="20"/>
          <w:lang w:val="ru-RU"/>
        </w:rPr>
      </w:pPr>
      <w:r w:rsidRPr="00994558">
        <w:rPr>
          <w:sz w:val="20"/>
          <w:szCs w:val="20"/>
          <w:lang w:val="ru-RU"/>
        </w:rPr>
        <w:t>Уровень безработицы в 2018 г. опустился до исторического минимума 4,8 %.</w:t>
      </w:r>
    </w:p>
    <w:p w:rsidR="00CE4A5E" w:rsidRPr="00977BD5" w:rsidRDefault="00CE4A5E" w:rsidP="00CE4A5E">
      <w:pPr>
        <w:pStyle w:val="2normal"/>
        <w:jc w:val="both"/>
        <w:rPr>
          <w:sz w:val="20"/>
          <w:szCs w:val="20"/>
          <w:lang w:val="ru-RU"/>
        </w:rPr>
      </w:pPr>
      <w:r w:rsidRPr="00977BD5">
        <w:rPr>
          <w:sz w:val="20"/>
          <w:szCs w:val="20"/>
          <w:lang w:val="ru-RU"/>
        </w:rPr>
        <w:t>Положительное сальдо счета текущих операций в 2018 г. достигло максимального значения за всю историю наблюдений (114,9 млрд. долл. США). Увеличение экспорта было обеспечено не только благоприятной ценовой конъюнктурой мировых товарных рынков, но и ростом физических объемов экспорта, в том числе и ненефтегазового. Среди компонентов ненефтегазового экспорта рост в реальном выражении наблюдался по продукции металлургии, продовольствию, химическим товарам, продукции деревообработки. Одновременно на фоне ослабления рубля произошло существенное замедление роста импорта.</w:t>
      </w:r>
    </w:p>
    <w:p w:rsidR="00CE4A5E" w:rsidRDefault="00CE4A5E" w:rsidP="00CE4A5E">
      <w:pPr>
        <w:pStyle w:val="2normal"/>
        <w:jc w:val="both"/>
        <w:rPr>
          <w:sz w:val="20"/>
          <w:szCs w:val="20"/>
          <w:lang w:val="ru-RU"/>
        </w:rPr>
      </w:pPr>
    </w:p>
    <w:p w:rsidR="003D5AC4" w:rsidRDefault="003D5AC4" w:rsidP="00CE4A5E">
      <w:pPr>
        <w:pStyle w:val="2normal"/>
        <w:jc w:val="both"/>
        <w:rPr>
          <w:sz w:val="20"/>
          <w:szCs w:val="20"/>
          <w:lang w:val="ru-RU"/>
        </w:rPr>
      </w:pPr>
    </w:p>
    <w:p w:rsidR="00CE4A5E" w:rsidRDefault="00CE4A5E" w:rsidP="00CE4A5E">
      <w:pPr>
        <w:pStyle w:val="2normal"/>
        <w:jc w:val="both"/>
        <w:rPr>
          <w:b/>
          <w:i/>
          <w:szCs w:val="18"/>
          <w:lang w:val="ru-RU"/>
        </w:rPr>
      </w:pPr>
      <w:r w:rsidRPr="00781B29">
        <w:rPr>
          <w:b/>
          <w:i/>
          <w:szCs w:val="18"/>
          <w:lang w:val="ru-RU"/>
        </w:rPr>
        <w:lastRenderedPageBreak/>
        <w:t>Состояние банковского сектора</w:t>
      </w:r>
    </w:p>
    <w:p w:rsidR="00CE4A5E" w:rsidRPr="007C79AB" w:rsidRDefault="00CE4A5E" w:rsidP="00CE4A5E">
      <w:pPr>
        <w:pStyle w:val="2normal"/>
        <w:jc w:val="both"/>
        <w:rPr>
          <w:b/>
          <w:i/>
          <w:szCs w:val="18"/>
          <w:lang w:val="ru-RU"/>
        </w:rPr>
      </w:pPr>
    </w:p>
    <w:p w:rsidR="00CE4A5E" w:rsidRPr="00DE74A4" w:rsidRDefault="00CE4A5E" w:rsidP="00CE4A5E">
      <w:pPr>
        <w:pStyle w:val="2normal"/>
        <w:spacing w:after="120"/>
        <w:jc w:val="both"/>
        <w:rPr>
          <w:sz w:val="20"/>
          <w:szCs w:val="20"/>
          <w:lang w:val="ru-RU"/>
        </w:rPr>
      </w:pPr>
      <w:r w:rsidRPr="00DE74A4">
        <w:rPr>
          <w:sz w:val="20"/>
          <w:szCs w:val="20"/>
          <w:lang w:val="ru-RU"/>
        </w:rPr>
        <w:t>В условиях ослабления рубля, роста российской премии за риск и оттока нерезидентов с рынка ОФЗ Банк России в апреле приостановил цикл смягчения денежно-кредитной политики, а с сентября перешел к ее ужесточению. В сентябре и в декабре регулятор поднял ключевую ставку на 25 б.п. (до 7,75 % на конец года).</w:t>
      </w:r>
      <w:r>
        <w:rPr>
          <w:sz w:val="20"/>
          <w:szCs w:val="20"/>
          <w:lang w:val="ru-RU"/>
        </w:rPr>
        <w:t xml:space="preserve"> </w:t>
      </w:r>
      <w:r w:rsidRPr="00DE74A4">
        <w:rPr>
          <w:sz w:val="20"/>
          <w:szCs w:val="20"/>
          <w:lang w:val="ru-RU"/>
        </w:rPr>
        <w:t>Банки отреагировали на ситуацию на финансовых рынках и решения Банка России повышением основных кредитных и депозитных ставок. В июле</w:t>
      </w:r>
      <w:r>
        <w:rPr>
          <w:sz w:val="20"/>
          <w:szCs w:val="20"/>
          <w:lang w:val="ru-RU"/>
        </w:rPr>
        <w:t>-</w:t>
      </w:r>
      <w:r w:rsidRPr="00DE74A4">
        <w:rPr>
          <w:sz w:val="20"/>
          <w:szCs w:val="20"/>
          <w:lang w:val="ru-RU"/>
        </w:rPr>
        <w:t>декабре ставки по розничным депозитам на срок свыше 1 года прибавили 1,1 п.п., по кредитам нефинансовым организациям на аналогичный срок – 0,7 п.п. Ставки по ипотечным кредитам во второй половине года выросли (до 9,7 % в декабре) после двух лет практически непрерывного снижения. В то же время в других сегментах рынка потребительского кредитования повышения ставок не наблюдалось.</w:t>
      </w:r>
    </w:p>
    <w:p w:rsidR="00CE4A5E" w:rsidRDefault="00CE4A5E" w:rsidP="00CE4A5E">
      <w:pPr>
        <w:pStyle w:val="2normal"/>
        <w:spacing w:after="120"/>
        <w:jc w:val="both"/>
        <w:rPr>
          <w:sz w:val="20"/>
          <w:szCs w:val="20"/>
          <w:lang w:val="ru-RU"/>
        </w:rPr>
      </w:pPr>
      <w:r w:rsidRPr="00DE74A4">
        <w:rPr>
          <w:sz w:val="20"/>
          <w:szCs w:val="20"/>
          <w:lang w:val="ru-RU"/>
        </w:rPr>
        <w:t>Тенденции на рынках корпоративных и розничных депозитов в 2018 г. были разнонаправленными. Рост вкладов физических лиц в течение года последовательно замедлялся (до 5,3 % г/г в декабре 2018 г. с 8,7 % г/г в декабре 2017 года). Темп роста корпоративных депозитов, напротив, находился на восходящей траектории и в декабре достиг 10,5 % г/г (по сравнению с 8,4 % г/г в декабре 2017 года). Начиная со второй половины 2018 г. годовой рост корпоративных депозитов устойчиво опережал динамику розничных вкладов, при этом разрыв между двумя показателями продолжает увеличиваться.</w:t>
      </w:r>
    </w:p>
    <w:p w:rsidR="00CE4A5E" w:rsidRDefault="00CE4A5E" w:rsidP="00CE4A5E">
      <w:pPr>
        <w:pStyle w:val="2normal"/>
        <w:spacing w:after="120"/>
        <w:jc w:val="both"/>
        <w:rPr>
          <w:sz w:val="20"/>
          <w:szCs w:val="20"/>
          <w:lang w:val="ru-RU"/>
        </w:rPr>
      </w:pPr>
      <w:r w:rsidRPr="00907966">
        <w:rPr>
          <w:sz w:val="20"/>
          <w:szCs w:val="20"/>
          <w:lang w:val="ru-RU"/>
        </w:rPr>
        <w:t>Ускорение роста корпоративного кредитного портфеля в 2018 г. сопровождалось изменением его валютной структуры в пользу рублевых кредитов.</w:t>
      </w:r>
      <w:r>
        <w:rPr>
          <w:sz w:val="20"/>
          <w:szCs w:val="20"/>
          <w:lang w:val="ru-RU"/>
        </w:rPr>
        <w:t xml:space="preserve"> </w:t>
      </w:r>
      <w:r w:rsidRPr="00DE74A4">
        <w:rPr>
          <w:sz w:val="20"/>
          <w:szCs w:val="20"/>
          <w:lang w:val="ru-RU"/>
        </w:rPr>
        <w:t>Задолженность по кредитам нефинансовым организациям в целом за 2018 г. выросла на 4,7 % (в 2017 г. – на 1,8 %). По сопоставимому кругу банков, как и годом ранее, наблюдался более динамичный рост кредитного портфеля, – 5,8 % после 3,7 % в 2017 году.</w:t>
      </w:r>
    </w:p>
    <w:p w:rsidR="00CE4A5E" w:rsidRDefault="00CE4A5E" w:rsidP="00CE4A5E">
      <w:pPr>
        <w:pStyle w:val="2normal"/>
        <w:jc w:val="both"/>
        <w:rPr>
          <w:sz w:val="20"/>
          <w:szCs w:val="20"/>
          <w:lang w:val="ru-RU"/>
        </w:rPr>
      </w:pPr>
      <w:r w:rsidRPr="00DE74A4">
        <w:rPr>
          <w:sz w:val="20"/>
          <w:szCs w:val="20"/>
          <w:lang w:val="ru-RU"/>
        </w:rPr>
        <w:t>Кредиты населению в 2018 г. продолжали расти опережающими темпами. По итогам 2018 г. темпы роста розничного кредитного портфеля выросли до 22,4 % с 12,8 % годом ранее.</w:t>
      </w:r>
      <w:r>
        <w:rPr>
          <w:sz w:val="20"/>
          <w:szCs w:val="20"/>
          <w:lang w:val="ru-RU"/>
        </w:rPr>
        <w:t xml:space="preserve"> </w:t>
      </w:r>
      <w:r w:rsidRPr="00DE74A4">
        <w:rPr>
          <w:sz w:val="20"/>
          <w:szCs w:val="20"/>
          <w:lang w:val="ru-RU"/>
        </w:rPr>
        <w:t>Рост ипотечного кредитного портфеля в 2018 г. ускорился до 23,1 % с 15,1 % в 2017 году. Выдачи новых ипотечных кредитов на протяжении года продолжали расти высокими темпами (в целом по году – на 62 %), в том числе в результате рефинансирования заемщиками ранее выданных кредитов по более выгодным ставкам. Вместе с тем в конце года динамика показателя начала замедляться на фоне приостановки удешевления ипотечного кредитования.</w:t>
      </w:r>
      <w:r w:rsidRPr="00DE74A4">
        <w:rPr>
          <w:lang w:val="ru-RU"/>
        </w:rPr>
        <w:t xml:space="preserve"> </w:t>
      </w:r>
      <w:r w:rsidRPr="00DE74A4">
        <w:rPr>
          <w:sz w:val="20"/>
          <w:szCs w:val="20"/>
          <w:lang w:val="ru-RU"/>
        </w:rPr>
        <w:t>Рост розничного кредитного портфеля (за исключением ипотеки) в 2018 г. ускорился почти вдвое – до 21,6 % с 11,1 % в 2017 году.</w:t>
      </w:r>
    </w:p>
    <w:p w:rsidR="00CE4A5E" w:rsidRPr="00DE74A4" w:rsidRDefault="00CE4A5E" w:rsidP="00CE4A5E">
      <w:pPr>
        <w:pStyle w:val="2normal"/>
        <w:spacing w:after="120"/>
        <w:jc w:val="both"/>
        <w:rPr>
          <w:sz w:val="20"/>
          <w:szCs w:val="20"/>
          <w:lang w:val="ru-RU"/>
        </w:rPr>
      </w:pPr>
      <w:r w:rsidRPr="00DE74A4">
        <w:rPr>
          <w:sz w:val="20"/>
          <w:szCs w:val="20"/>
          <w:lang w:val="ru-RU"/>
        </w:rPr>
        <w:t>В условиях широких возможностей для рефинансирования ранее выданных кредитов уровень просроченной задолженности физических лиц продолжил снижаться (до 5,1 % на 1 января 2019 г. с уровней около 7 % в начале года) и достиг минимальных с апреля 2014 года уровней. Вместе с тем рост кредитного портфеля существенно превышал рост номинальных заработных плат.</w:t>
      </w:r>
    </w:p>
    <w:p w:rsidR="00CE4A5E" w:rsidRPr="00CE4A5E" w:rsidRDefault="00CE4A5E" w:rsidP="00CE4A5E">
      <w:pPr>
        <w:pStyle w:val="2normal"/>
        <w:spacing w:after="120"/>
        <w:jc w:val="both"/>
        <w:rPr>
          <w:sz w:val="20"/>
          <w:szCs w:val="20"/>
          <w:lang w:val="ru-RU"/>
        </w:rPr>
      </w:pPr>
      <w:r w:rsidRPr="00907966">
        <w:rPr>
          <w:sz w:val="20"/>
          <w:szCs w:val="20"/>
          <w:lang w:val="ru-RU"/>
        </w:rPr>
        <w:t>Наблюдаемая динамика потребительского кредитования создает риски ухудшения качества кредитного портфеля в будущем. Кроме того, растущие процентные платежи оказывают все более выраженное негативное влияние на динамику реальных располагаемых доходов населения. В целях ограничения рисков в сфере потребительского кредитования Банк России принял решение с 1 апреля 2019 г. повысить на 30 п.п. надбавки к коэффициентам риска по потребительским кредитам с полной стоимостью кредитования от 10 до 30 %. С 1 сентября 2018 г. указанные надбавки уже были повышены на 20</w:t>
      </w:r>
      <w:r>
        <w:rPr>
          <w:sz w:val="20"/>
          <w:szCs w:val="20"/>
          <w:lang w:val="ru-RU"/>
        </w:rPr>
        <w:t>-</w:t>
      </w:r>
      <w:r w:rsidRPr="00907966">
        <w:rPr>
          <w:sz w:val="20"/>
          <w:szCs w:val="20"/>
          <w:lang w:val="ru-RU"/>
        </w:rPr>
        <w:t>60 процентных пунктов.</w:t>
      </w:r>
    </w:p>
    <w:p w:rsidR="00BA5BB0" w:rsidRPr="0008119E" w:rsidRDefault="00BA5BB0" w:rsidP="00BA5BB0">
      <w:pPr>
        <w:pStyle w:val="a"/>
        <w:ind w:left="0" w:firstLine="0"/>
      </w:pPr>
      <w:bookmarkStart w:id="5" w:name="_Toc355088448"/>
      <w:bookmarkStart w:id="6" w:name="_Toc355090559"/>
      <w:bookmarkStart w:id="7" w:name="_Toc355090633"/>
      <w:bookmarkStart w:id="8" w:name="_Toc355090816"/>
      <w:bookmarkStart w:id="9" w:name="_Toc355091680"/>
      <w:bookmarkStart w:id="10" w:name="_Toc355091718"/>
      <w:bookmarkStart w:id="11" w:name="_Toc355091758"/>
      <w:bookmarkStart w:id="12" w:name="_Toc355092295"/>
      <w:bookmarkStart w:id="13" w:name="_Toc327438699"/>
      <w:bookmarkStart w:id="14" w:name="_Toc327438739"/>
      <w:bookmarkStart w:id="15" w:name="_Toc327438703"/>
      <w:bookmarkStart w:id="16" w:name="_Toc327438743"/>
      <w:bookmarkEnd w:id="5"/>
      <w:bookmarkEnd w:id="6"/>
      <w:bookmarkEnd w:id="7"/>
      <w:bookmarkEnd w:id="8"/>
      <w:bookmarkEnd w:id="9"/>
      <w:bookmarkEnd w:id="10"/>
      <w:bookmarkEnd w:id="11"/>
      <w:bookmarkEnd w:id="12"/>
      <w:bookmarkEnd w:id="13"/>
      <w:bookmarkEnd w:id="14"/>
      <w:bookmarkEnd w:id="15"/>
      <w:bookmarkEnd w:id="16"/>
      <w:r w:rsidRPr="0008119E">
        <w:t xml:space="preserve">Краткий обзор </w:t>
      </w:r>
      <w:r w:rsidR="003A6DF1" w:rsidRPr="0008119E">
        <w:t xml:space="preserve">основных положений </w:t>
      </w:r>
      <w:r w:rsidR="005F221A">
        <w:t>У</w:t>
      </w:r>
      <w:r w:rsidR="003A6DF1" w:rsidRPr="0008119E">
        <w:t xml:space="preserve">четной </w:t>
      </w:r>
      <w:r w:rsidR="005F221A">
        <w:t>П</w:t>
      </w:r>
      <w:r w:rsidR="003A6DF1" w:rsidRPr="0008119E">
        <w:t xml:space="preserve">олитики Банка </w:t>
      </w:r>
    </w:p>
    <w:p w:rsidR="00913BF1" w:rsidRPr="005F221A" w:rsidRDefault="00913BF1" w:rsidP="00913BF1">
      <w:pPr>
        <w:pStyle w:val="a"/>
        <w:numPr>
          <w:ilvl w:val="0"/>
          <w:numId w:val="0"/>
        </w:numPr>
        <w:rPr>
          <w:sz w:val="20"/>
          <w:szCs w:val="20"/>
          <w:highlight w:val="yellow"/>
        </w:rPr>
      </w:pPr>
    </w:p>
    <w:p w:rsidR="00913BF1" w:rsidRPr="00831C92" w:rsidRDefault="00913BF1" w:rsidP="00913BF1">
      <w:pPr>
        <w:pStyle w:val="4"/>
      </w:pPr>
      <w:r>
        <w:t>М</w:t>
      </w:r>
      <w:r w:rsidRPr="00831C92">
        <w:t>етоды оценки</w:t>
      </w:r>
      <w:r>
        <w:t xml:space="preserve"> и учет существенных операций и событий, признани</w:t>
      </w:r>
      <w:r w:rsidR="005F221A">
        <w:t>е</w:t>
      </w:r>
      <w:r>
        <w:t xml:space="preserve"> доходов, в том числе метод</w:t>
      </w:r>
      <w:r w:rsidR="005F221A">
        <w:t>ы</w:t>
      </w:r>
      <w:r>
        <w:t>, используемы</w:t>
      </w:r>
      <w:r w:rsidR="005F221A">
        <w:t>е</w:t>
      </w:r>
      <w:r>
        <w:t xml:space="preserve"> для определения степени выполнения операций, предполагающих оказание услуг</w:t>
      </w:r>
    </w:p>
    <w:p w:rsidR="000764F1" w:rsidRDefault="000764F1" w:rsidP="000764F1">
      <w:pPr>
        <w:rPr>
          <w:highlight w:val="yellow"/>
          <w:lang w:val="ru-RU"/>
        </w:rPr>
      </w:pPr>
    </w:p>
    <w:p w:rsidR="00971231" w:rsidRDefault="00971231" w:rsidP="00971231">
      <w:pPr>
        <w:jc w:val="both"/>
        <w:rPr>
          <w:rFonts w:cs="Arial"/>
          <w:sz w:val="20"/>
          <w:szCs w:val="20"/>
          <w:lang w:val="ru-RU"/>
        </w:rPr>
      </w:pPr>
      <w:r w:rsidRPr="00831C92">
        <w:rPr>
          <w:rFonts w:cs="Arial"/>
          <w:sz w:val="20"/>
          <w:szCs w:val="20"/>
          <w:lang w:val="ru-RU"/>
        </w:rPr>
        <w:t xml:space="preserve">Бухгалтерский учет в </w:t>
      </w:r>
      <w:r w:rsidR="005F221A">
        <w:rPr>
          <w:rFonts w:cs="Arial"/>
          <w:sz w:val="20"/>
          <w:szCs w:val="20"/>
          <w:lang w:val="ru-RU"/>
        </w:rPr>
        <w:t>Б</w:t>
      </w:r>
      <w:r w:rsidRPr="00831C92">
        <w:rPr>
          <w:rFonts w:cs="Arial"/>
          <w:sz w:val="20"/>
          <w:szCs w:val="20"/>
          <w:lang w:val="ru-RU"/>
        </w:rPr>
        <w:t xml:space="preserve">анке осуществляется в соответствии с Положением Банка России от 27 февраля 2017 года № 579-П «О плане счетов бухгалтерского учета для кредитных организаций и порядке его применения», Законом РФ от 06.12.2011 г. № 402-ФЗ «О бухгалтерском учете» и нормативными документами Банка России. Принципы и методы оценки, конкретные способы ведения бухгалтерского учета по вопросам, по которым нормативными документами допускается несколько вариантов его реализации, устанавливается Учетной </w:t>
      </w:r>
      <w:r w:rsidR="005F221A">
        <w:rPr>
          <w:rFonts w:cs="Arial"/>
          <w:sz w:val="20"/>
          <w:szCs w:val="20"/>
          <w:lang w:val="ru-RU"/>
        </w:rPr>
        <w:t>П</w:t>
      </w:r>
      <w:r w:rsidRPr="00831C92">
        <w:rPr>
          <w:rFonts w:cs="Arial"/>
          <w:sz w:val="20"/>
          <w:szCs w:val="20"/>
          <w:lang w:val="ru-RU"/>
        </w:rPr>
        <w:t>олитикой для целей бухгалтерского учета.</w:t>
      </w:r>
    </w:p>
    <w:p w:rsidR="00971231" w:rsidRPr="00831C92" w:rsidRDefault="00971231" w:rsidP="00971231">
      <w:pPr>
        <w:jc w:val="both"/>
        <w:rPr>
          <w:rFonts w:cs="Arial"/>
          <w:sz w:val="20"/>
          <w:szCs w:val="20"/>
          <w:lang w:val="ru-RU"/>
        </w:rPr>
      </w:pPr>
      <w:r>
        <w:rPr>
          <w:rFonts w:cs="Arial"/>
          <w:sz w:val="20"/>
          <w:szCs w:val="20"/>
          <w:lang w:val="ru-RU"/>
        </w:rPr>
        <w:t xml:space="preserve">В настоящей годовой отчетности были использованы те же принципы Учетной </w:t>
      </w:r>
      <w:r w:rsidR="005F221A">
        <w:rPr>
          <w:rFonts w:cs="Arial"/>
          <w:sz w:val="20"/>
          <w:szCs w:val="20"/>
          <w:lang w:val="ru-RU"/>
        </w:rPr>
        <w:t>П</w:t>
      </w:r>
      <w:r>
        <w:rPr>
          <w:rFonts w:cs="Arial"/>
          <w:sz w:val="20"/>
          <w:szCs w:val="20"/>
          <w:lang w:val="ru-RU"/>
        </w:rPr>
        <w:t>олитики, представления и методы расчета, что и при подготовке финансовой (бухгалтерской) отчетности Банка за 2017 год, за исключением влияния вступления в силу Указания Банка России от 06.12.2017</w:t>
      </w:r>
      <w:r w:rsidR="005F221A">
        <w:rPr>
          <w:rFonts w:cs="Arial"/>
          <w:sz w:val="20"/>
          <w:szCs w:val="20"/>
          <w:lang w:val="ru-RU"/>
        </w:rPr>
        <w:t>г.</w:t>
      </w:r>
      <w:r>
        <w:rPr>
          <w:rFonts w:cs="Arial"/>
          <w:sz w:val="20"/>
          <w:szCs w:val="20"/>
          <w:lang w:val="ru-RU"/>
        </w:rPr>
        <w:t xml:space="preserve"> № 4638-У «О формах, порядке и сроках раскрытия кредитными организациями информации о своей деятельности».</w:t>
      </w:r>
    </w:p>
    <w:p w:rsidR="00971231" w:rsidRPr="00831C92" w:rsidRDefault="00971231" w:rsidP="00971231">
      <w:pPr>
        <w:jc w:val="both"/>
        <w:rPr>
          <w:rFonts w:cs="Arial"/>
          <w:sz w:val="20"/>
          <w:szCs w:val="20"/>
          <w:lang w:val="ru-RU"/>
        </w:rPr>
      </w:pPr>
      <w:r w:rsidRPr="00831C92">
        <w:rPr>
          <w:rFonts w:cs="Arial"/>
          <w:sz w:val="20"/>
          <w:szCs w:val="20"/>
          <w:lang w:val="ru-RU"/>
        </w:rPr>
        <w:t>Учетная политика основывается на следующих принципах бухгалтерского учета:</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lastRenderedPageBreak/>
        <w:t>непрерывность деятельности;</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постоянство правил бухгалтерского учета;</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осторожность;</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отражение доходов и расходов по методу начисления;</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своевременность отражения операций;</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раздельное отражение активов и пассивов;</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преемственность входящего баланса;</w:t>
      </w:r>
    </w:p>
    <w:p w:rsidR="00971231" w:rsidRPr="00831C92"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приоритет содержания над формой;</w:t>
      </w:r>
    </w:p>
    <w:p w:rsidR="00971231" w:rsidRDefault="00971231" w:rsidP="00FC5D59">
      <w:pPr>
        <w:pStyle w:val="afd"/>
        <w:numPr>
          <w:ilvl w:val="0"/>
          <w:numId w:val="22"/>
        </w:numPr>
        <w:tabs>
          <w:tab w:val="left" w:pos="851"/>
        </w:tabs>
        <w:ind w:left="0" w:firstLine="567"/>
        <w:jc w:val="both"/>
        <w:rPr>
          <w:rFonts w:cs="Arial"/>
          <w:sz w:val="20"/>
          <w:szCs w:val="20"/>
          <w:lang w:val="ru-RU"/>
        </w:rPr>
      </w:pPr>
      <w:r w:rsidRPr="00831C92">
        <w:rPr>
          <w:rFonts w:cs="Arial"/>
          <w:sz w:val="20"/>
          <w:szCs w:val="20"/>
          <w:lang w:val="ru-RU"/>
        </w:rPr>
        <w:t>открытость.</w:t>
      </w:r>
    </w:p>
    <w:p w:rsidR="00971231" w:rsidRDefault="00971231" w:rsidP="0008119E">
      <w:pPr>
        <w:pStyle w:val="afd"/>
        <w:tabs>
          <w:tab w:val="left" w:pos="851"/>
        </w:tabs>
        <w:ind w:left="567"/>
        <w:jc w:val="both"/>
        <w:rPr>
          <w:rFonts w:cs="Arial"/>
          <w:sz w:val="20"/>
          <w:szCs w:val="20"/>
          <w:lang w:val="ru-RU"/>
        </w:rPr>
      </w:pPr>
    </w:p>
    <w:p w:rsidR="00971231" w:rsidRPr="002B6FDF" w:rsidRDefault="00971231" w:rsidP="00971231">
      <w:pPr>
        <w:tabs>
          <w:tab w:val="left" w:pos="851"/>
        </w:tabs>
        <w:jc w:val="both"/>
        <w:rPr>
          <w:rFonts w:cs="Arial"/>
          <w:b/>
          <w:sz w:val="20"/>
          <w:szCs w:val="20"/>
          <w:lang w:val="ru-RU"/>
        </w:rPr>
      </w:pPr>
      <w:r w:rsidRPr="002B6FDF">
        <w:rPr>
          <w:rFonts w:cs="Arial"/>
          <w:b/>
          <w:sz w:val="20"/>
          <w:szCs w:val="20"/>
          <w:lang w:val="ru-RU"/>
        </w:rPr>
        <w:t>Признание активов и обязательств</w:t>
      </w:r>
    </w:p>
    <w:p w:rsidR="00971231" w:rsidRPr="00831C92" w:rsidRDefault="00971231" w:rsidP="00971231">
      <w:pPr>
        <w:jc w:val="both"/>
        <w:rPr>
          <w:rFonts w:cs="Arial"/>
          <w:sz w:val="20"/>
          <w:szCs w:val="20"/>
          <w:lang w:val="ru-RU"/>
        </w:rPr>
      </w:pPr>
      <w:r w:rsidRPr="00831C92">
        <w:rPr>
          <w:rFonts w:cs="Arial"/>
          <w:sz w:val="20"/>
          <w:szCs w:val="20"/>
          <w:lang w:val="ru-RU"/>
        </w:rPr>
        <w:t>Активы отражаются в бухгалтерском учете по их первоначальной стоимости, а в дальнейшем оцениваются (переоцениваются) по справедливой стоимости, либо путем создания резервов на возможные потери.</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Обязательства отражаются в бухгалтерском учете в соответствии с условиями договора.</w:t>
      </w:r>
    </w:p>
    <w:p w:rsidR="00971231" w:rsidRPr="00831C92" w:rsidRDefault="00971231" w:rsidP="00971231">
      <w:pPr>
        <w:jc w:val="both"/>
        <w:rPr>
          <w:rFonts w:cs="Arial"/>
          <w:sz w:val="20"/>
          <w:szCs w:val="20"/>
          <w:lang w:val="ru-RU"/>
        </w:rPr>
      </w:pPr>
      <w:r w:rsidRPr="00831C92">
        <w:rPr>
          <w:rFonts w:cs="Arial"/>
          <w:sz w:val="20"/>
          <w:szCs w:val="20"/>
          <w:lang w:val="ru-RU"/>
        </w:rPr>
        <w:t>Бухгалтерский учет имущества, обязательств и хозяйственных операций ведется в валюте РФ (рублях и копейках) на основе натуральных измерителей в денежном выражении путем сплошного, непрерывного, документального и взаимосвязанного их отражения в соответствии с рабочим Планом счетов бухгалтерского учета, содержащим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971231" w:rsidRPr="00831C92" w:rsidRDefault="00971231" w:rsidP="00971231">
      <w:pPr>
        <w:jc w:val="both"/>
        <w:rPr>
          <w:rFonts w:cs="Arial"/>
          <w:color w:val="FF0000"/>
          <w:sz w:val="20"/>
          <w:szCs w:val="20"/>
          <w:lang w:val="ru-RU"/>
        </w:rPr>
      </w:pPr>
    </w:p>
    <w:p w:rsidR="00971231" w:rsidRPr="002B6FDF" w:rsidRDefault="00971231" w:rsidP="00971231">
      <w:pPr>
        <w:jc w:val="both"/>
        <w:rPr>
          <w:rFonts w:cs="Arial"/>
          <w:b/>
          <w:i/>
          <w:sz w:val="20"/>
          <w:szCs w:val="20"/>
          <w:lang w:val="ru-RU"/>
        </w:rPr>
      </w:pPr>
      <w:r w:rsidRPr="002B6FDF">
        <w:rPr>
          <w:rFonts w:cs="Arial"/>
          <w:b/>
          <w:sz w:val="20"/>
          <w:szCs w:val="20"/>
          <w:lang w:val="ru-RU"/>
        </w:rPr>
        <w:t>Признание доходов и расходов</w:t>
      </w:r>
    </w:p>
    <w:p w:rsidR="00971231" w:rsidRPr="00831C92" w:rsidRDefault="00971231" w:rsidP="00971231">
      <w:pPr>
        <w:jc w:val="both"/>
        <w:rPr>
          <w:rFonts w:cs="Arial"/>
          <w:sz w:val="20"/>
          <w:szCs w:val="20"/>
          <w:lang w:val="ru-RU"/>
        </w:rPr>
      </w:pPr>
      <w:r w:rsidRPr="00831C92">
        <w:rPr>
          <w:rFonts w:cs="Arial"/>
          <w:sz w:val="20"/>
          <w:szCs w:val="20"/>
          <w:lang w:val="ru-RU"/>
        </w:rPr>
        <w:t xml:space="preserve">Счета по учету доходов и расходов текущего года ведутся </w:t>
      </w:r>
      <w:r w:rsidR="002B6FDF">
        <w:rPr>
          <w:rFonts w:cs="Arial"/>
          <w:sz w:val="20"/>
          <w:szCs w:val="20"/>
          <w:lang w:val="ru-RU"/>
        </w:rPr>
        <w:t xml:space="preserve">с </w:t>
      </w:r>
      <w:r w:rsidRPr="00831C92">
        <w:rPr>
          <w:rFonts w:cs="Arial"/>
          <w:sz w:val="20"/>
          <w:szCs w:val="20"/>
          <w:lang w:val="ru-RU"/>
        </w:rPr>
        <w:t>нарастающим итогом в течение года (с 1 января по 31 декабря включительно).</w:t>
      </w:r>
    </w:p>
    <w:p w:rsidR="00971231" w:rsidRPr="00831C92" w:rsidRDefault="00971231" w:rsidP="00971231">
      <w:pPr>
        <w:jc w:val="both"/>
        <w:rPr>
          <w:rFonts w:cs="Arial"/>
          <w:sz w:val="20"/>
          <w:szCs w:val="20"/>
          <w:lang w:val="ru-RU"/>
        </w:rPr>
      </w:pPr>
      <w:r w:rsidRPr="00831C92">
        <w:rPr>
          <w:rFonts w:cs="Arial"/>
          <w:sz w:val="20"/>
          <w:szCs w:val="20"/>
          <w:lang w:val="ru-RU"/>
        </w:rPr>
        <w:t>Доходами Банка признается увеличение экономических выгод, приводящее к увеличению собственных средств (капитала) Банка (за исключением вкладов акционеров).</w:t>
      </w:r>
    </w:p>
    <w:p w:rsidR="00971231" w:rsidRPr="00831C92" w:rsidRDefault="00971231" w:rsidP="00971231">
      <w:pPr>
        <w:jc w:val="both"/>
        <w:rPr>
          <w:rFonts w:cs="Arial"/>
          <w:sz w:val="20"/>
          <w:szCs w:val="20"/>
          <w:lang w:val="ru-RU"/>
        </w:rPr>
      </w:pPr>
      <w:r w:rsidRPr="00831C92">
        <w:rPr>
          <w:rFonts w:cs="Arial"/>
          <w:sz w:val="20"/>
          <w:szCs w:val="20"/>
          <w:lang w:val="ru-RU"/>
        </w:rPr>
        <w:t>Расходами Банка признается уменьшение экономических выгод, приводящее к уменьшению собственных средств (капитала) Банка (за исключением его распределения между акционерами).</w:t>
      </w:r>
    </w:p>
    <w:p w:rsidR="00971231" w:rsidRDefault="00971231" w:rsidP="00971231">
      <w:pPr>
        <w:jc w:val="both"/>
        <w:rPr>
          <w:rFonts w:cs="Arial"/>
          <w:sz w:val="20"/>
          <w:szCs w:val="20"/>
          <w:lang w:val="ru-RU"/>
        </w:rPr>
      </w:pPr>
      <w:r w:rsidRPr="00831C92">
        <w:rPr>
          <w:rFonts w:cs="Arial"/>
          <w:sz w:val="20"/>
          <w:szCs w:val="20"/>
          <w:lang w:val="ru-RU"/>
        </w:rPr>
        <w:t>Прочим совокупным доходом Банка признается – увеличение или уменьшение экономических выгод, относимое на увеличение или уменьшение добавочного капитала, приводящее к увеличению или уменьшению собственных средств (капитала) банка, за исключением доходов и расходов, происходящих в форме, определенной в пунктах 28.2 и 28.3 Положения Банка России от 22.12.2014</w:t>
      </w:r>
      <w:r w:rsidR="002B6FDF">
        <w:rPr>
          <w:rFonts w:cs="Arial"/>
          <w:sz w:val="20"/>
          <w:szCs w:val="20"/>
          <w:lang w:val="ru-RU"/>
        </w:rPr>
        <w:t>г.</w:t>
      </w:r>
      <w:r w:rsidRPr="00831C92">
        <w:rPr>
          <w:rFonts w:cs="Arial"/>
          <w:sz w:val="20"/>
          <w:szCs w:val="20"/>
          <w:lang w:val="ru-RU"/>
        </w:rPr>
        <w:t xml:space="preserve"> № 446-П «О порядке определения доходов, расходов и прочего совокупного дохода кредитных организаций». </w:t>
      </w:r>
    </w:p>
    <w:p w:rsidR="00971231" w:rsidRPr="00831C92" w:rsidRDefault="00971231" w:rsidP="00971231">
      <w:pPr>
        <w:jc w:val="both"/>
        <w:rPr>
          <w:rFonts w:cs="Arial"/>
          <w:sz w:val="20"/>
          <w:szCs w:val="20"/>
          <w:lang w:val="ru-RU"/>
        </w:rPr>
      </w:pPr>
      <w:r>
        <w:rPr>
          <w:rFonts w:cs="Arial"/>
          <w:sz w:val="20"/>
          <w:szCs w:val="20"/>
          <w:lang w:val="ru-RU"/>
        </w:rPr>
        <w:t>Доходы и расходы отражаются в бухгалтерском учете по методу «начисления».</w:t>
      </w:r>
    </w:p>
    <w:p w:rsidR="00971231" w:rsidRPr="00831C92" w:rsidRDefault="00971231" w:rsidP="00971231">
      <w:pPr>
        <w:jc w:val="both"/>
        <w:rPr>
          <w:rFonts w:cs="Arial"/>
          <w:sz w:val="20"/>
          <w:szCs w:val="20"/>
          <w:lang w:val="ru-RU"/>
        </w:rPr>
      </w:pPr>
      <w:r w:rsidRPr="00831C92">
        <w:rPr>
          <w:rFonts w:cs="Arial"/>
          <w:sz w:val="20"/>
          <w:szCs w:val="20"/>
          <w:lang w:val="ru-RU"/>
        </w:rPr>
        <w:t>Доходы и расходы Банка в зависимости от их характера и видов операций подразделяются:</w:t>
      </w:r>
    </w:p>
    <w:p w:rsidR="00971231" w:rsidRPr="00831C92" w:rsidRDefault="00971231" w:rsidP="00FC5D59">
      <w:pPr>
        <w:pStyle w:val="afd"/>
        <w:numPr>
          <w:ilvl w:val="0"/>
          <w:numId w:val="23"/>
        </w:numPr>
        <w:tabs>
          <w:tab w:val="left" w:pos="851"/>
        </w:tabs>
        <w:ind w:left="0" w:firstLine="567"/>
        <w:jc w:val="both"/>
        <w:rPr>
          <w:rFonts w:cs="Arial"/>
          <w:sz w:val="20"/>
          <w:szCs w:val="20"/>
          <w:lang w:val="ru-RU"/>
        </w:rPr>
      </w:pPr>
      <w:r w:rsidRPr="00831C92">
        <w:rPr>
          <w:rFonts w:cs="Arial"/>
          <w:sz w:val="20"/>
          <w:szCs w:val="20"/>
          <w:lang w:val="ru-RU"/>
        </w:rPr>
        <w:t>на процентные доходы и процентные расходы;</w:t>
      </w:r>
    </w:p>
    <w:p w:rsidR="00971231" w:rsidRPr="00831C92" w:rsidRDefault="00971231" w:rsidP="00FC5D59">
      <w:pPr>
        <w:pStyle w:val="afd"/>
        <w:numPr>
          <w:ilvl w:val="0"/>
          <w:numId w:val="23"/>
        </w:numPr>
        <w:tabs>
          <w:tab w:val="left" w:pos="851"/>
        </w:tabs>
        <w:ind w:left="0" w:firstLine="567"/>
        <w:jc w:val="both"/>
        <w:rPr>
          <w:rFonts w:cs="Arial"/>
          <w:sz w:val="20"/>
          <w:szCs w:val="20"/>
          <w:lang w:val="ru-RU"/>
        </w:rPr>
      </w:pPr>
      <w:r w:rsidRPr="00831C92">
        <w:rPr>
          <w:rFonts w:cs="Arial"/>
          <w:sz w:val="20"/>
          <w:szCs w:val="20"/>
          <w:lang w:val="ru-RU"/>
        </w:rPr>
        <w:t>на операционные доходы и операционные расходы.</w:t>
      </w:r>
    </w:p>
    <w:p w:rsidR="00971231" w:rsidRPr="00831C92" w:rsidRDefault="00971231" w:rsidP="00971231">
      <w:pPr>
        <w:jc w:val="both"/>
        <w:rPr>
          <w:rFonts w:cs="Arial"/>
          <w:sz w:val="20"/>
          <w:szCs w:val="20"/>
          <w:lang w:val="ru-RU"/>
        </w:rPr>
      </w:pPr>
      <w:r w:rsidRPr="00831C92">
        <w:rPr>
          <w:rFonts w:cs="Arial"/>
          <w:sz w:val="20"/>
          <w:szCs w:val="20"/>
          <w:lang w:val="ru-RU"/>
        </w:rPr>
        <w:t>В зависимости от вида операции комиссионные доходы и расходы могут относится к процентным или операционным.</w:t>
      </w:r>
    </w:p>
    <w:p w:rsidR="00971231" w:rsidRPr="00831C92" w:rsidRDefault="00971231" w:rsidP="00971231">
      <w:pPr>
        <w:jc w:val="both"/>
        <w:rPr>
          <w:rFonts w:cs="Arial"/>
          <w:sz w:val="20"/>
          <w:szCs w:val="20"/>
          <w:lang w:val="ru-RU"/>
        </w:rPr>
      </w:pPr>
      <w:r w:rsidRPr="00831C92">
        <w:rPr>
          <w:rFonts w:cs="Arial"/>
          <w:sz w:val="20"/>
          <w:szCs w:val="20"/>
          <w:lang w:val="ru-RU"/>
        </w:rPr>
        <w:t>Под комиссионным доходом понимается полученное или причитающееся к получению Банком комиссионное вознаграждение (сбор) в виде:</w:t>
      </w:r>
    </w:p>
    <w:p w:rsidR="00971231" w:rsidRPr="00831C92" w:rsidRDefault="00971231" w:rsidP="00FC5D59">
      <w:pPr>
        <w:pStyle w:val="afd"/>
        <w:numPr>
          <w:ilvl w:val="0"/>
          <w:numId w:val="24"/>
        </w:numPr>
        <w:tabs>
          <w:tab w:val="left" w:pos="851"/>
        </w:tabs>
        <w:ind w:left="0" w:firstLine="567"/>
        <w:jc w:val="both"/>
        <w:rPr>
          <w:rFonts w:cs="Arial"/>
          <w:sz w:val="20"/>
          <w:szCs w:val="20"/>
          <w:lang w:val="ru-RU"/>
        </w:rPr>
      </w:pPr>
      <w:r w:rsidRPr="00831C92">
        <w:rPr>
          <w:rFonts w:cs="Arial"/>
          <w:sz w:val="20"/>
          <w:szCs w:val="20"/>
          <w:lang w:val="ru-RU"/>
        </w:rPr>
        <w:t>платы за пользование операций, сделок и оказание услуг;</w:t>
      </w:r>
    </w:p>
    <w:p w:rsidR="00971231" w:rsidRPr="00831C92" w:rsidRDefault="00971231" w:rsidP="00FC5D59">
      <w:pPr>
        <w:pStyle w:val="afd"/>
        <w:numPr>
          <w:ilvl w:val="0"/>
          <w:numId w:val="24"/>
        </w:numPr>
        <w:tabs>
          <w:tab w:val="left" w:pos="851"/>
        </w:tabs>
        <w:ind w:left="0" w:firstLine="567"/>
        <w:jc w:val="both"/>
        <w:rPr>
          <w:rFonts w:cs="Arial"/>
          <w:sz w:val="20"/>
          <w:szCs w:val="20"/>
          <w:lang w:val="ru-RU"/>
        </w:rPr>
      </w:pPr>
      <w:r w:rsidRPr="00831C92">
        <w:rPr>
          <w:rFonts w:cs="Arial"/>
          <w:sz w:val="20"/>
          <w:szCs w:val="20"/>
          <w:lang w:val="ru-RU"/>
        </w:rPr>
        <w:t>платы за оказание посреднических услуг по брокерских договорам, договорам комиссии и поручения, по агентским договорам и другим подобным договорам.</w:t>
      </w:r>
    </w:p>
    <w:p w:rsidR="00971231" w:rsidRPr="00831C92" w:rsidRDefault="00971231" w:rsidP="00971231">
      <w:pPr>
        <w:jc w:val="both"/>
        <w:rPr>
          <w:rFonts w:cs="Arial"/>
          <w:sz w:val="20"/>
          <w:szCs w:val="20"/>
          <w:lang w:val="ru-RU"/>
        </w:rPr>
      </w:pPr>
      <w:r w:rsidRPr="00831C92">
        <w:rPr>
          <w:rFonts w:cs="Arial"/>
          <w:sz w:val="20"/>
          <w:szCs w:val="20"/>
          <w:lang w:val="ru-RU"/>
        </w:rPr>
        <w:t>Под комиссионным расходом понимается уплаченное или причитающееся к уплате Банком комиссионное вознаграждение (сбор) в виде:</w:t>
      </w:r>
    </w:p>
    <w:p w:rsidR="00971231" w:rsidRPr="00831C92" w:rsidRDefault="00971231" w:rsidP="00FC5D59">
      <w:pPr>
        <w:pStyle w:val="afd"/>
        <w:numPr>
          <w:ilvl w:val="0"/>
          <w:numId w:val="25"/>
        </w:numPr>
        <w:tabs>
          <w:tab w:val="left" w:pos="851"/>
        </w:tabs>
        <w:ind w:left="0" w:firstLine="567"/>
        <w:jc w:val="both"/>
        <w:rPr>
          <w:rFonts w:cs="Arial"/>
          <w:sz w:val="20"/>
          <w:szCs w:val="20"/>
          <w:lang w:val="ru-RU"/>
        </w:rPr>
      </w:pPr>
      <w:r w:rsidRPr="00831C92">
        <w:rPr>
          <w:rFonts w:cs="Arial"/>
          <w:sz w:val="20"/>
          <w:szCs w:val="20"/>
          <w:lang w:val="ru-RU"/>
        </w:rPr>
        <w:t>платы, взимаемой с банка за совершаемые операции, сделки, а также оказываемые ей услуги;</w:t>
      </w:r>
    </w:p>
    <w:p w:rsidR="00971231" w:rsidRPr="00831C92" w:rsidRDefault="00971231" w:rsidP="00FC5D59">
      <w:pPr>
        <w:pStyle w:val="afd"/>
        <w:numPr>
          <w:ilvl w:val="0"/>
          <w:numId w:val="25"/>
        </w:numPr>
        <w:tabs>
          <w:tab w:val="left" w:pos="851"/>
        </w:tabs>
        <w:ind w:left="0" w:firstLine="567"/>
        <w:jc w:val="both"/>
        <w:rPr>
          <w:rFonts w:cs="Arial"/>
          <w:sz w:val="20"/>
          <w:szCs w:val="20"/>
          <w:lang w:val="ru-RU"/>
        </w:rPr>
      </w:pPr>
      <w:r w:rsidRPr="00831C92">
        <w:rPr>
          <w:rFonts w:cs="Arial"/>
          <w:sz w:val="20"/>
          <w:szCs w:val="20"/>
          <w:lang w:val="ru-RU"/>
        </w:rPr>
        <w:t xml:space="preserve">платы, взимаемой с банка за предоставление ей посреднических услуг по брокерским договорам, договорам комиссии и поручения, по агентским договорам и другим подобным договорам. </w:t>
      </w:r>
    </w:p>
    <w:p w:rsidR="00971231" w:rsidRPr="00831C92" w:rsidRDefault="00971231" w:rsidP="00971231">
      <w:pPr>
        <w:jc w:val="both"/>
        <w:rPr>
          <w:rFonts w:cs="Arial"/>
          <w:sz w:val="20"/>
          <w:szCs w:val="20"/>
          <w:lang w:val="ru-RU"/>
        </w:rPr>
      </w:pPr>
      <w:r w:rsidRPr="00831C92">
        <w:rPr>
          <w:rFonts w:cs="Arial"/>
          <w:sz w:val="20"/>
          <w:szCs w:val="20"/>
          <w:lang w:val="ru-RU"/>
        </w:rPr>
        <w:t>Доход признается в бухгалтерском учете при наличии следующих условий:</w:t>
      </w:r>
    </w:p>
    <w:p w:rsidR="00971231" w:rsidRPr="00831C92" w:rsidRDefault="00971231" w:rsidP="00FC5D59">
      <w:pPr>
        <w:pStyle w:val="afd"/>
        <w:numPr>
          <w:ilvl w:val="0"/>
          <w:numId w:val="26"/>
        </w:numPr>
        <w:tabs>
          <w:tab w:val="left" w:pos="851"/>
        </w:tabs>
        <w:ind w:left="0" w:firstLine="567"/>
        <w:jc w:val="both"/>
        <w:rPr>
          <w:rFonts w:cs="Arial"/>
          <w:sz w:val="20"/>
          <w:szCs w:val="20"/>
          <w:lang w:val="ru-RU"/>
        </w:rPr>
      </w:pPr>
      <w:r w:rsidRPr="00831C92">
        <w:rPr>
          <w:rFonts w:cs="Arial"/>
          <w:sz w:val="20"/>
          <w:szCs w:val="20"/>
          <w:lang w:val="ru-RU"/>
        </w:rPr>
        <w:t>право на получение этого дохода Банком вытекает из договора или подтверждено иным соответствующим образом;</w:t>
      </w:r>
    </w:p>
    <w:p w:rsidR="00971231" w:rsidRPr="00831C92" w:rsidRDefault="00971231" w:rsidP="00FC5D59">
      <w:pPr>
        <w:pStyle w:val="afd"/>
        <w:numPr>
          <w:ilvl w:val="0"/>
          <w:numId w:val="26"/>
        </w:numPr>
        <w:tabs>
          <w:tab w:val="left" w:pos="851"/>
        </w:tabs>
        <w:ind w:left="0" w:firstLine="567"/>
        <w:jc w:val="both"/>
        <w:rPr>
          <w:rFonts w:cs="Arial"/>
          <w:sz w:val="20"/>
          <w:szCs w:val="20"/>
          <w:lang w:val="ru-RU"/>
        </w:rPr>
      </w:pPr>
      <w:r w:rsidRPr="00831C92">
        <w:rPr>
          <w:rFonts w:cs="Arial"/>
          <w:sz w:val="20"/>
          <w:szCs w:val="20"/>
          <w:lang w:val="ru-RU"/>
        </w:rPr>
        <w:t>сумма дохода может быть определена;</w:t>
      </w:r>
    </w:p>
    <w:p w:rsidR="00971231" w:rsidRPr="00831C92" w:rsidRDefault="00971231" w:rsidP="00FC5D59">
      <w:pPr>
        <w:pStyle w:val="afd"/>
        <w:numPr>
          <w:ilvl w:val="0"/>
          <w:numId w:val="26"/>
        </w:numPr>
        <w:tabs>
          <w:tab w:val="left" w:pos="851"/>
        </w:tabs>
        <w:ind w:left="0" w:firstLine="567"/>
        <w:jc w:val="both"/>
        <w:rPr>
          <w:rFonts w:cs="Arial"/>
          <w:sz w:val="20"/>
          <w:szCs w:val="20"/>
          <w:lang w:val="ru-RU"/>
        </w:rPr>
      </w:pPr>
      <w:r w:rsidRPr="00831C92">
        <w:rPr>
          <w:rFonts w:cs="Arial"/>
          <w:sz w:val="20"/>
          <w:szCs w:val="20"/>
          <w:lang w:val="ru-RU"/>
        </w:rPr>
        <w:t>отсутствует неопределенность в получении дохода;</w:t>
      </w:r>
    </w:p>
    <w:p w:rsidR="00971231" w:rsidRPr="00831C92" w:rsidRDefault="00971231" w:rsidP="00FC5D59">
      <w:pPr>
        <w:pStyle w:val="afd"/>
        <w:numPr>
          <w:ilvl w:val="0"/>
          <w:numId w:val="26"/>
        </w:numPr>
        <w:tabs>
          <w:tab w:val="left" w:pos="851"/>
        </w:tabs>
        <w:ind w:left="0" w:firstLine="567"/>
        <w:jc w:val="both"/>
        <w:rPr>
          <w:rFonts w:cs="Arial"/>
          <w:sz w:val="20"/>
          <w:szCs w:val="20"/>
          <w:lang w:val="ru-RU"/>
        </w:rPr>
      </w:pPr>
      <w:r w:rsidRPr="00831C92">
        <w:rPr>
          <w:rFonts w:cs="Arial"/>
          <w:sz w:val="20"/>
          <w:szCs w:val="20"/>
          <w:lang w:val="ru-RU"/>
        </w:rPr>
        <w:t>в результате операции по поставке (реализации) актива, выполнению работ, оказанию услуг Банк передал покупателю риски и выгоды, связанные с правом собственности на поставляемый актив, больше не контролирует поставляемый (реализуемый) актив и не участвует в управлении им или работа принята заказчиком, услуга оказана.</w:t>
      </w:r>
    </w:p>
    <w:p w:rsidR="00971231" w:rsidRPr="00831C92" w:rsidRDefault="00971231" w:rsidP="00971231">
      <w:pPr>
        <w:jc w:val="both"/>
        <w:rPr>
          <w:rFonts w:cs="Arial"/>
          <w:sz w:val="20"/>
          <w:szCs w:val="20"/>
          <w:lang w:val="ru-RU"/>
        </w:rPr>
      </w:pPr>
      <w:r w:rsidRPr="00831C92">
        <w:rPr>
          <w:rFonts w:cs="Arial"/>
          <w:sz w:val="20"/>
          <w:szCs w:val="20"/>
          <w:lang w:val="ru-RU"/>
        </w:rPr>
        <w:t>Доходы по операции поставки (реализации) активов, выполнению работ, оказанию услуг признаются в бухгалтерском учете при одновременном соблюдении вышеперечисленных условий.</w:t>
      </w:r>
    </w:p>
    <w:p w:rsidR="00971231" w:rsidRPr="00831C92" w:rsidRDefault="00971231" w:rsidP="00971231">
      <w:pPr>
        <w:jc w:val="both"/>
        <w:rPr>
          <w:rFonts w:cs="Arial"/>
          <w:sz w:val="20"/>
          <w:szCs w:val="20"/>
          <w:lang w:val="ru-RU"/>
        </w:rPr>
      </w:pPr>
      <w:r w:rsidRPr="00831C92">
        <w:rPr>
          <w:rFonts w:cs="Arial"/>
          <w:sz w:val="20"/>
          <w:szCs w:val="20"/>
          <w:lang w:val="ru-RU"/>
        </w:rPr>
        <w:lastRenderedPageBreak/>
        <w:t>Расход признается в бухгалтерском учете при наличии следующих условий:</w:t>
      </w:r>
    </w:p>
    <w:p w:rsidR="00971231" w:rsidRPr="00831C92" w:rsidRDefault="00971231" w:rsidP="00FC5D59">
      <w:pPr>
        <w:pStyle w:val="afd"/>
        <w:numPr>
          <w:ilvl w:val="0"/>
          <w:numId w:val="27"/>
        </w:numPr>
        <w:tabs>
          <w:tab w:val="left" w:pos="851"/>
        </w:tabs>
        <w:ind w:left="0" w:firstLine="567"/>
        <w:jc w:val="both"/>
        <w:rPr>
          <w:rFonts w:cs="Arial"/>
          <w:sz w:val="20"/>
          <w:szCs w:val="20"/>
          <w:lang w:val="ru-RU"/>
        </w:rPr>
      </w:pPr>
      <w:r w:rsidRPr="00831C92">
        <w:rPr>
          <w:rFonts w:cs="Arial"/>
          <w:sz w:val="20"/>
          <w:szCs w:val="20"/>
          <w:lang w:val="ru-RU"/>
        </w:rPr>
        <w:t>расход признается (возникает) в соответствии с договором, требованиями законодательных и иных нормативных актов, обычаями делового оборота;</w:t>
      </w:r>
    </w:p>
    <w:p w:rsidR="00971231" w:rsidRPr="00831C92" w:rsidRDefault="00971231" w:rsidP="00FC5D59">
      <w:pPr>
        <w:pStyle w:val="afd"/>
        <w:numPr>
          <w:ilvl w:val="0"/>
          <w:numId w:val="27"/>
        </w:numPr>
        <w:tabs>
          <w:tab w:val="left" w:pos="851"/>
        </w:tabs>
        <w:ind w:left="0" w:firstLine="567"/>
        <w:jc w:val="both"/>
        <w:rPr>
          <w:rFonts w:cs="Arial"/>
          <w:sz w:val="20"/>
          <w:szCs w:val="20"/>
          <w:lang w:val="ru-RU"/>
        </w:rPr>
      </w:pPr>
      <w:r w:rsidRPr="00831C92">
        <w:rPr>
          <w:rFonts w:cs="Arial"/>
          <w:sz w:val="20"/>
          <w:szCs w:val="20"/>
          <w:lang w:val="ru-RU"/>
        </w:rPr>
        <w:t>сумма расхода может быть определена;</w:t>
      </w:r>
    </w:p>
    <w:p w:rsidR="00971231" w:rsidRPr="00831C92" w:rsidRDefault="00971231" w:rsidP="00FC5D59">
      <w:pPr>
        <w:pStyle w:val="afd"/>
        <w:numPr>
          <w:ilvl w:val="0"/>
          <w:numId w:val="27"/>
        </w:numPr>
        <w:tabs>
          <w:tab w:val="left" w:pos="851"/>
        </w:tabs>
        <w:ind w:left="0" w:firstLine="567"/>
        <w:jc w:val="both"/>
        <w:rPr>
          <w:rFonts w:cs="Arial"/>
          <w:sz w:val="20"/>
          <w:szCs w:val="20"/>
          <w:lang w:val="ru-RU"/>
        </w:rPr>
      </w:pPr>
      <w:r w:rsidRPr="00831C92">
        <w:rPr>
          <w:rFonts w:cs="Arial"/>
          <w:sz w:val="20"/>
          <w:szCs w:val="20"/>
          <w:lang w:val="ru-RU"/>
        </w:rPr>
        <w:t>отсутствует неопределенность в отношении признания расхода.</w:t>
      </w:r>
    </w:p>
    <w:p w:rsidR="00971231" w:rsidRPr="00831C92" w:rsidRDefault="00971231" w:rsidP="00971231">
      <w:pPr>
        <w:jc w:val="both"/>
        <w:rPr>
          <w:rFonts w:cs="Arial"/>
          <w:sz w:val="20"/>
          <w:szCs w:val="20"/>
          <w:lang w:val="ru-RU"/>
        </w:rPr>
      </w:pPr>
      <w:r w:rsidRPr="00831C92">
        <w:rPr>
          <w:rFonts w:cs="Arial"/>
          <w:sz w:val="20"/>
          <w:szCs w:val="20"/>
          <w:lang w:val="ru-RU"/>
        </w:rPr>
        <w:t>Если в отношении любых фактически уплаченных денежных средств или поставленных активов не исполнено хотя бы одно из условий, перечисленных выше, в бухгалтерском учете признается соответствующий актив, в том числе в виде дебиторской задолженности, а не расход.</w:t>
      </w:r>
    </w:p>
    <w:p w:rsidR="00971231" w:rsidRPr="00831C92" w:rsidRDefault="00971231" w:rsidP="00971231">
      <w:pPr>
        <w:jc w:val="both"/>
        <w:rPr>
          <w:rFonts w:cs="Arial"/>
          <w:sz w:val="20"/>
          <w:szCs w:val="20"/>
          <w:lang w:val="ru-RU"/>
        </w:rPr>
      </w:pPr>
      <w:r w:rsidRPr="00831C92">
        <w:rPr>
          <w:rFonts w:cs="Arial"/>
          <w:sz w:val="20"/>
          <w:szCs w:val="20"/>
          <w:lang w:val="ru-RU"/>
        </w:rPr>
        <w:t>Процентными доходами (процентными расходами) признаются доходы (расходы), начисленные в виде:</w:t>
      </w:r>
    </w:p>
    <w:p w:rsidR="00971231" w:rsidRPr="00831C92" w:rsidRDefault="00971231" w:rsidP="00FC5D59">
      <w:pPr>
        <w:pStyle w:val="afd"/>
        <w:numPr>
          <w:ilvl w:val="0"/>
          <w:numId w:val="28"/>
        </w:numPr>
        <w:tabs>
          <w:tab w:val="left" w:pos="851"/>
        </w:tabs>
        <w:ind w:left="0" w:firstLine="567"/>
        <w:jc w:val="both"/>
        <w:rPr>
          <w:rFonts w:cs="Arial"/>
          <w:sz w:val="20"/>
          <w:szCs w:val="20"/>
          <w:lang w:val="ru-RU"/>
        </w:rPr>
      </w:pPr>
      <w:r w:rsidRPr="00831C92">
        <w:rPr>
          <w:rFonts w:cs="Arial"/>
          <w:sz w:val="20"/>
          <w:szCs w:val="20"/>
          <w:lang w:val="ru-RU"/>
        </w:rPr>
        <w:t>процента;</w:t>
      </w:r>
    </w:p>
    <w:p w:rsidR="00971231" w:rsidRPr="00831C92" w:rsidRDefault="00971231" w:rsidP="00FC5D59">
      <w:pPr>
        <w:pStyle w:val="afd"/>
        <w:numPr>
          <w:ilvl w:val="0"/>
          <w:numId w:val="28"/>
        </w:numPr>
        <w:tabs>
          <w:tab w:val="left" w:pos="851"/>
        </w:tabs>
        <w:ind w:left="0" w:firstLine="567"/>
        <w:jc w:val="both"/>
        <w:rPr>
          <w:rFonts w:cs="Arial"/>
          <w:sz w:val="20"/>
          <w:szCs w:val="20"/>
          <w:lang w:val="ru-RU"/>
        </w:rPr>
      </w:pPr>
      <w:r w:rsidRPr="00831C92">
        <w:rPr>
          <w:rFonts w:cs="Arial"/>
          <w:sz w:val="20"/>
          <w:szCs w:val="20"/>
          <w:lang w:val="ru-RU"/>
        </w:rPr>
        <w:t>купона;</w:t>
      </w:r>
    </w:p>
    <w:p w:rsidR="00971231" w:rsidRPr="00831C92" w:rsidRDefault="00971231" w:rsidP="00FC5D59">
      <w:pPr>
        <w:pStyle w:val="afd"/>
        <w:numPr>
          <w:ilvl w:val="0"/>
          <w:numId w:val="28"/>
        </w:numPr>
        <w:tabs>
          <w:tab w:val="left" w:pos="851"/>
        </w:tabs>
        <w:ind w:left="0" w:firstLine="567"/>
        <w:jc w:val="both"/>
        <w:rPr>
          <w:rFonts w:cs="Arial"/>
          <w:sz w:val="20"/>
          <w:szCs w:val="20"/>
          <w:lang w:val="ru-RU"/>
        </w:rPr>
      </w:pPr>
      <w:r w:rsidRPr="00831C92">
        <w:rPr>
          <w:rFonts w:cs="Arial"/>
          <w:sz w:val="20"/>
          <w:szCs w:val="20"/>
          <w:lang w:val="ru-RU"/>
        </w:rPr>
        <w:t>дисконта (премии) по операциям, приносящим процентные доходы (процентные расходы).</w:t>
      </w:r>
    </w:p>
    <w:p w:rsidR="00971231" w:rsidRPr="00831C92" w:rsidRDefault="00971231" w:rsidP="00971231">
      <w:pPr>
        <w:jc w:val="both"/>
        <w:rPr>
          <w:rFonts w:cs="Arial"/>
          <w:sz w:val="20"/>
          <w:szCs w:val="20"/>
          <w:lang w:val="ru-RU"/>
        </w:rPr>
      </w:pPr>
      <w:r w:rsidRPr="00831C92">
        <w:rPr>
          <w:rFonts w:cs="Arial"/>
          <w:sz w:val="20"/>
          <w:szCs w:val="20"/>
          <w:lang w:val="ru-RU"/>
        </w:rPr>
        <w:t>Признание доходов, получаемых по ссудам, активам (требованиям), определенными или неопределенными, их отражение на балансовых или внебалансовых счетах, определяется категорией качества ссуды, актива (требования) или портфеля однородных ссуд (требований), к которой (которому) указанная ссуда, актив (требование) относится в соответствии с внутренними нормативными документами Банка.</w:t>
      </w:r>
    </w:p>
    <w:p w:rsidR="00971231" w:rsidRPr="00831C92" w:rsidRDefault="00971231" w:rsidP="00971231">
      <w:pPr>
        <w:jc w:val="both"/>
        <w:rPr>
          <w:rFonts w:cs="Arial"/>
          <w:sz w:val="20"/>
          <w:szCs w:val="20"/>
          <w:lang w:val="ru-RU"/>
        </w:rPr>
      </w:pPr>
      <w:r w:rsidRPr="00831C92">
        <w:rPr>
          <w:rFonts w:cs="Arial"/>
          <w:sz w:val="20"/>
          <w:szCs w:val="20"/>
          <w:lang w:val="ru-RU"/>
        </w:rPr>
        <w:t>По ссудам, активам (требованиям), отнесенным к 1 и 2 категории качества, получение доходов признается определенным (вероятность получения доходов является безусловной и (или) высокой). Доходы, отнесенные к 1 и 2 категории качества, подлежат признанию в бухгалтерском учете.</w:t>
      </w:r>
    </w:p>
    <w:p w:rsidR="00971231" w:rsidRPr="00831C92" w:rsidRDefault="00971231" w:rsidP="00971231">
      <w:pPr>
        <w:jc w:val="both"/>
        <w:rPr>
          <w:rFonts w:cs="Arial"/>
          <w:sz w:val="20"/>
          <w:szCs w:val="20"/>
          <w:lang w:val="ru-RU"/>
        </w:rPr>
      </w:pPr>
      <w:r w:rsidRPr="00831C92">
        <w:rPr>
          <w:rFonts w:cs="Arial"/>
          <w:sz w:val="20"/>
          <w:szCs w:val="20"/>
          <w:lang w:val="ru-RU"/>
        </w:rPr>
        <w:t>По ссудам, активам (требованиям), отнесенным к 3 категории качества, получение доходов признается определенным (вероятность получения доходов является высокой). Доходы, отнесенные к 3 категории качества, подлежат признанию в бухгалтерском учете. </w:t>
      </w:r>
    </w:p>
    <w:p w:rsidR="00971231" w:rsidRDefault="00971231" w:rsidP="00971231">
      <w:pPr>
        <w:jc w:val="both"/>
        <w:rPr>
          <w:rFonts w:cs="Arial"/>
          <w:sz w:val="20"/>
          <w:szCs w:val="20"/>
          <w:lang w:val="ru-RU"/>
        </w:rPr>
      </w:pPr>
      <w:r w:rsidRPr="00831C92">
        <w:rPr>
          <w:rFonts w:cs="Arial"/>
          <w:sz w:val="20"/>
          <w:szCs w:val="20"/>
          <w:lang w:val="ru-RU"/>
        </w:rPr>
        <w:t>Доходы по ссудам, отнесенные к 4 и 5 категории качества, не подлежат признанию в качестве доходов. Получение доходов признается неопределенным (проблемным или безнадежным). Такие доходы отражаются на счетах внебалансового учета. </w:t>
      </w:r>
    </w:p>
    <w:p w:rsidR="00971231" w:rsidRDefault="00971231" w:rsidP="00971231">
      <w:pPr>
        <w:jc w:val="both"/>
        <w:rPr>
          <w:rFonts w:cs="Arial"/>
          <w:sz w:val="20"/>
          <w:szCs w:val="20"/>
          <w:lang w:val="ru-RU"/>
        </w:rPr>
      </w:pPr>
    </w:p>
    <w:p w:rsidR="00971231" w:rsidRPr="002B6FDF" w:rsidRDefault="00971231" w:rsidP="00971231">
      <w:pPr>
        <w:jc w:val="both"/>
        <w:rPr>
          <w:rFonts w:cs="Arial"/>
          <w:b/>
          <w:sz w:val="20"/>
          <w:szCs w:val="20"/>
          <w:lang w:val="ru-RU"/>
        </w:rPr>
      </w:pPr>
      <w:r w:rsidRPr="002B6FDF">
        <w:rPr>
          <w:rFonts w:cs="Arial"/>
          <w:b/>
          <w:sz w:val="20"/>
          <w:szCs w:val="20"/>
          <w:lang w:val="ru-RU"/>
        </w:rPr>
        <w:t>Денежные средства и их эквиваленты</w:t>
      </w:r>
    </w:p>
    <w:p w:rsidR="00971231" w:rsidRDefault="00971231" w:rsidP="0008119E">
      <w:pPr>
        <w:jc w:val="both"/>
        <w:rPr>
          <w:rFonts w:cs="Arial"/>
          <w:sz w:val="20"/>
          <w:szCs w:val="20"/>
          <w:lang w:val="ru-RU"/>
        </w:rPr>
      </w:pPr>
      <w:r>
        <w:rPr>
          <w:rFonts w:cs="Arial"/>
          <w:sz w:val="20"/>
          <w:szCs w:val="20"/>
          <w:lang w:val="ru-RU"/>
        </w:rPr>
        <w:t xml:space="preserve">Банк совершает операции с денежной наличностью и осуществляет их бухгалтерский учет в соответствии с законодательством РФ, в том числе нормативными актами </w:t>
      </w:r>
      <w:r w:rsidR="002B6FDF">
        <w:rPr>
          <w:rFonts w:cs="Arial"/>
          <w:sz w:val="20"/>
          <w:szCs w:val="20"/>
          <w:lang w:val="ru-RU"/>
        </w:rPr>
        <w:t>Банка России</w:t>
      </w:r>
      <w:r>
        <w:rPr>
          <w:rFonts w:cs="Arial"/>
          <w:sz w:val="20"/>
          <w:szCs w:val="20"/>
          <w:lang w:val="ru-RU"/>
        </w:rPr>
        <w:t xml:space="preserve">, которые регламентируют общий порядок использования наличных денег, ведения кассовых операций, а также операций по сделкам купли-продажи наличной иностранной валюты физическим лицам, правила перевозки, хранения денежных средств, определения признаков платежеспособности и правила обмена банкнот и монет </w:t>
      </w:r>
      <w:r w:rsidR="00A01AD9">
        <w:rPr>
          <w:rFonts w:cs="Arial"/>
          <w:sz w:val="20"/>
          <w:szCs w:val="20"/>
          <w:lang w:val="ru-RU"/>
        </w:rPr>
        <w:t>Банка России</w:t>
      </w:r>
      <w:r>
        <w:rPr>
          <w:rFonts w:cs="Arial"/>
          <w:sz w:val="20"/>
          <w:szCs w:val="20"/>
          <w:lang w:val="ru-RU"/>
        </w:rPr>
        <w:t>.</w:t>
      </w:r>
    </w:p>
    <w:p w:rsidR="00971231" w:rsidRDefault="00971231" w:rsidP="0008119E">
      <w:pPr>
        <w:jc w:val="both"/>
        <w:rPr>
          <w:rFonts w:cs="Arial"/>
          <w:sz w:val="20"/>
          <w:szCs w:val="20"/>
          <w:lang w:val="ru-RU"/>
        </w:rPr>
      </w:pPr>
      <w:r>
        <w:rPr>
          <w:rFonts w:cs="Arial"/>
          <w:sz w:val="20"/>
          <w:szCs w:val="20"/>
          <w:lang w:val="ru-RU"/>
        </w:rPr>
        <w:t xml:space="preserve">Для учета наличия и движения принадлежащих </w:t>
      </w:r>
      <w:r w:rsidR="00A01AD9">
        <w:rPr>
          <w:rFonts w:cs="Arial"/>
          <w:sz w:val="20"/>
          <w:szCs w:val="20"/>
          <w:lang w:val="ru-RU"/>
        </w:rPr>
        <w:t>Б</w:t>
      </w:r>
      <w:r>
        <w:rPr>
          <w:rFonts w:cs="Arial"/>
          <w:sz w:val="20"/>
          <w:szCs w:val="20"/>
          <w:lang w:val="ru-RU"/>
        </w:rPr>
        <w:t xml:space="preserve">анку наличных денежных средств в рублях и иностранной валюте используется балансовый счет  20202 «касса кредитных организаций», </w:t>
      </w:r>
      <w:r w:rsidR="00A01AD9">
        <w:rPr>
          <w:rFonts w:cs="Arial"/>
          <w:sz w:val="20"/>
          <w:szCs w:val="20"/>
          <w:lang w:val="ru-RU"/>
        </w:rPr>
        <w:t>в</w:t>
      </w:r>
      <w:r>
        <w:rPr>
          <w:rFonts w:cs="Arial"/>
          <w:sz w:val="20"/>
          <w:szCs w:val="20"/>
          <w:lang w:val="ru-RU"/>
        </w:rPr>
        <w:t xml:space="preserve"> аналитическом учете ведутся отдельные лицевые счета по операционным кассам внутренних структурных подразделений, по банкоматам и терминалам самообслуживания, а также по видам валют.</w:t>
      </w:r>
    </w:p>
    <w:p w:rsidR="00971231" w:rsidRDefault="00971231" w:rsidP="0008119E">
      <w:pPr>
        <w:jc w:val="both"/>
        <w:rPr>
          <w:rFonts w:cs="Arial"/>
          <w:sz w:val="20"/>
          <w:szCs w:val="20"/>
          <w:lang w:val="ru-RU"/>
        </w:rPr>
      </w:pPr>
      <w:r>
        <w:rPr>
          <w:rFonts w:cs="Arial"/>
          <w:sz w:val="20"/>
          <w:szCs w:val="20"/>
          <w:lang w:val="ru-RU"/>
        </w:rPr>
        <w:t>Резервы на возможные потери по операциям с денежными средствами формируются в соот</w:t>
      </w:r>
      <w:r w:rsidR="00A01AD9">
        <w:rPr>
          <w:rFonts w:cs="Arial"/>
          <w:sz w:val="20"/>
          <w:szCs w:val="20"/>
          <w:lang w:val="ru-RU"/>
        </w:rPr>
        <w:t>ветствии с Положением</w:t>
      </w:r>
      <w:r w:rsidR="0074023F">
        <w:rPr>
          <w:rFonts w:cs="Arial"/>
          <w:sz w:val="20"/>
          <w:szCs w:val="20"/>
          <w:lang w:val="ru-RU"/>
        </w:rPr>
        <w:t xml:space="preserve"> </w:t>
      </w:r>
      <w:r w:rsidR="00A01AD9">
        <w:rPr>
          <w:rFonts w:cs="Arial"/>
          <w:sz w:val="20"/>
          <w:szCs w:val="20"/>
          <w:lang w:val="ru-RU"/>
        </w:rPr>
        <w:t>Банка России</w:t>
      </w:r>
      <w:r w:rsidR="0074023F" w:rsidRPr="0074023F">
        <w:rPr>
          <w:rFonts w:cs="Arial"/>
          <w:sz w:val="20"/>
          <w:szCs w:val="20"/>
          <w:lang w:val="ru-RU"/>
        </w:rPr>
        <w:t xml:space="preserve"> </w:t>
      </w:r>
      <w:r>
        <w:rPr>
          <w:rFonts w:cs="Arial"/>
          <w:sz w:val="20"/>
          <w:szCs w:val="20"/>
          <w:lang w:val="ru-RU"/>
        </w:rPr>
        <w:t>от 23.10.2017</w:t>
      </w:r>
      <w:r w:rsidR="00A01AD9">
        <w:rPr>
          <w:rFonts w:cs="Arial"/>
          <w:sz w:val="20"/>
          <w:szCs w:val="20"/>
          <w:lang w:val="ru-RU"/>
        </w:rPr>
        <w:t>г.</w:t>
      </w:r>
      <w:r>
        <w:rPr>
          <w:rFonts w:cs="Arial"/>
          <w:sz w:val="20"/>
          <w:szCs w:val="20"/>
          <w:lang w:val="ru-RU"/>
        </w:rPr>
        <w:t xml:space="preserve"> № 611-П «О порядке формирования кредитными организациями резервов на возможные потери», и соответствующими внутренними стандартами </w:t>
      </w:r>
      <w:r w:rsidR="00A01AD9">
        <w:rPr>
          <w:rFonts w:cs="Arial"/>
          <w:sz w:val="20"/>
          <w:szCs w:val="20"/>
          <w:lang w:val="ru-RU"/>
        </w:rPr>
        <w:t>Б</w:t>
      </w:r>
      <w:r>
        <w:rPr>
          <w:rFonts w:cs="Arial"/>
          <w:sz w:val="20"/>
          <w:szCs w:val="20"/>
          <w:lang w:val="ru-RU"/>
        </w:rPr>
        <w:t>анка.</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Правила перевода денежных средств на территории РФ в валюте РФ устан</w:t>
      </w:r>
      <w:r w:rsidR="00A01AD9">
        <w:rPr>
          <w:rFonts w:cs="Arial"/>
          <w:sz w:val="20"/>
          <w:szCs w:val="20"/>
          <w:lang w:val="ru-RU"/>
        </w:rPr>
        <w:t>о</w:t>
      </w:r>
      <w:r w:rsidRPr="0008119E">
        <w:rPr>
          <w:rFonts w:cs="Arial"/>
          <w:sz w:val="20"/>
          <w:szCs w:val="20"/>
          <w:lang w:val="ru-RU"/>
        </w:rPr>
        <w:t>вл</w:t>
      </w:r>
      <w:r w:rsidR="00A01AD9">
        <w:rPr>
          <w:rFonts w:cs="Arial"/>
          <w:sz w:val="20"/>
          <w:szCs w:val="20"/>
          <w:lang w:val="ru-RU"/>
        </w:rPr>
        <w:t xml:space="preserve">ены в соответствии с </w:t>
      </w:r>
      <w:r w:rsidRPr="0008119E">
        <w:rPr>
          <w:rFonts w:cs="Arial"/>
          <w:sz w:val="20"/>
          <w:szCs w:val="20"/>
          <w:lang w:val="ru-RU"/>
        </w:rPr>
        <w:t>Положением  Банка России от 19 июня 2012 года  № 383-П «О правилах осуществления перевода денежных средств» (далее – Положение № 383-П). Организация и ведение бухгалтерского учета переводов денежных средств регулируется Положением Банка России от 22 февраля 2017 года № 579-П.</w:t>
      </w:r>
    </w:p>
    <w:p w:rsidR="00971231" w:rsidRPr="0008119E" w:rsidRDefault="00A01AD9" w:rsidP="0008119E">
      <w:pPr>
        <w:pStyle w:val="a7"/>
        <w:ind w:right="0"/>
        <w:jc w:val="both"/>
        <w:rPr>
          <w:rFonts w:cs="Arial"/>
          <w:sz w:val="20"/>
          <w:szCs w:val="20"/>
          <w:lang w:val="ru-RU"/>
        </w:rPr>
      </w:pPr>
      <w:r>
        <w:rPr>
          <w:rFonts w:cs="Arial"/>
          <w:sz w:val="20"/>
          <w:szCs w:val="20"/>
          <w:lang w:val="ru-RU"/>
        </w:rPr>
        <w:t xml:space="preserve">У </w:t>
      </w:r>
      <w:r w:rsidR="00971231" w:rsidRPr="0008119E">
        <w:rPr>
          <w:rFonts w:cs="Arial"/>
          <w:sz w:val="20"/>
          <w:szCs w:val="20"/>
          <w:lang w:val="ru-RU"/>
        </w:rPr>
        <w:t>Банк</w:t>
      </w:r>
      <w:r>
        <w:rPr>
          <w:rFonts w:cs="Arial"/>
          <w:sz w:val="20"/>
          <w:szCs w:val="20"/>
          <w:lang w:val="ru-RU"/>
        </w:rPr>
        <w:t>а</w:t>
      </w:r>
      <w:r w:rsidR="00971231" w:rsidRPr="0008119E">
        <w:rPr>
          <w:rFonts w:cs="Arial"/>
          <w:sz w:val="20"/>
          <w:szCs w:val="20"/>
          <w:lang w:val="ru-RU"/>
        </w:rPr>
        <w:t xml:space="preserve"> открыт корреспондентский счет в Банке России. Кроме того, </w:t>
      </w:r>
      <w:r>
        <w:rPr>
          <w:rFonts w:cs="Arial"/>
          <w:sz w:val="20"/>
          <w:szCs w:val="20"/>
          <w:lang w:val="ru-RU"/>
        </w:rPr>
        <w:t>Б</w:t>
      </w:r>
      <w:r w:rsidR="00971231" w:rsidRPr="0008119E">
        <w:rPr>
          <w:rFonts w:cs="Arial"/>
          <w:sz w:val="20"/>
          <w:szCs w:val="20"/>
          <w:lang w:val="ru-RU"/>
        </w:rPr>
        <w:t>анк при переводе денежных средств вступает в корреспондентские отношения с другими банками, для этого открываются счета ЛОРО или  НОСТРО на основании соответствующих договоров. Банк осуществляет перевод денежных средств по банковским счетам и без открытия банковских счетов в соответствии с федеральным</w:t>
      </w:r>
      <w:r>
        <w:rPr>
          <w:rFonts w:cs="Arial"/>
          <w:sz w:val="20"/>
          <w:szCs w:val="20"/>
          <w:lang w:val="ru-RU"/>
        </w:rPr>
        <w:t>и законами</w:t>
      </w:r>
      <w:r w:rsidR="00971231" w:rsidRPr="0008119E">
        <w:rPr>
          <w:rFonts w:cs="Arial"/>
          <w:sz w:val="20"/>
          <w:szCs w:val="20"/>
          <w:lang w:val="ru-RU"/>
        </w:rPr>
        <w:t xml:space="preserve"> и нормативными актами Банка России в рамках применяемых форм безналичных расчетов на основании распоряжений о переводе денежных средств, составляемых плательщиками, получателями средств, а также лицами, органами, имеющими право на основании закона предъявлять распоряжения к банковским счетам плательщиков, банками.</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 xml:space="preserve">Подтверждение остатков на клиентских, Лоро и Ностро счетах производится ежегодно в сроки, установленные </w:t>
      </w:r>
      <w:r w:rsidR="00021BC6">
        <w:rPr>
          <w:rFonts w:cs="Arial"/>
          <w:sz w:val="20"/>
          <w:szCs w:val="20"/>
          <w:lang w:val="ru-RU"/>
        </w:rPr>
        <w:t>Банком России</w:t>
      </w:r>
      <w:r w:rsidRPr="0008119E">
        <w:rPr>
          <w:rFonts w:cs="Arial"/>
          <w:sz w:val="20"/>
          <w:szCs w:val="20"/>
          <w:lang w:val="ru-RU"/>
        </w:rPr>
        <w:t>. Сверка выписок по данным счетам производится ежедневно.</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 xml:space="preserve">Отражение сумм незавершенных расчетов с операторами услуг платежной инфраструктуры, операторами по переводу денежных средств по принятым и отправленным переводам денежных средств, в том числе с использованием  электронных средств платежа, осуществляется на </w:t>
      </w:r>
      <w:r w:rsidRPr="0008119E">
        <w:rPr>
          <w:rFonts w:cs="Arial"/>
          <w:sz w:val="20"/>
          <w:szCs w:val="20"/>
          <w:lang w:val="ru-RU"/>
        </w:rPr>
        <w:lastRenderedPageBreak/>
        <w:t>балансовых счетах 30232,</w:t>
      </w:r>
      <w:r w:rsidR="0074023F" w:rsidRPr="0074023F">
        <w:rPr>
          <w:rFonts w:cs="Arial"/>
          <w:sz w:val="20"/>
          <w:szCs w:val="20"/>
          <w:lang w:val="ru-RU"/>
        </w:rPr>
        <w:t xml:space="preserve"> </w:t>
      </w:r>
      <w:r w:rsidRPr="0008119E">
        <w:rPr>
          <w:rFonts w:cs="Arial"/>
          <w:sz w:val="20"/>
          <w:szCs w:val="20"/>
          <w:lang w:val="ru-RU"/>
        </w:rPr>
        <w:t>30233 «Незавершенные расчеты с операторами услуг платежной инфраструктуры и операторами по переводу денежных средств».</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 xml:space="preserve">Средства, зачисленные на корреспондентские счета без оправдательных документов, или при наличии расхождения наименования счета и получателя средств Банк (филиал) отражает поступившие суммы на счетах сумм, поступивших на корреспондентские счета до выяснения.  Для учета сумм невыясненного назначения предназначены счета 47416 «Суммы, поступившие на корреспондентские счета, до выяснения» и 47417 «Суммы, списанные с корреспондентских счетов, до выяснения».  </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Во взаимоотношениях с банками-корреспондентами при осуществлении расчетных операций  документооборот регулируется договорами, заключаемыми с ними.</w:t>
      </w:r>
    </w:p>
    <w:p w:rsidR="00971231" w:rsidRPr="0008119E" w:rsidRDefault="00971231" w:rsidP="0008119E">
      <w:pPr>
        <w:pStyle w:val="a7"/>
        <w:ind w:right="0"/>
        <w:jc w:val="both"/>
        <w:rPr>
          <w:rFonts w:cs="Arial"/>
          <w:sz w:val="20"/>
          <w:szCs w:val="20"/>
          <w:lang w:val="ru-RU"/>
        </w:rPr>
      </w:pPr>
      <w:r w:rsidRPr="0008119E">
        <w:rPr>
          <w:rFonts w:cs="Arial"/>
          <w:sz w:val="20"/>
          <w:szCs w:val="20"/>
          <w:lang w:val="ru-RU"/>
        </w:rPr>
        <w:t>Головной Банк и структурные подразделения (в т.ч. филиалы)  при осуществлении расчетных операций работают через корреспондентский счет, открытый в расчетной сети Банка России. Структурные подразделения при наличии РКЦ открывают по согласованию с Головным Банком счета по подкреплению и сдаче денежной наличности.</w:t>
      </w:r>
    </w:p>
    <w:p w:rsidR="00971231" w:rsidRDefault="00971231" w:rsidP="0008119E">
      <w:pPr>
        <w:jc w:val="both"/>
        <w:rPr>
          <w:rFonts w:cs="Arial"/>
          <w:sz w:val="20"/>
          <w:szCs w:val="20"/>
          <w:lang w:val="ru-RU"/>
        </w:rPr>
      </w:pPr>
      <w:r>
        <w:rPr>
          <w:rFonts w:cs="Arial"/>
          <w:sz w:val="20"/>
          <w:szCs w:val="20"/>
          <w:lang w:val="ru-RU"/>
        </w:rPr>
        <w:t xml:space="preserve">Учет денежных средств, которые могут быть использованы для исполнения и (или) обеспечения исполнения допущенных к клирингу обязательств (в том числе индивидуального клирингового центра), а также обязательств по уплате вознаграждения клиринговой организации и иным организациям, обеспечивающим заключение и исполнение сделок в соответствии с законом от 7 февраля 2011 года № 7 –ФЗ «О клиринге, клиринговой деятельности и центральном контрагенте» осуществляется </w:t>
      </w:r>
      <w:r w:rsidR="00021BC6">
        <w:rPr>
          <w:rFonts w:cs="Arial"/>
          <w:sz w:val="20"/>
          <w:szCs w:val="20"/>
          <w:lang w:val="ru-RU"/>
        </w:rPr>
        <w:t>Б</w:t>
      </w:r>
      <w:r>
        <w:rPr>
          <w:rFonts w:cs="Arial"/>
          <w:sz w:val="20"/>
          <w:szCs w:val="20"/>
          <w:lang w:val="ru-RU"/>
        </w:rPr>
        <w:t>анком на балансовом счете 30424 «Средства в клиринговых организациях, предназначенные для исполнения обязательств, допущенных к клирингу, индивидуального клирингового и иного обеспечения».</w:t>
      </w:r>
    </w:p>
    <w:p w:rsidR="0008119E" w:rsidRDefault="00971231" w:rsidP="00971231">
      <w:pPr>
        <w:jc w:val="both"/>
        <w:rPr>
          <w:rFonts w:cs="Arial"/>
          <w:sz w:val="20"/>
          <w:szCs w:val="20"/>
          <w:lang w:val="ru-RU"/>
        </w:rPr>
      </w:pPr>
      <w:r>
        <w:rPr>
          <w:rFonts w:cs="Arial"/>
          <w:sz w:val="20"/>
          <w:szCs w:val="20"/>
          <w:lang w:val="ru-RU"/>
        </w:rPr>
        <w:t xml:space="preserve">Банк формирует резервы на возможные потери по требованиям к кредитным организациям и контрагентам, клиринговым организациям в соответствии с Положением Банка России № 611-П, а также в соответствии с внутренними стандартами </w:t>
      </w:r>
      <w:r w:rsidR="0074023F">
        <w:rPr>
          <w:rFonts w:cs="Arial"/>
          <w:sz w:val="20"/>
          <w:szCs w:val="20"/>
          <w:lang w:val="ru-RU"/>
        </w:rPr>
        <w:t>Б</w:t>
      </w:r>
      <w:r>
        <w:rPr>
          <w:rFonts w:cs="Arial"/>
          <w:sz w:val="20"/>
          <w:szCs w:val="20"/>
          <w:lang w:val="ru-RU"/>
        </w:rPr>
        <w:t>анка.</w:t>
      </w:r>
      <w:r w:rsidRPr="00B53437">
        <w:rPr>
          <w:rFonts w:cs="Arial"/>
          <w:sz w:val="20"/>
          <w:szCs w:val="20"/>
          <w:lang w:val="ru-RU"/>
        </w:rPr>
        <w:t xml:space="preserve">    </w:t>
      </w:r>
    </w:p>
    <w:p w:rsidR="00021BC6" w:rsidRDefault="00021BC6" w:rsidP="00971231">
      <w:pPr>
        <w:jc w:val="both"/>
        <w:rPr>
          <w:rFonts w:cs="Arial"/>
          <w:b/>
          <w:sz w:val="20"/>
          <w:szCs w:val="20"/>
          <w:lang w:val="ru-RU"/>
        </w:rPr>
      </w:pPr>
    </w:p>
    <w:p w:rsidR="00971231" w:rsidRPr="00021BC6" w:rsidRDefault="00971231" w:rsidP="00971231">
      <w:pPr>
        <w:jc w:val="both"/>
        <w:rPr>
          <w:rFonts w:cs="Arial"/>
          <w:sz w:val="20"/>
          <w:szCs w:val="20"/>
          <w:lang w:val="ru-RU"/>
        </w:rPr>
      </w:pPr>
      <w:r w:rsidRPr="00021BC6">
        <w:rPr>
          <w:rFonts w:cs="Arial"/>
          <w:b/>
          <w:sz w:val="20"/>
          <w:szCs w:val="20"/>
          <w:lang w:val="ru-RU"/>
        </w:rPr>
        <w:t xml:space="preserve">Межбанковские кредиты депозиты </w:t>
      </w:r>
    </w:p>
    <w:p w:rsidR="00971231" w:rsidRDefault="00971231" w:rsidP="00971231">
      <w:pPr>
        <w:jc w:val="both"/>
        <w:rPr>
          <w:rFonts w:cs="Arial"/>
          <w:sz w:val="20"/>
          <w:szCs w:val="20"/>
          <w:lang w:val="ru-RU"/>
        </w:rPr>
      </w:pPr>
      <w:r>
        <w:rPr>
          <w:rFonts w:cs="Arial"/>
          <w:sz w:val="20"/>
          <w:szCs w:val="20"/>
          <w:lang w:val="ru-RU"/>
        </w:rPr>
        <w:t>Операции межбанковского кредитования и бухгалтерского учета определяются н</w:t>
      </w:r>
      <w:r w:rsidR="0074023F">
        <w:rPr>
          <w:rFonts w:cs="Arial"/>
          <w:sz w:val="20"/>
          <w:szCs w:val="20"/>
          <w:lang w:val="ru-RU"/>
        </w:rPr>
        <w:t>ормативными актами Банка России -</w:t>
      </w:r>
      <w:r>
        <w:rPr>
          <w:rFonts w:cs="Arial"/>
          <w:sz w:val="20"/>
          <w:szCs w:val="20"/>
          <w:lang w:val="ru-RU"/>
        </w:rPr>
        <w:t xml:space="preserve"> Положением от 27.02.2017г № 579-П, Положением от 28.06.2017г № 590-П.</w:t>
      </w:r>
    </w:p>
    <w:p w:rsidR="00971231" w:rsidRDefault="00971231" w:rsidP="00971231">
      <w:pPr>
        <w:jc w:val="both"/>
        <w:rPr>
          <w:rFonts w:cs="Arial"/>
          <w:sz w:val="20"/>
          <w:szCs w:val="20"/>
          <w:lang w:val="ru-RU"/>
        </w:rPr>
      </w:pPr>
      <w:r>
        <w:rPr>
          <w:rFonts w:cs="Arial"/>
          <w:sz w:val="20"/>
          <w:szCs w:val="20"/>
          <w:lang w:val="ru-RU"/>
        </w:rPr>
        <w:t xml:space="preserve">Предоставление </w:t>
      </w:r>
      <w:r w:rsidR="0074023F">
        <w:rPr>
          <w:rFonts w:cs="Arial"/>
          <w:sz w:val="20"/>
          <w:szCs w:val="20"/>
          <w:lang w:val="ru-RU"/>
        </w:rPr>
        <w:t>Б</w:t>
      </w:r>
      <w:r>
        <w:rPr>
          <w:rFonts w:cs="Arial"/>
          <w:sz w:val="20"/>
          <w:szCs w:val="20"/>
          <w:lang w:val="ru-RU"/>
        </w:rPr>
        <w:t>анком денежных средств банкам-заемщикам осуществляется:</w:t>
      </w:r>
    </w:p>
    <w:p w:rsidR="00971231" w:rsidRPr="0008119E" w:rsidRDefault="00971231" w:rsidP="00FC5D59">
      <w:pPr>
        <w:pStyle w:val="afd"/>
        <w:numPr>
          <w:ilvl w:val="0"/>
          <w:numId w:val="58"/>
        </w:numPr>
        <w:tabs>
          <w:tab w:val="left" w:pos="851"/>
        </w:tabs>
        <w:ind w:left="0" w:firstLine="567"/>
        <w:jc w:val="both"/>
        <w:rPr>
          <w:rFonts w:cs="Arial"/>
          <w:sz w:val="20"/>
          <w:szCs w:val="20"/>
          <w:lang w:val="ru-RU"/>
        </w:rPr>
      </w:pPr>
      <w:r w:rsidRPr="0008119E">
        <w:rPr>
          <w:rFonts w:cs="Arial"/>
          <w:sz w:val="20"/>
          <w:szCs w:val="20"/>
          <w:lang w:val="ru-RU"/>
        </w:rPr>
        <w:t>разовым зачислением на корреспондентский счет;</w:t>
      </w:r>
    </w:p>
    <w:p w:rsidR="00971231" w:rsidRPr="0008119E" w:rsidRDefault="00971231" w:rsidP="00FC5D59">
      <w:pPr>
        <w:pStyle w:val="afd"/>
        <w:numPr>
          <w:ilvl w:val="0"/>
          <w:numId w:val="58"/>
        </w:numPr>
        <w:tabs>
          <w:tab w:val="left" w:pos="851"/>
        </w:tabs>
        <w:ind w:left="0" w:firstLine="567"/>
        <w:jc w:val="both"/>
        <w:rPr>
          <w:rFonts w:cs="Arial"/>
          <w:sz w:val="20"/>
          <w:szCs w:val="20"/>
          <w:lang w:val="ru-RU"/>
        </w:rPr>
      </w:pPr>
      <w:r w:rsidRPr="0008119E">
        <w:rPr>
          <w:rFonts w:cs="Arial"/>
          <w:sz w:val="20"/>
          <w:szCs w:val="20"/>
          <w:lang w:val="ru-RU"/>
        </w:rPr>
        <w:t xml:space="preserve">открытием кредитной линии, заключением соглашения (договора), на основании которого банк-заемщик приобретает право на получение и использование в течение обусловленного срока денежных средств под «лимит задолженности», либо «под лимит выдачи»;  при этом банк вправе ограничивать размер денежных средств, предоставленных банку-заемщику в рамках открытой кредитной линии, путем одновременного включения в соглашение (договор) условий «лимит </w:t>
      </w:r>
      <w:r w:rsidR="0008119E">
        <w:rPr>
          <w:rFonts w:cs="Arial"/>
          <w:sz w:val="20"/>
          <w:szCs w:val="20"/>
          <w:lang w:val="ru-RU"/>
        </w:rPr>
        <w:t>выдачи» и «лимит задолженности»;</w:t>
      </w:r>
    </w:p>
    <w:p w:rsidR="00971231" w:rsidRPr="0008119E" w:rsidRDefault="00971231" w:rsidP="00FC5D59">
      <w:pPr>
        <w:pStyle w:val="afd"/>
        <w:numPr>
          <w:ilvl w:val="0"/>
          <w:numId w:val="58"/>
        </w:numPr>
        <w:tabs>
          <w:tab w:val="left" w:pos="851"/>
        </w:tabs>
        <w:ind w:left="0" w:firstLine="567"/>
        <w:jc w:val="both"/>
        <w:rPr>
          <w:rFonts w:cs="Arial"/>
          <w:sz w:val="20"/>
          <w:szCs w:val="20"/>
          <w:lang w:val="ru-RU"/>
        </w:rPr>
      </w:pPr>
      <w:r w:rsidRPr="0008119E">
        <w:rPr>
          <w:rFonts w:cs="Arial"/>
          <w:sz w:val="20"/>
          <w:szCs w:val="20"/>
          <w:lang w:val="ru-RU"/>
        </w:rPr>
        <w:t>предоставление денежных средств при недостаточности или отсутствия денежных средств на корреспондентском счете банка-заемщика «овердрафт», если условиями договора корреспондентского счета предусмотрено проведение указанной операций.</w:t>
      </w:r>
    </w:p>
    <w:p w:rsidR="00971231" w:rsidRDefault="00971231" w:rsidP="00971231">
      <w:pPr>
        <w:jc w:val="both"/>
        <w:rPr>
          <w:rFonts w:cs="Arial"/>
          <w:sz w:val="20"/>
          <w:szCs w:val="20"/>
          <w:lang w:val="ru-RU"/>
        </w:rPr>
      </w:pPr>
      <w:r>
        <w:rPr>
          <w:rFonts w:cs="Arial"/>
          <w:sz w:val="20"/>
          <w:szCs w:val="20"/>
          <w:lang w:val="ru-RU"/>
        </w:rPr>
        <w:t>Учет размещенных (привлеченных) межбанковских кредитов (депозитов)  и иных размещенных средств осуществляется на соответствующих лицевых счетах, открытых с учетов вида (кредит, депозит, иные размещенные (привлеченные) средства) и сроков размещения, в разрезе банков-контрагентов и заключенных договоров (сделок).</w:t>
      </w:r>
    </w:p>
    <w:p w:rsidR="00971231" w:rsidRDefault="00971231" w:rsidP="00971231">
      <w:pPr>
        <w:jc w:val="both"/>
        <w:rPr>
          <w:rFonts w:cs="Arial"/>
          <w:sz w:val="20"/>
          <w:szCs w:val="20"/>
          <w:lang w:val="ru-RU"/>
        </w:rPr>
      </w:pPr>
      <w:r>
        <w:rPr>
          <w:rFonts w:cs="Arial"/>
          <w:sz w:val="20"/>
          <w:szCs w:val="20"/>
          <w:lang w:val="ru-RU"/>
        </w:rPr>
        <w:t xml:space="preserve">Срок размещения (привлечения) межбанковских кредитов (депозитов), для определения балансового счета второго порядка, определяется в календарных днях. Срок для начисления процентов начинается со дня, следующего за днем фактического получения (размещения) средств, по день исполнения банком своих обязательств по возврату (получению) денежных средств включительно, согласно условиям договора. </w:t>
      </w:r>
    </w:p>
    <w:p w:rsidR="00971231" w:rsidRDefault="00971231" w:rsidP="00971231">
      <w:pPr>
        <w:jc w:val="both"/>
        <w:rPr>
          <w:rFonts w:cs="Arial"/>
          <w:sz w:val="20"/>
          <w:szCs w:val="20"/>
          <w:lang w:val="ru-RU"/>
        </w:rPr>
      </w:pPr>
      <w:r>
        <w:rPr>
          <w:rFonts w:cs="Arial"/>
          <w:sz w:val="20"/>
          <w:szCs w:val="20"/>
          <w:lang w:val="ru-RU"/>
        </w:rPr>
        <w:t>По предоставленным межбанковским кредитам (депозитам) банк формирует резервы на возможные потери в соответствии с порядком, установленным Положением</w:t>
      </w:r>
      <w:r w:rsidR="00021BC6">
        <w:rPr>
          <w:rFonts w:cs="Arial"/>
          <w:sz w:val="20"/>
          <w:szCs w:val="20"/>
          <w:lang w:val="ru-RU"/>
        </w:rPr>
        <w:t xml:space="preserve"> Банка России</w:t>
      </w:r>
      <w:r>
        <w:rPr>
          <w:rFonts w:cs="Arial"/>
          <w:sz w:val="20"/>
          <w:szCs w:val="20"/>
          <w:lang w:val="ru-RU"/>
        </w:rPr>
        <w:t xml:space="preserve"> № 590-П, соответствующими стандартами </w:t>
      </w:r>
      <w:r w:rsidR="00021BC6">
        <w:rPr>
          <w:rFonts w:cs="Arial"/>
          <w:sz w:val="20"/>
          <w:szCs w:val="20"/>
          <w:lang w:val="ru-RU"/>
        </w:rPr>
        <w:t>Б</w:t>
      </w:r>
      <w:r>
        <w:rPr>
          <w:rFonts w:cs="Arial"/>
          <w:sz w:val="20"/>
          <w:szCs w:val="20"/>
          <w:lang w:val="ru-RU"/>
        </w:rPr>
        <w:t>анка.</w:t>
      </w:r>
    </w:p>
    <w:p w:rsidR="00971231" w:rsidRDefault="00971231" w:rsidP="00971231">
      <w:pPr>
        <w:jc w:val="both"/>
        <w:rPr>
          <w:rFonts w:cs="Arial"/>
          <w:sz w:val="20"/>
          <w:szCs w:val="20"/>
          <w:lang w:val="ru-RU"/>
        </w:rPr>
      </w:pPr>
    </w:p>
    <w:p w:rsidR="00971231" w:rsidRPr="00021BC6" w:rsidRDefault="00971231" w:rsidP="00971231">
      <w:pPr>
        <w:jc w:val="both"/>
        <w:rPr>
          <w:rFonts w:cs="Arial"/>
          <w:b/>
          <w:sz w:val="20"/>
          <w:szCs w:val="20"/>
          <w:lang w:val="ru-RU"/>
        </w:rPr>
      </w:pPr>
      <w:r w:rsidRPr="00021BC6">
        <w:rPr>
          <w:rFonts w:cs="Arial"/>
          <w:b/>
          <w:sz w:val="20"/>
          <w:szCs w:val="20"/>
          <w:lang w:val="ru-RU"/>
        </w:rPr>
        <w:t>Операции с клиентами</w:t>
      </w:r>
    </w:p>
    <w:p w:rsidR="00971231" w:rsidRDefault="00971231" w:rsidP="00971231">
      <w:pPr>
        <w:jc w:val="both"/>
        <w:rPr>
          <w:rFonts w:cs="Arial"/>
          <w:sz w:val="20"/>
          <w:szCs w:val="20"/>
          <w:lang w:val="ru-RU"/>
        </w:rPr>
      </w:pPr>
      <w:r>
        <w:rPr>
          <w:rFonts w:cs="Arial"/>
          <w:sz w:val="20"/>
          <w:szCs w:val="20"/>
          <w:lang w:val="ru-RU"/>
        </w:rPr>
        <w:t xml:space="preserve">Перевод денежных средств и их бухгалтерский учет осуществляются </w:t>
      </w:r>
      <w:r w:rsidR="00525602">
        <w:rPr>
          <w:rFonts w:cs="Arial"/>
          <w:sz w:val="20"/>
          <w:szCs w:val="20"/>
          <w:lang w:val="ru-RU"/>
        </w:rPr>
        <w:t>Б</w:t>
      </w:r>
      <w:r>
        <w:rPr>
          <w:rFonts w:cs="Arial"/>
          <w:sz w:val="20"/>
          <w:szCs w:val="20"/>
          <w:lang w:val="ru-RU"/>
        </w:rPr>
        <w:t xml:space="preserve">анком исходя из требований нормативных актов, регулирующих эти операции на территории РФ: Положение Банка России от 19.06.2012г № 383-П, Инструкции Банка России от 30.05.2014г №153-П, Положения Банка России от 27.02.2017г № 579-П. </w:t>
      </w:r>
    </w:p>
    <w:p w:rsidR="00971231" w:rsidRDefault="00971231" w:rsidP="00971231">
      <w:pPr>
        <w:jc w:val="both"/>
        <w:rPr>
          <w:rFonts w:cs="Arial"/>
          <w:sz w:val="20"/>
          <w:szCs w:val="20"/>
          <w:lang w:val="ru-RU"/>
        </w:rPr>
      </w:pPr>
      <w:r>
        <w:rPr>
          <w:rFonts w:cs="Arial"/>
          <w:sz w:val="20"/>
          <w:szCs w:val="20"/>
          <w:lang w:val="ru-RU"/>
        </w:rPr>
        <w:t xml:space="preserve">Порядок проведения операций кредитования, начисления процентов по размещенным средствам, а также бухгалтерского учета этих операций определяется следующими нормативными актами Банка России: Положением от 22.12.2014 № 446-П, Положением от 28.06.2017г № 590-П, Положением от 23.10.2017г № 611-П, Положением от 27.02.2017г № 579-П.  </w:t>
      </w:r>
    </w:p>
    <w:p w:rsidR="00971231" w:rsidRDefault="0008119E" w:rsidP="00971231">
      <w:pPr>
        <w:jc w:val="both"/>
        <w:rPr>
          <w:rFonts w:cs="Arial"/>
          <w:sz w:val="20"/>
          <w:szCs w:val="20"/>
          <w:lang w:val="ru-RU"/>
        </w:rPr>
      </w:pPr>
      <w:r>
        <w:rPr>
          <w:rFonts w:cs="Arial"/>
          <w:sz w:val="20"/>
          <w:szCs w:val="20"/>
          <w:lang w:val="ru-RU"/>
        </w:rPr>
        <w:t xml:space="preserve">Учет привлеченных средств </w:t>
      </w:r>
      <w:r w:rsidR="00971231">
        <w:rPr>
          <w:rFonts w:cs="Arial"/>
          <w:sz w:val="20"/>
          <w:szCs w:val="20"/>
          <w:lang w:val="ru-RU"/>
        </w:rPr>
        <w:t xml:space="preserve">клиентов (расчетных счетов, вкладов, депозитов, прочих привлеченных средств) ведется на лицевых счетах в соответствии с утвержденным Банком России </w:t>
      </w:r>
      <w:r w:rsidR="00971231">
        <w:rPr>
          <w:rFonts w:cs="Arial"/>
          <w:sz w:val="20"/>
          <w:szCs w:val="20"/>
          <w:lang w:val="ru-RU"/>
        </w:rPr>
        <w:lastRenderedPageBreak/>
        <w:t>планом счетов в разрезе субъектов, внесших средства, сроков привлечения, видов валют, по каждому договору.</w:t>
      </w:r>
    </w:p>
    <w:p w:rsidR="00971231" w:rsidRDefault="00971231" w:rsidP="00971231">
      <w:pPr>
        <w:jc w:val="both"/>
        <w:rPr>
          <w:rFonts w:cs="Arial"/>
          <w:sz w:val="20"/>
          <w:szCs w:val="20"/>
          <w:lang w:val="ru-RU"/>
        </w:rPr>
      </w:pPr>
      <w:r>
        <w:rPr>
          <w:rFonts w:cs="Arial"/>
          <w:sz w:val="20"/>
          <w:szCs w:val="20"/>
          <w:lang w:val="ru-RU"/>
        </w:rPr>
        <w:t xml:space="preserve">Учет размещенных денежных средств ведется на лицевых счетах, открываемых в разрезе заемщиков с учетом сроков размещения по каждому кредитному договору. </w:t>
      </w:r>
    </w:p>
    <w:p w:rsidR="00971231" w:rsidRDefault="00971231" w:rsidP="00971231">
      <w:pPr>
        <w:jc w:val="both"/>
        <w:rPr>
          <w:rFonts w:cs="Arial"/>
          <w:sz w:val="20"/>
          <w:szCs w:val="20"/>
          <w:lang w:val="ru-RU"/>
        </w:rPr>
      </w:pPr>
      <w:r>
        <w:rPr>
          <w:rFonts w:cs="Arial"/>
          <w:sz w:val="20"/>
          <w:szCs w:val="20"/>
          <w:lang w:val="ru-RU"/>
        </w:rPr>
        <w:t>Если фактический срок предоставления (размещения) отдельных частей (траншей) выданного кредита приходится на один и тот же временной интервал при отражении ссудной задолженности по балансовым счетам второго порядка, то указанные отдельные части (транши) учитывались на одном лицевом счете соответствующего балансового счета второго порядка.,</w:t>
      </w:r>
    </w:p>
    <w:p w:rsidR="00971231" w:rsidRDefault="00971231" w:rsidP="00971231">
      <w:pPr>
        <w:jc w:val="both"/>
        <w:rPr>
          <w:rFonts w:cs="Arial"/>
          <w:b/>
          <w:szCs w:val="18"/>
          <w:lang w:val="ru-RU"/>
        </w:rPr>
      </w:pPr>
      <w:r>
        <w:rPr>
          <w:rFonts w:cs="Arial"/>
          <w:sz w:val="20"/>
          <w:szCs w:val="20"/>
          <w:lang w:val="ru-RU"/>
        </w:rPr>
        <w:t>При начислении процентов по привлеченным (размещенным) денежным средствам  в расчет принимается ставка указанная в договоре в процентах годовых и срок привлечения (размещения) денежных средств. Срок привлечения (размещения) денежных средств определяется в календарных днях со дня, следующего за днем фактического привлечения (размещения) средств по день окончания действия договора включительно.</w:t>
      </w:r>
      <w:r w:rsidRPr="0082403C">
        <w:rPr>
          <w:rFonts w:cs="Arial"/>
          <w:b/>
          <w:szCs w:val="18"/>
          <w:lang w:val="ru-RU"/>
        </w:rPr>
        <w:t xml:space="preserve">   </w:t>
      </w:r>
    </w:p>
    <w:p w:rsidR="00971231" w:rsidRDefault="00971231" w:rsidP="00971231">
      <w:pPr>
        <w:tabs>
          <w:tab w:val="left" w:pos="11057"/>
        </w:tabs>
        <w:jc w:val="both"/>
        <w:rPr>
          <w:rFonts w:cs="Arial"/>
          <w:sz w:val="20"/>
          <w:szCs w:val="20"/>
          <w:lang w:val="ru-RU"/>
        </w:rPr>
      </w:pPr>
      <w:r w:rsidRPr="00831C92">
        <w:rPr>
          <w:rFonts w:cs="Arial"/>
          <w:sz w:val="20"/>
          <w:szCs w:val="20"/>
          <w:lang w:val="ru-RU"/>
        </w:rPr>
        <w:t>Проценты за привлеченные</w:t>
      </w:r>
      <w:r>
        <w:rPr>
          <w:rFonts w:cs="Arial"/>
          <w:sz w:val="20"/>
          <w:szCs w:val="20"/>
          <w:lang w:val="ru-RU"/>
        </w:rPr>
        <w:t xml:space="preserve"> (размещенные)</w:t>
      </w:r>
      <w:r w:rsidRPr="00831C92">
        <w:rPr>
          <w:rFonts w:cs="Arial"/>
          <w:sz w:val="20"/>
          <w:szCs w:val="20"/>
          <w:lang w:val="ru-RU"/>
        </w:rPr>
        <w:t>, денежные средства начисляются на начало операционного дня. Программным путем обеспечивается ежедневное начисление процентов за привлеченные, размещенные денежные средства в порядке и в размере, предусмотренных соответствующим договором. В последний рабочий день месяца отнесению на расходы, доходы подлежат все начисленные проценты за истекший месяц, в том числе за оставшиеся нерабочие дни, если последний рабочий день месяца не совпадает с его окончанием, а также по сроку выплаты предусмотренному депозитным, кредитным договором.</w:t>
      </w:r>
    </w:p>
    <w:p w:rsidR="00971231" w:rsidRDefault="00971231" w:rsidP="00971231">
      <w:pPr>
        <w:tabs>
          <w:tab w:val="left" w:pos="11057"/>
        </w:tabs>
        <w:jc w:val="both"/>
        <w:rPr>
          <w:rFonts w:cs="Arial"/>
          <w:sz w:val="20"/>
          <w:szCs w:val="20"/>
          <w:lang w:val="ru-RU"/>
        </w:rPr>
      </w:pPr>
      <w:r>
        <w:rPr>
          <w:rFonts w:cs="Arial"/>
          <w:sz w:val="20"/>
          <w:szCs w:val="20"/>
          <w:lang w:val="ru-RU"/>
        </w:rPr>
        <w:t xml:space="preserve">Требования по получению процентных доходов по кредитным требованиям резервируются в соответствии с Положением </w:t>
      </w:r>
      <w:r w:rsidR="00021BC6">
        <w:rPr>
          <w:rFonts w:cs="Arial"/>
          <w:sz w:val="20"/>
          <w:szCs w:val="20"/>
          <w:lang w:val="ru-RU"/>
        </w:rPr>
        <w:t xml:space="preserve">Банка России </w:t>
      </w:r>
      <w:r>
        <w:rPr>
          <w:rFonts w:cs="Arial"/>
          <w:sz w:val="20"/>
          <w:szCs w:val="20"/>
          <w:lang w:val="ru-RU"/>
        </w:rPr>
        <w:t xml:space="preserve">№ 611-П, соответствующими стандартами </w:t>
      </w:r>
      <w:r w:rsidR="00021BC6">
        <w:rPr>
          <w:rFonts w:cs="Arial"/>
          <w:sz w:val="20"/>
          <w:szCs w:val="20"/>
          <w:lang w:val="ru-RU"/>
        </w:rPr>
        <w:t>Б</w:t>
      </w:r>
      <w:r>
        <w:rPr>
          <w:rFonts w:cs="Arial"/>
          <w:sz w:val="20"/>
          <w:szCs w:val="20"/>
          <w:lang w:val="ru-RU"/>
        </w:rPr>
        <w:t>анка.</w:t>
      </w:r>
    </w:p>
    <w:p w:rsidR="00971231" w:rsidRDefault="00971231" w:rsidP="00971231">
      <w:pPr>
        <w:tabs>
          <w:tab w:val="left" w:pos="11057"/>
        </w:tabs>
        <w:jc w:val="both"/>
        <w:rPr>
          <w:rFonts w:cs="Arial"/>
          <w:sz w:val="20"/>
          <w:szCs w:val="20"/>
          <w:lang w:val="ru-RU"/>
        </w:rPr>
      </w:pPr>
      <w:r>
        <w:rPr>
          <w:rFonts w:cs="Arial"/>
          <w:sz w:val="20"/>
          <w:szCs w:val="20"/>
          <w:lang w:val="ru-RU"/>
        </w:rPr>
        <w:t xml:space="preserve">По размещенным средствам </w:t>
      </w:r>
      <w:r w:rsidR="00021BC6">
        <w:rPr>
          <w:rFonts w:cs="Arial"/>
          <w:sz w:val="20"/>
          <w:szCs w:val="20"/>
          <w:lang w:val="ru-RU"/>
        </w:rPr>
        <w:t>Б</w:t>
      </w:r>
      <w:r>
        <w:rPr>
          <w:rFonts w:cs="Arial"/>
          <w:sz w:val="20"/>
          <w:szCs w:val="20"/>
          <w:lang w:val="ru-RU"/>
        </w:rPr>
        <w:t xml:space="preserve">анк формирует резервы на возможные потери в соответствии с порядком, установленным Положением </w:t>
      </w:r>
      <w:r w:rsidR="00021BC6">
        <w:rPr>
          <w:rFonts w:cs="Arial"/>
          <w:sz w:val="20"/>
          <w:szCs w:val="20"/>
          <w:lang w:val="ru-RU"/>
        </w:rPr>
        <w:t xml:space="preserve">Банка России </w:t>
      </w:r>
      <w:r>
        <w:rPr>
          <w:rFonts w:cs="Arial"/>
          <w:sz w:val="20"/>
          <w:szCs w:val="20"/>
          <w:lang w:val="ru-RU"/>
        </w:rPr>
        <w:t xml:space="preserve">№ 590-П, соответствующими стандартами </w:t>
      </w:r>
      <w:r w:rsidR="00021BC6">
        <w:rPr>
          <w:rFonts w:cs="Arial"/>
          <w:sz w:val="20"/>
          <w:szCs w:val="20"/>
          <w:lang w:val="ru-RU"/>
        </w:rPr>
        <w:t>Б</w:t>
      </w:r>
      <w:r>
        <w:rPr>
          <w:rFonts w:cs="Arial"/>
          <w:sz w:val="20"/>
          <w:szCs w:val="20"/>
          <w:lang w:val="ru-RU"/>
        </w:rPr>
        <w:t>анка.</w:t>
      </w:r>
    </w:p>
    <w:p w:rsidR="00021BC6" w:rsidRDefault="00021BC6" w:rsidP="00971231">
      <w:pPr>
        <w:pStyle w:val="aff5"/>
        <w:rPr>
          <w:i w:val="0"/>
        </w:rPr>
      </w:pPr>
    </w:p>
    <w:p w:rsidR="00971231" w:rsidRPr="00021BC6" w:rsidRDefault="00971231" w:rsidP="00971231">
      <w:pPr>
        <w:pStyle w:val="aff5"/>
        <w:rPr>
          <w:i w:val="0"/>
          <w:sz w:val="20"/>
          <w:szCs w:val="20"/>
        </w:rPr>
      </w:pPr>
      <w:r w:rsidRPr="00021BC6">
        <w:rPr>
          <w:i w:val="0"/>
          <w:sz w:val="20"/>
          <w:szCs w:val="20"/>
        </w:rPr>
        <w:t>Учет операций с ц</w:t>
      </w:r>
      <w:r w:rsidR="00021BC6">
        <w:rPr>
          <w:i w:val="0"/>
          <w:sz w:val="20"/>
          <w:szCs w:val="20"/>
        </w:rPr>
        <w:t>енными бумагами, метод оценки</w:t>
      </w:r>
    </w:p>
    <w:p w:rsidR="00971231" w:rsidRPr="00831C92" w:rsidRDefault="00971231" w:rsidP="00971231">
      <w:pPr>
        <w:jc w:val="both"/>
        <w:rPr>
          <w:rFonts w:cs="Arial"/>
          <w:sz w:val="20"/>
          <w:szCs w:val="20"/>
          <w:lang w:val="ru-RU"/>
        </w:rPr>
      </w:pPr>
      <w:r w:rsidRPr="00831C92">
        <w:rPr>
          <w:rFonts w:cs="Arial"/>
          <w:sz w:val="20"/>
          <w:szCs w:val="20"/>
          <w:lang w:val="ru-RU"/>
        </w:rPr>
        <w:t>С момента первоначального признания и до момента прекращения признания вложения в ценные бумаги оцениваются (переоцениваются)  по справедливой стоимости либо путем создания резервов на возможные потери.</w:t>
      </w:r>
    </w:p>
    <w:p w:rsidR="00971231" w:rsidRPr="00831C92" w:rsidRDefault="00971231" w:rsidP="00971231">
      <w:pPr>
        <w:jc w:val="both"/>
        <w:rPr>
          <w:rFonts w:cs="Arial"/>
          <w:sz w:val="20"/>
          <w:szCs w:val="20"/>
          <w:lang w:val="ru-RU"/>
        </w:rPr>
      </w:pPr>
      <w:r w:rsidRPr="00831C92">
        <w:rPr>
          <w:rFonts w:cs="Arial"/>
          <w:sz w:val="20"/>
          <w:szCs w:val="20"/>
          <w:lang w:val="ru-RU"/>
        </w:rPr>
        <w:t>Справедливой стоимостью ценной бумаги признается цена, которая была бы получена при продаже ценной бумаги при проведении операции на добровольной основе между участниками рынка ценных бумаг на дату оценки. Оценка справедливой стоимость осуществляется в порядке, определенном Международным стандартом финансовой отчетности (</w:t>
      </w:r>
      <w:r w:rsidRPr="00831C92">
        <w:rPr>
          <w:rFonts w:cs="Arial"/>
          <w:sz w:val="20"/>
          <w:szCs w:val="20"/>
          <w:lang w:val="en-US"/>
        </w:rPr>
        <w:t>IFRS</w:t>
      </w:r>
      <w:r w:rsidRPr="00831C92">
        <w:rPr>
          <w:rFonts w:cs="Arial"/>
          <w:sz w:val="20"/>
          <w:szCs w:val="20"/>
          <w:lang w:val="ru-RU"/>
        </w:rPr>
        <w:t xml:space="preserve">) 13 «Оценка справедливой стоимости», введенным в действие на территории Российской Федерации приказом Минфина России от 28 декабря 2015 года №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Российской Федерации и о признании утратившими силу некоторых (отдельных положений, приказов) Министерства финансов Российской Федерации». </w:t>
      </w:r>
    </w:p>
    <w:p w:rsidR="00971231" w:rsidRPr="00831C92" w:rsidRDefault="00971231" w:rsidP="00971231">
      <w:pPr>
        <w:jc w:val="both"/>
        <w:rPr>
          <w:rFonts w:cs="Arial"/>
          <w:sz w:val="20"/>
          <w:szCs w:val="20"/>
          <w:lang w:val="ru-RU"/>
        </w:rPr>
      </w:pPr>
    </w:p>
    <w:p w:rsidR="00971231" w:rsidRPr="00831C92" w:rsidRDefault="00971231" w:rsidP="00971231">
      <w:pPr>
        <w:rPr>
          <w:rFonts w:eastAsia="Calibri" w:cs="Arial"/>
          <w:sz w:val="20"/>
          <w:szCs w:val="20"/>
          <w:lang w:val="ru-RU"/>
        </w:rPr>
      </w:pPr>
      <w:r w:rsidRPr="00831C92">
        <w:rPr>
          <w:rFonts w:eastAsia="Calibri" w:cs="Arial"/>
          <w:sz w:val="20"/>
          <w:szCs w:val="20"/>
          <w:lang w:val="ru-RU"/>
        </w:rPr>
        <w:t>Определение справедливой стоимости ценных бумаг в условиях активного рынка.</w:t>
      </w:r>
    </w:p>
    <w:p w:rsidR="00971231" w:rsidRPr="00831C92" w:rsidRDefault="00971231" w:rsidP="00971231">
      <w:pPr>
        <w:jc w:val="both"/>
        <w:rPr>
          <w:rFonts w:eastAsia="Calibri" w:cs="Arial"/>
          <w:sz w:val="20"/>
          <w:szCs w:val="20"/>
          <w:lang w:val="ru-RU"/>
        </w:rPr>
      </w:pPr>
      <w:r w:rsidRPr="00831C92">
        <w:rPr>
          <w:rFonts w:eastAsia="Calibri" w:cs="Arial"/>
          <w:sz w:val="20"/>
          <w:szCs w:val="20"/>
          <w:lang w:val="ru-RU"/>
        </w:rPr>
        <w:t>Ценные бумаги считаются котируемыми на активном рынке, если котировки по данным инструментам регулярно определяются и информация о них является доступной на фондовой бирже, а также, если эти цены отражают действительные и рыночные операции, проводимые в ходе обычной деятельности, совершаемые независимыми участниками рынка. Цель определения справедливой стоимости состоит в получении цены, по которой может быть совершена операция с оцениваемым финансовым инструментом на дату проведения оценки на самом благоприятном активном рынке, к которому Банк имеет непосредственный доступ. Для ценных бумаг, обращающихся на российском рынке ценных бумаг и номинированных в валюте РФ, по которым организатором торгов ПАО «Московская Биржа») рассчитывается рыночная котировка, надежно определенной справедливой стоимостью признается средневзвешенная цена на день проведения переоценки, раскрываемая организатором торговли на рынке ценных бумаг. ПАО «Московская Биржа» раскрывает рыночные котировки в соответствии с главой 5 Положения «О деятельности по проведению организованных торгов» от 17.10.2014</w:t>
      </w:r>
      <w:r w:rsidR="00021BC6">
        <w:rPr>
          <w:rFonts w:eastAsia="Calibri" w:cs="Arial"/>
          <w:sz w:val="20"/>
          <w:szCs w:val="20"/>
          <w:lang w:val="ru-RU"/>
        </w:rPr>
        <w:t>г.</w:t>
      </w:r>
      <w:r w:rsidRPr="00831C92">
        <w:rPr>
          <w:rFonts w:eastAsia="Calibri" w:cs="Arial"/>
          <w:sz w:val="20"/>
          <w:szCs w:val="20"/>
          <w:lang w:val="ru-RU"/>
        </w:rPr>
        <w:t xml:space="preserve"> № 437-П. В случае отсутствия рыночных котировок на день проведения переоценки, справедливой стоимостью признается средневзвешенная цена на день, ближайший ко дню проведения переоценки. Максимально возможный период не должен превышать 90 календарных дней. Для ценных бумаг, приобретенных в процессе размещения, справедливой стоимостью признается средневзвешенная цена размещения.</w:t>
      </w:r>
    </w:p>
    <w:p w:rsidR="00971231" w:rsidRPr="00831C92" w:rsidRDefault="00971231" w:rsidP="00971231">
      <w:pPr>
        <w:jc w:val="both"/>
        <w:rPr>
          <w:rFonts w:eastAsia="Calibri" w:cs="Arial"/>
          <w:sz w:val="20"/>
          <w:szCs w:val="20"/>
          <w:lang w:val="ru-RU"/>
        </w:rPr>
      </w:pPr>
    </w:p>
    <w:p w:rsidR="00971231" w:rsidRPr="00831C92" w:rsidRDefault="00971231" w:rsidP="00971231">
      <w:pPr>
        <w:rPr>
          <w:rFonts w:cs="Arial"/>
          <w:sz w:val="20"/>
          <w:szCs w:val="20"/>
          <w:lang w:val="ru-RU"/>
        </w:rPr>
      </w:pPr>
      <w:r w:rsidRPr="00831C92">
        <w:rPr>
          <w:rFonts w:cs="Arial"/>
          <w:bCs/>
          <w:sz w:val="20"/>
          <w:szCs w:val="20"/>
          <w:lang w:val="ru-RU"/>
        </w:rPr>
        <w:t>Справедливую стоимость ценных бумаг</w:t>
      </w:r>
      <w:r w:rsidRPr="00831C92">
        <w:rPr>
          <w:rFonts w:cs="Arial"/>
          <w:sz w:val="20"/>
          <w:szCs w:val="20"/>
          <w:lang w:val="ru-RU"/>
        </w:rPr>
        <w:t xml:space="preserve">, приобретенных в ходе размещения и </w:t>
      </w:r>
      <w:r w:rsidRPr="00831C92">
        <w:rPr>
          <w:rFonts w:cs="Arial"/>
          <w:bCs/>
          <w:sz w:val="20"/>
          <w:szCs w:val="20"/>
          <w:lang w:val="ru-RU"/>
        </w:rPr>
        <w:t>по которым еще не завершена процедура эмиссии</w:t>
      </w:r>
      <w:r w:rsidRPr="00831C92">
        <w:rPr>
          <w:rFonts w:cs="Arial"/>
          <w:sz w:val="20"/>
          <w:szCs w:val="20"/>
          <w:lang w:val="ru-RU"/>
        </w:rPr>
        <w:t xml:space="preserve"> (не зарегистрирован отчет об итогах выпуска), Банк  определяет в следующем порядке:</w:t>
      </w:r>
    </w:p>
    <w:p w:rsidR="00971231" w:rsidRPr="0008119E" w:rsidRDefault="00971231" w:rsidP="00FC5D59">
      <w:pPr>
        <w:pStyle w:val="afd"/>
        <w:numPr>
          <w:ilvl w:val="1"/>
          <w:numId w:val="59"/>
        </w:numPr>
        <w:tabs>
          <w:tab w:val="left" w:pos="851"/>
        </w:tabs>
        <w:ind w:left="0" w:firstLine="567"/>
        <w:rPr>
          <w:rFonts w:cs="Arial"/>
          <w:sz w:val="20"/>
          <w:szCs w:val="20"/>
          <w:lang w:val="ru-RU"/>
        </w:rPr>
      </w:pPr>
      <w:r w:rsidRPr="0008119E">
        <w:rPr>
          <w:rFonts w:cs="Arial"/>
          <w:sz w:val="20"/>
          <w:szCs w:val="20"/>
          <w:lang w:val="ru-RU"/>
        </w:rPr>
        <w:lastRenderedPageBreak/>
        <w:t>до завершения процедуры эмиссии/размещения – принимается равной стоимости их приобретения банком в ходе первоначального размещения;</w:t>
      </w:r>
    </w:p>
    <w:p w:rsidR="00971231" w:rsidRPr="0008119E" w:rsidRDefault="00971231" w:rsidP="00FC5D59">
      <w:pPr>
        <w:pStyle w:val="afd"/>
        <w:numPr>
          <w:ilvl w:val="1"/>
          <w:numId w:val="59"/>
        </w:numPr>
        <w:tabs>
          <w:tab w:val="left" w:pos="851"/>
        </w:tabs>
        <w:ind w:left="0" w:firstLine="567"/>
        <w:rPr>
          <w:rFonts w:cs="Arial"/>
          <w:bCs/>
          <w:sz w:val="20"/>
          <w:szCs w:val="20"/>
          <w:lang w:val="ru-RU"/>
        </w:rPr>
      </w:pPr>
      <w:r w:rsidRPr="0008119E">
        <w:rPr>
          <w:rFonts w:cs="Arial"/>
          <w:sz w:val="20"/>
          <w:szCs w:val="20"/>
          <w:lang w:val="ru-RU"/>
        </w:rPr>
        <w:t>после завершения процедуры эмиссии/размещения и начала торгов – рассчитывается так же как и по ценным бумагам, допущенным к обращению через организаторов торгов.</w:t>
      </w:r>
    </w:p>
    <w:p w:rsidR="00971231" w:rsidRPr="00831C92" w:rsidRDefault="00971231" w:rsidP="00971231">
      <w:pPr>
        <w:rPr>
          <w:rFonts w:cs="Arial"/>
          <w:bCs/>
          <w:sz w:val="20"/>
          <w:szCs w:val="20"/>
          <w:lang w:val="ru-RU"/>
        </w:rPr>
      </w:pPr>
    </w:p>
    <w:p w:rsidR="00971231" w:rsidRPr="00831C92" w:rsidRDefault="00971231" w:rsidP="0008119E">
      <w:pPr>
        <w:jc w:val="both"/>
        <w:rPr>
          <w:rFonts w:cs="Arial"/>
          <w:bCs/>
          <w:sz w:val="20"/>
          <w:szCs w:val="20"/>
          <w:lang w:val="ru-RU"/>
        </w:rPr>
      </w:pPr>
      <w:r w:rsidRPr="00831C92">
        <w:rPr>
          <w:rFonts w:cs="Arial"/>
          <w:bCs/>
          <w:sz w:val="20"/>
          <w:szCs w:val="20"/>
          <w:lang w:val="ru-RU"/>
        </w:rPr>
        <w:t>Банком установлены следующие критерии определения активности рынка:</w:t>
      </w:r>
    </w:p>
    <w:p w:rsidR="00971231" w:rsidRPr="0008119E" w:rsidRDefault="00971231" w:rsidP="00FC5D59">
      <w:pPr>
        <w:pStyle w:val="afd"/>
        <w:numPr>
          <w:ilvl w:val="1"/>
          <w:numId w:val="59"/>
        </w:numPr>
        <w:tabs>
          <w:tab w:val="left" w:pos="851"/>
        </w:tabs>
        <w:ind w:left="0" w:firstLine="567"/>
        <w:jc w:val="both"/>
        <w:rPr>
          <w:rFonts w:cs="Arial"/>
          <w:bCs/>
          <w:sz w:val="20"/>
          <w:szCs w:val="20"/>
          <w:lang w:val="ru-RU"/>
        </w:rPr>
      </w:pPr>
      <w:r w:rsidRPr="0008119E">
        <w:rPr>
          <w:rFonts w:cs="Arial"/>
          <w:sz w:val="20"/>
          <w:szCs w:val="20"/>
          <w:lang w:val="ru-RU"/>
        </w:rPr>
        <w:t xml:space="preserve">наличие общедоступной информации о текущих ценах на сайте основной торговой площадки для финансового инструмента, в информационных системах </w:t>
      </w:r>
      <w:r w:rsidRPr="0008119E">
        <w:rPr>
          <w:rFonts w:cs="Arial"/>
          <w:sz w:val="20"/>
          <w:szCs w:val="20"/>
        </w:rPr>
        <w:t>Bloomberg</w:t>
      </w:r>
      <w:r w:rsidRPr="0008119E">
        <w:rPr>
          <w:rFonts w:cs="Arial"/>
          <w:sz w:val="20"/>
          <w:szCs w:val="20"/>
          <w:lang w:val="ru-RU"/>
        </w:rPr>
        <w:t xml:space="preserve"> (</w:t>
      </w:r>
      <w:r w:rsidRPr="0008119E">
        <w:rPr>
          <w:rFonts w:cs="Arial"/>
          <w:color w:val="000000"/>
          <w:sz w:val="20"/>
          <w:szCs w:val="20"/>
          <w:lang w:val="ru-RU"/>
        </w:rPr>
        <w:t xml:space="preserve">рынок </w:t>
      </w:r>
      <w:r w:rsidRPr="0008119E">
        <w:rPr>
          <w:rFonts w:cs="Arial"/>
          <w:color w:val="000000"/>
          <w:sz w:val="20"/>
          <w:szCs w:val="20"/>
          <w:lang w:val="en-US"/>
        </w:rPr>
        <w:t>BGN</w:t>
      </w:r>
      <w:r w:rsidRPr="0008119E">
        <w:rPr>
          <w:rFonts w:cs="Arial"/>
          <w:color w:val="000000"/>
          <w:sz w:val="20"/>
          <w:szCs w:val="20"/>
          <w:lang w:val="ru-RU"/>
        </w:rPr>
        <w:t xml:space="preserve"> или </w:t>
      </w:r>
      <w:r w:rsidRPr="0008119E">
        <w:rPr>
          <w:rFonts w:cs="Arial"/>
          <w:color w:val="000000"/>
          <w:sz w:val="20"/>
          <w:szCs w:val="20"/>
          <w:lang w:val="en-US"/>
        </w:rPr>
        <w:t>BVAL</w:t>
      </w:r>
      <w:r w:rsidRPr="0008119E">
        <w:rPr>
          <w:rFonts w:cs="Arial"/>
          <w:sz w:val="20"/>
          <w:szCs w:val="20"/>
          <w:lang w:val="ru-RU"/>
        </w:rPr>
        <w:t xml:space="preserve">), </w:t>
      </w:r>
      <w:r w:rsidRPr="0008119E">
        <w:rPr>
          <w:rFonts w:cs="Arial"/>
          <w:sz w:val="20"/>
          <w:szCs w:val="20"/>
        </w:rPr>
        <w:t>Reuters</w:t>
      </w:r>
      <w:r w:rsidRPr="0008119E">
        <w:rPr>
          <w:rFonts w:cs="Arial"/>
          <w:bCs/>
          <w:sz w:val="20"/>
          <w:szCs w:val="20"/>
          <w:lang w:val="ru-RU"/>
        </w:rPr>
        <w:t>;</w:t>
      </w:r>
    </w:p>
    <w:p w:rsidR="00971231" w:rsidRPr="0008119E" w:rsidRDefault="00971231" w:rsidP="00FC5D59">
      <w:pPr>
        <w:pStyle w:val="afd"/>
        <w:numPr>
          <w:ilvl w:val="1"/>
          <w:numId w:val="59"/>
        </w:numPr>
        <w:tabs>
          <w:tab w:val="left" w:pos="851"/>
        </w:tabs>
        <w:ind w:left="0" w:firstLine="567"/>
        <w:jc w:val="both"/>
        <w:rPr>
          <w:rFonts w:cs="Arial"/>
          <w:bCs/>
          <w:sz w:val="20"/>
          <w:szCs w:val="20"/>
          <w:lang w:val="ru-RU"/>
        </w:rPr>
      </w:pPr>
      <w:r w:rsidRPr="0008119E">
        <w:rPr>
          <w:rFonts w:cs="Arial"/>
          <w:bCs/>
          <w:sz w:val="20"/>
          <w:szCs w:val="20"/>
          <w:lang w:val="ru-RU"/>
        </w:rPr>
        <w:t>если ценовые котировки</w:t>
      </w:r>
      <w:r w:rsidRPr="0008119E">
        <w:rPr>
          <w:rFonts w:cs="Arial"/>
          <w:sz w:val="20"/>
          <w:szCs w:val="20"/>
          <w:lang w:val="ru-RU"/>
        </w:rPr>
        <w:t xml:space="preserve"> можно оперативно и регулярно получать от биржи, дилера, брокера, отраслевой группы, ценовой службы или регулирующего органа, и эти цены отражают фактические и регулярные рыночные сделки, совершаемые независимыми участниками рынка;</w:t>
      </w:r>
    </w:p>
    <w:p w:rsidR="00971231" w:rsidRPr="0008119E" w:rsidRDefault="00971231" w:rsidP="00FC5D59">
      <w:pPr>
        <w:pStyle w:val="afd"/>
        <w:numPr>
          <w:ilvl w:val="1"/>
          <w:numId w:val="59"/>
        </w:numPr>
        <w:tabs>
          <w:tab w:val="left" w:pos="851"/>
        </w:tabs>
        <w:ind w:left="0" w:firstLine="567"/>
        <w:jc w:val="both"/>
        <w:rPr>
          <w:rFonts w:cs="Arial"/>
          <w:sz w:val="20"/>
          <w:szCs w:val="20"/>
          <w:lang w:val="ru-RU"/>
        </w:rPr>
      </w:pPr>
      <w:r w:rsidRPr="0008119E">
        <w:rPr>
          <w:rFonts w:cs="Arial"/>
          <w:bCs/>
          <w:sz w:val="20"/>
          <w:szCs w:val="20"/>
          <w:lang w:val="ru-RU"/>
        </w:rPr>
        <w:t>е</w:t>
      </w:r>
      <w:r w:rsidRPr="0008119E">
        <w:rPr>
          <w:rFonts w:cs="Arial"/>
          <w:sz w:val="20"/>
          <w:szCs w:val="20"/>
          <w:lang w:val="ru-RU"/>
        </w:rPr>
        <w:t>сли по ценной бумаге в течение последних 90 календарных дней было совершено не менее 10 сделок;</w:t>
      </w:r>
    </w:p>
    <w:p w:rsidR="00971231" w:rsidRPr="0008119E" w:rsidRDefault="00971231" w:rsidP="00FC5D59">
      <w:pPr>
        <w:pStyle w:val="afd"/>
        <w:numPr>
          <w:ilvl w:val="1"/>
          <w:numId w:val="59"/>
        </w:numPr>
        <w:tabs>
          <w:tab w:val="left" w:pos="851"/>
        </w:tabs>
        <w:ind w:left="0" w:firstLine="567"/>
        <w:jc w:val="both"/>
        <w:rPr>
          <w:rFonts w:cs="Arial"/>
          <w:sz w:val="20"/>
          <w:szCs w:val="20"/>
          <w:lang w:val="ru-RU"/>
        </w:rPr>
      </w:pPr>
      <w:r w:rsidRPr="0008119E">
        <w:rPr>
          <w:rFonts w:cs="Arial"/>
          <w:sz w:val="20"/>
          <w:szCs w:val="20"/>
          <w:lang w:val="ru-RU"/>
        </w:rPr>
        <w:t>общий объем сделок, совершенный за этот период составил не менее 500 тыс. рублей.</w:t>
      </w:r>
    </w:p>
    <w:p w:rsidR="00971231" w:rsidRPr="00831C92" w:rsidRDefault="00971231" w:rsidP="00971231">
      <w:pPr>
        <w:jc w:val="both"/>
        <w:rPr>
          <w:rFonts w:eastAsia="Calibri" w:cs="Arial"/>
          <w:sz w:val="20"/>
          <w:szCs w:val="20"/>
          <w:lang w:val="ru-RU"/>
        </w:rPr>
      </w:pPr>
    </w:p>
    <w:p w:rsidR="00971231" w:rsidRPr="00831C92" w:rsidRDefault="00971231" w:rsidP="00971231">
      <w:pPr>
        <w:jc w:val="both"/>
        <w:rPr>
          <w:rFonts w:cs="Arial"/>
          <w:color w:val="000000"/>
          <w:sz w:val="20"/>
          <w:szCs w:val="20"/>
          <w:lang w:val="ru-RU"/>
        </w:rPr>
      </w:pPr>
      <w:r w:rsidRPr="00831C92">
        <w:rPr>
          <w:rFonts w:cs="Arial"/>
          <w:sz w:val="20"/>
          <w:szCs w:val="20"/>
          <w:lang w:val="ru-RU"/>
        </w:rPr>
        <w:t>Неактивным признается рынок, не соответствующий хотя бы одному критерию активного рынка.</w:t>
      </w:r>
      <w:r w:rsidRPr="00831C92">
        <w:rPr>
          <w:rFonts w:cs="Arial"/>
          <w:color w:val="000000"/>
          <w:sz w:val="20"/>
          <w:szCs w:val="20"/>
          <w:lang w:val="ru-RU"/>
        </w:rPr>
        <w:t xml:space="preserve"> В отсутствие активного рынка для ценных бумаг, обращающихся на российском рынке для надежного определения справедливой стоимости признаются в порядке очередности следующие типы цен на день проведения переоценки: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средневзвешенная цена, рассчитываемая российским  организатором торговли на рынке ценных бумаг,  на день, ближайший ко дню проведения переоценки;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котировка на покупку при закрытии;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rPr>
      </w:pPr>
      <w:r w:rsidRPr="0008119E">
        <w:rPr>
          <w:rFonts w:cs="Arial"/>
          <w:color w:val="000000"/>
          <w:sz w:val="20"/>
          <w:szCs w:val="20"/>
        </w:rPr>
        <w:t>цена последней сделки;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rPr>
      </w:pPr>
      <w:r w:rsidRPr="0008119E">
        <w:rPr>
          <w:rFonts w:cs="Arial"/>
          <w:color w:val="000000"/>
          <w:sz w:val="20"/>
          <w:szCs w:val="20"/>
        </w:rPr>
        <w:t>рыночная цена;</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rPr>
      </w:pPr>
      <w:r w:rsidRPr="0008119E">
        <w:rPr>
          <w:rFonts w:cs="Arial"/>
          <w:color w:val="000000"/>
          <w:sz w:val="20"/>
          <w:szCs w:val="20"/>
        </w:rPr>
        <w:t>профессиональное суждение.</w:t>
      </w:r>
    </w:p>
    <w:p w:rsidR="00971231" w:rsidRPr="00831C92" w:rsidRDefault="00971231" w:rsidP="00971231">
      <w:pPr>
        <w:jc w:val="both"/>
        <w:rPr>
          <w:rFonts w:cs="Arial"/>
          <w:color w:val="000000"/>
          <w:sz w:val="20"/>
          <w:szCs w:val="20"/>
          <w:lang w:val="ru-RU"/>
        </w:rPr>
      </w:pPr>
      <w:r w:rsidRPr="00831C92">
        <w:rPr>
          <w:rFonts w:cs="Arial"/>
          <w:color w:val="000000"/>
          <w:sz w:val="20"/>
          <w:szCs w:val="20"/>
          <w:lang w:val="ru-RU"/>
        </w:rPr>
        <w:t>Источником информации является  ЗАО «ФБ ММВБ». Для определения справедливой стоимости  рассматриваются котировки  в ближайший день (возможный период не должен превышать 90 календарных дней), когда торговая площадка проводила торги ценными бумагами.</w:t>
      </w:r>
    </w:p>
    <w:p w:rsidR="00971231" w:rsidRPr="00831C92" w:rsidRDefault="00971231" w:rsidP="00971231">
      <w:pPr>
        <w:rPr>
          <w:rFonts w:cs="Arial"/>
          <w:sz w:val="20"/>
          <w:szCs w:val="20"/>
          <w:lang w:val="ru-RU"/>
        </w:rPr>
      </w:pPr>
      <w:r w:rsidRPr="00831C92">
        <w:rPr>
          <w:rFonts w:cs="Arial"/>
          <w:sz w:val="20"/>
          <w:szCs w:val="20"/>
          <w:lang w:val="ru-RU"/>
        </w:rPr>
        <w:t xml:space="preserve">  </w:t>
      </w:r>
    </w:p>
    <w:p w:rsidR="00971231" w:rsidRPr="00831C92" w:rsidRDefault="00971231" w:rsidP="00971231">
      <w:pPr>
        <w:rPr>
          <w:rFonts w:cs="Arial"/>
          <w:sz w:val="20"/>
          <w:szCs w:val="20"/>
          <w:lang w:val="ru-RU"/>
        </w:rPr>
      </w:pPr>
      <w:r w:rsidRPr="00831C92">
        <w:rPr>
          <w:rFonts w:cs="Arial"/>
          <w:sz w:val="20"/>
          <w:szCs w:val="20"/>
          <w:lang w:val="ru-RU"/>
        </w:rPr>
        <w:t>Для ценных бумаг, не обращающихся на российском рынке ценных бумаг и номинированных в валюте РФ и иностранной валюте надежно определенной справедливой стоимостью признается в порядке очередности следующие типы цен на день проведения переоценки:</w:t>
      </w:r>
    </w:p>
    <w:p w:rsidR="00971231" w:rsidRPr="0008119E" w:rsidRDefault="00971231" w:rsidP="00FC5D59">
      <w:pPr>
        <w:pStyle w:val="afd"/>
        <w:numPr>
          <w:ilvl w:val="1"/>
          <w:numId w:val="59"/>
        </w:numPr>
        <w:tabs>
          <w:tab w:val="left" w:pos="851"/>
        </w:tabs>
        <w:ind w:left="0" w:firstLine="567"/>
        <w:rPr>
          <w:rFonts w:cs="Arial"/>
          <w:sz w:val="20"/>
          <w:szCs w:val="20"/>
          <w:lang w:val="ru-RU"/>
        </w:rPr>
      </w:pPr>
      <w:r w:rsidRPr="0008119E">
        <w:rPr>
          <w:rFonts w:cs="Arial"/>
          <w:sz w:val="20"/>
          <w:szCs w:val="20"/>
          <w:lang w:val="ru-RU"/>
        </w:rPr>
        <w:t>цена на покупку (</w:t>
      </w:r>
      <w:r w:rsidRPr="0008119E">
        <w:rPr>
          <w:rFonts w:cs="Arial"/>
          <w:sz w:val="20"/>
          <w:szCs w:val="20"/>
          <w:lang w:val="en-US"/>
        </w:rPr>
        <w:t>bid</w:t>
      </w:r>
      <w:r w:rsidRPr="0008119E">
        <w:rPr>
          <w:rFonts w:cs="Arial"/>
          <w:sz w:val="20"/>
          <w:szCs w:val="20"/>
          <w:lang w:val="ru-RU"/>
        </w:rPr>
        <w:t xml:space="preserve"> </w:t>
      </w:r>
      <w:r w:rsidRPr="0008119E">
        <w:rPr>
          <w:rFonts w:cs="Arial"/>
          <w:sz w:val="20"/>
          <w:szCs w:val="20"/>
          <w:lang w:val="en-US"/>
        </w:rPr>
        <w:t>price</w:t>
      </w:r>
      <w:r w:rsidRPr="0008119E">
        <w:rPr>
          <w:rFonts w:cs="Arial"/>
          <w:sz w:val="20"/>
          <w:szCs w:val="20"/>
          <w:lang w:val="ru-RU"/>
        </w:rPr>
        <w:t>);</w:t>
      </w:r>
    </w:p>
    <w:p w:rsidR="00971231" w:rsidRPr="0008119E" w:rsidRDefault="00971231" w:rsidP="00FC5D59">
      <w:pPr>
        <w:pStyle w:val="afd"/>
        <w:numPr>
          <w:ilvl w:val="1"/>
          <w:numId w:val="59"/>
        </w:numPr>
        <w:tabs>
          <w:tab w:val="left" w:pos="851"/>
        </w:tabs>
        <w:ind w:left="0" w:firstLine="567"/>
        <w:rPr>
          <w:rFonts w:cs="Arial"/>
          <w:sz w:val="20"/>
          <w:szCs w:val="20"/>
          <w:lang w:val="ru-RU"/>
        </w:rPr>
      </w:pPr>
      <w:r w:rsidRPr="0008119E">
        <w:rPr>
          <w:rFonts w:cs="Arial"/>
          <w:sz w:val="20"/>
          <w:szCs w:val="20"/>
          <w:lang w:val="ru-RU"/>
        </w:rPr>
        <w:t>последняя цена (</w:t>
      </w:r>
      <w:r w:rsidRPr="0008119E">
        <w:rPr>
          <w:rFonts w:cs="Arial"/>
          <w:sz w:val="20"/>
          <w:szCs w:val="20"/>
          <w:lang w:val="en-US"/>
        </w:rPr>
        <w:t>last</w:t>
      </w:r>
      <w:r w:rsidRPr="0008119E">
        <w:rPr>
          <w:rFonts w:cs="Arial"/>
          <w:sz w:val="20"/>
          <w:szCs w:val="20"/>
          <w:lang w:val="ru-RU"/>
        </w:rPr>
        <w:t xml:space="preserve"> </w:t>
      </w:r>
      <w:r w:rsidRPr="0008119E">
        <w:rPr>
          <w:rFonts w:cs="Arial"/>
          <w:sz w:val="20"/>
          <w:szCs w:val="20"/>
          <w:lang w:val="en-US"/>
        </w:rPr>
        <w:t>price</w:t>
      </w:r>
      <w:r w:rsidRPr="0008119E">
        <w:rPr>
          <w:rFonts w:cs="Arial"/>
          <w:sz w:val="20"/>
          <w:szCs w:val="20"/>
          <w:lang w:val="ru-RU"/>
        </w:rPr>
        <w:t>);</w:t>
      </w:r>
    </w:p>
    <w:p w:rsidR="00971231" w:rsidRPr="0008119E" w:rsidRDefault="00971231" w:rsidP="00FC5D59">
      <w:pPr>
        <w:pStyle w:val="afd"/>
        <w:numPr>
          <w:ilvl w:val="1"/>
          <w:numId w:val="59"/>
        </w:numPr>
        <w:tabs>
          <w:tab w:val="left" w:pos="851"/>
        </w:tabs>
        <w:ind w:left="0" w:firstLine="567"/>
        <w:rPr>
          <w:rFonts w:cs="Arial"/>
          <w:sz w:val="20"/>
          <w:szCs w:val="20"/>
          <w:lang w:val="en-US"/>
        </w:rPr>
      </w:pPr>
      <w:r w:rsidRPr="0008119E">
        <w:rPr>
          <w:rFonts w:cs="Arial"/>
          <w:sz w:val="20"/>
          <w:szCs w:val="20"/>
          <w:lang w:val="ru-RU"/>
        </w:rPr>
        <w:t>средневзвешенная</w:t>
      </w:r>
      <w:r w:rsidRPr="0008119E">
        <w:rPr>
          <w:rFonts w:cs="Arial"/>
          <w:sz w:val="20"/>
          <w:szCs w:val="20"/>
          <w:lang w:val="en-US"/>
        </w:rPr>
        <w:t xml:space="preserve"> </w:t>
      </w:r>
      <w:r w:rsidRPr="0008119E">
        <w:rPr>
          <w:rFonts w:cs="Arial"/>
          <w:sz w:val="20"/>
          <w:szCs w:val="20"/>
          <w:lang w:val="ru-RU"/>
        </w:rPr>
        <w:t>цена</w:t>
      </w:r>
      <w:r w:rsidRPr="0008119E">
        <w:rPr>
          <w:rFonts w:cs="Arial"/>
          <w:sz w:val="20"/>
          <w:szCs w:val="20"/>
          <w:lang w:val="en-US"/>
        </w:rPr>
        <w:t xml:space="preserve"> (Volume Weighted Average Price (VWAP));</w:t>
      </w:r>
    </w:p>
    <w:p w:rsidR="00971231" w:rsidRPr="0008119E" w:rsidRDefault="00971231" w:rsidP="00FC5D59">
      <w:pPr>
        <w:pStyle w:val="afd"/>
        <w:numPr>
          <w:ilvl w:val="1"/>
          <w:numId w:val="59"/>
        </w:numPr>
        <w:tabs>
          <w:tab w:val="left" w:pos="851"/>
        </w:tabs>
        <w:ind w:left="0" w:firstLine="567"/>
        <w:rPr>
          <w:rFonts w:cs="Arial"/>
          <w:sz w:val="20"/>
          <w:szCs w:val="20"/>
          <w:lang w:val="ru-RU"/>
        </w:rPr>
      </w:pPr>
      <w:r w:rsidRPr="0008119E">
        <w:rPr>
          <w:rFonts w:cs="Arial"/>
          <w:sz w:val="20"/>
          <w:szCs w:val="20"/>
          <w:lang w:val="ru-RU"/>
        </w:rPr>
        <w:t>профессиональное суждение.</w:t>
      </w:r>
    </w:p>
    <w:p w:rsidR="00971231" w:rsidRPr="00831C92" w:rsidRDefault="00971231" w:rsidP="00971231">
      <w:pPr>
        <w:rPr>
          <w:rFonts w:cs="Arial"/>
          <w:sz w:val="20"/>
          <w:szCs w:val="20"/>
          <w:lang w:val="ru-RU"/>
        </w:rPr>
      </w:pPr>
    </w:p>
    <w:p w:rsidR="00971231" w:rsidRPr="00831C92" w:rsidRDefault="00971231" w:rsidP="00971231">
      <w:pPr>
        <w:jc w:val="both"/>
        <w:rPr>
          <w:rFonts w:cs="Arial"/>
          <w:sz w:val="20"/>
          <w:szCs w:val="20"/>
          <w:lang w:val="ru-RU"/>
        </w:rPr>
      </w:pPr>
      <w:r w:rsidRPr="00831C92">
        <w:rPr>
          <w:rFonts w:cs="Arial"/>
          <w:sz w:val="20"/>
          <w:szCs w:val="20"/>
          <w:lang w:val="ru-RU"/>
        </w:rPr>
        <w:t xml:space="preserve">Источники информации по данным ценным бумагам являются  информационные системы </w:t>
      </w:r>
      <w:r w:rsidRPr="00831C92">
        <w:rPr>
          <w:rFonts w:cs="Arial"/>
          <w:sz w:val="20"/>
          <w:szCs w:val="20"/>
          <w:lang w:val="en-US"/>
        </w:rPr>
        <w:t>Bloomberg</w:t>
      </w:r>
      <w:r w:rsidRPr="00831C92">
        <w:rPr>
          <w:rFonts w:cs="Arial"/>
          <w:sz w:val="20"/>
          <w:szCs w:val="20"/>
          <w:lang w:val="ru-RU"/>
        </w:rPr>
        <w:t xml:space="preserve"> рынок </w:t>
      </w:r>
      <w:r w:rsidRPr="00831C92">
        <w:rPr>
          <w:rFonts w:cs="Arial"/>
          <w:sz w:val="20"/>
          <w:szCs w:val="20"/>
          <w:lang w:val="en-US"/>
        </w:rPr>
        <w:t>BGN</w:t>
      </w:r>
      <w:r w:rsidRPr="00831C92">
        <w:rPr>
          <w:rFonts w:cs="Arial"/>
          <w:sz w:val="20"/>
          <w:szCs w:val="20"/>
          <w:lang w:val="ru-RU"/>
        </w:rPr>
        <w:t xml:space="preserve"> или </w:t>
      </w:r>
      <w:r w:rsidRPr="00831C92">
        <w:rPr>
          <w:rFonts w:cs="Arial"/>
          <w:sz w:val="20"/>
          <w:szCs w:val="20"/>
          <w:lang w:val="en-US"/>
        </w:rPr>
        <w:t>BVAL</w:t>
      </w:r>
      <w:r w:rsidRPr="00831C92">
        <w:rPr>
          <w:rFonts w:cs="Arial"/>
          <w:sz w:val="20"/>
          <w:szCs w:val="20"/>
          <w:lang w:val="ru-RU"/>
        </w:rPr>
        <w:t xml:space="preserve">, </w:t>
      </w:r>
      <w:r w:rsidRPr="00831C92">
        <w:rPr>
          <w:rFonts w:cs="Arial"/>
          <w:sz w:val="20"/>
          <w:szCs w:val="20"/>
          <w:lang w:val="en-US"/>
        </w:rPr>
        <w:t>Reuters</w:t>
      </w:r>
      <w:r w:rsidRPr="00831C92">
        <w:rPr>
          <w:rFonts w:cs="Arial"/>
          <w:sz w:val="20"/>
          <w:szCs w:val="20"/>
          <w:lang w:val="ru-RU"/>
        </w:rPr>
        <w:t xml:space="preserve">, с надежными источниками данных. Под надежными источниками принимаются рассчитанные информационными системами потоки котировок от участников рынка, котировки от зарубежных организаторов торгов на неорганизованном рынке финансовых инструментов.   </w:t>
      </w:r>
    </w:p>
    <w:p w:rsidR="00971231" w:rsidRPr="00831C92" w:rsidRDefault="00971231" w:rsidP="00971231">
      <w:pPr>
        <w:jc w:val="both"/>
        <w:rPr>
          <w:rFonts w:cs="Arial"/>
          <w:sz w:val="20"/>
          <w:szCs w:val="20"/>
          <w:lang w:val="ru-RU"/>
        </w:rPr>
      </w:pPr>
      <w:r w:rsidRPr="00831C92">
        <w:rPr>
          <w:rFonts w:cs="Arial"/>
          <w:sz w:val="20"/>
          <w:szCs w:val="20"/>
          <w:lang w:val="ru-RU"/>
        </w:rPr>
        <w:t>В случае отсутствия данных котировок на день проведения переоценки, справедливой стоимостью признается котировка на день, ближайший ко дню проведения переоценки. Максимально возможный период не должен превышать 90 календарных дней.</w:t>
      </w:r>
    </w:p>
    <w:p w:rsidR="00971231" w:rsidRPr="00831C92" w:rsidRDefault="00971231" w:rsidP="00971231">
      <w:pPr>
        <w:rPr>
          <w:rFonts w:cs="Arial"/>
          <w:sz w:val="20"/>
          <w:szCs w:val="20"/>
          <w:lang w:val="ru-RU"/>
        </w:rPr>
      </w:pPr>
    </w:p>
    <w:p w:rsidR="00971231" w:rsidRPr="00831C92" w:rsidRDefault="00971231" w:rsidP="00971231">
      <w:pPr>
        <w:jc w:val="both"/>
        <w:rPr>
          <w:rFonts w:cs="Arial"/>
          <w:sz w:val="20"/>
          <w:szCs w:val="20"/>
          <w:lang w:val="ru-RU"/>
        </w:rPr>
      </w:pPr>
      <w:r w:rsidRPr="00831C92">
        <w:rPr>
          <w:rFonts w:cs="Arial"/>
          <w:color w:val="000000"/>
          <w:sz w:val="20"/>
          <w:szCs w:val="20"/>
          <w:lang w:val="ru-RU"/>
        </w:rPr>
        <w:t>В случае применения профессионального суждения Банк может использовать информацию о ценах, предоставляемую брокером или компанией профессионально занимающейся деятельностью на рынке ценных бумаг</w:t>
      </w:r>
      <w:r w:rsidRPr="00831C92">
        <w:rPr>
          <w:rFonts w:cs="Arial"/>
          <w:sz w:val="20"/>
          <w:szCs w:val="20"/>
          <w:lang w:val="ru-RU"/>
        </w:rPr>
        <w:t>.</w:t>
      </w:r>
      <w:r w:rsidRPr="00831C92">
        <w:rPr>
          <w:rFonts w:cs="Arial"/>
          <w:color w:val="000000"/>
          <w:sz w:val="20"/>
          <w:szCs w:val="20"/>
        </w:rPr>
        <w:t> </w:t>
      </w:r>
      <w:r w:rsidRPr="00831C92">
        <w:rPr>
          <w:rFonts w:cs="Arial"/>
          <w:color w:val="000000"/>
          <w:sz w:val="20"/>
          <w:szCs w:val="20"/>
          <w:lang w:val="ru-RU"/>
        </w:rPr>
        <w:t xml:space="preserve"> В этом случае информация о</w:t>
      </w:r>
      <w:r w:rsidRPr="00831C92">
        <w:rPr>
          <w:rFonts w:cs="Arial"/>
          <w:color w:val="000000"/>
          <w:sz w:val="20"/>
          <w:szCs w:val="20"/>
        </w:rPr>
        <w:t> </w:t>
      </w:r>
      <w:r w:rsidRPr="00831C92">
        <w:rPr>
          <w:rFonts w:cs="Arial"/>
          <w:color w:val="000000"/>
          <w:sz w:val="20"/>
          <w:szCs w:val="20"/>
          <w:lang w:val="ru-RU"/>
        </w:rPr>
        <w:t xml:space="preserve"> ценах должна быть зафиксирована</w:t>
      </w:r>
      <w:r w:rsidRPr="00831C92">
        <w:rPr>
          <w:rFonts w:cs="Arial"/>
          <w:color w:val="000000"/>
          <w:sz w:val="20"/>
          <w:szCs w:val="20"/>
        </w:rPr>
        <w:t> </w:t>
      </w:r>
      <w:r w:rsidRPr="00831C92">
        <w:rPr>
          <w:rFonts w:cs="Arial"/>
          <w:color w:val="000000"/>
          <w:sz w:val="20"/>
          <w:szCs w:val="20"/>
          <w:lang w:val="ru-RU"/>
        </w:rPr>
        <w:t xml:space="preserve"> в виде</w:t>
      </w:r>
      <w:r w:rsidRPr="00831C92">
        <w:rPr>
          <w:rFonts w:cs="Arial"/>
          <w:color w:val="000000"/>
          <w:sz w:val="20"/>
          <w:szCs w:val="20"/>
        </w:rPr>
        <w:t> </w:t>
      </w:r>
      <w:r w:rsidRPr="00831C92">
        <w:rPr>
          <w:rFonts w:cs="Arial"/>
          <w:color w:val="000000"/>
          <w:sz w:val="20"/>
          <w:szCs w:val="20"/>
          <w:lang w:val="ru-RU"/>
        </w:rPr>
        <w:t xml:space="preserve"> распечатанных сообщений, полученных по электронной почте или</w:t>
      </w:r>
      <w:r w:rsidRPr="00831C92">
        <w:rPr>
          <w:rFonts w:cs="Arial"/>
          <w:color w:val="000000"/>
          <w:sz w:val="20"/>
          <w:szCs w:val="20"/>
        </w:rPr>
        <w:t> </w:t>
      </w:r>
      <w:r w:rsidRPr="00831C92">
        <w:rPr>
          <w:rFonts w:cs="Arial"/>
          <w:color w:val="000000"/>
          <w:sz w:val="20"/>
          <w:szCs w:val="20"/>
          <w:lang w:val="ru-RU"/>
        </w:rPr>
        <w:t xml:space="preserve"> данных, взятых с</w:t>
      </w:r>
      <w:r w:rsidRPr="00831C92">
        <w:rPr>
          <w:rFonts w:cs="Arial"/>
          <w:color w:val="000000"/>
          <w:sz w:val="20"/>
          <w:szCs w:val="20"/>
        </w:rPr>
        <w:t> </w:t>
      </w:r>
      <w:r w:rsidRPr="00831C92">
        <w:rPr>
          <w:rFonts w:cs="Arial"/>
          <w:color w:val="000000"/>
          <w:sz w:val="20"/>
          <w:szCs w:val="20"/>
          <w:lang w:val="ru-RU"/>
        </w:rPr>
        <w:t xml:space="preserve"> вэб-сайта. Профессиональное суждения готовит сотрудник отдела по работе на фондовых рынках в</w:t>
      </w:r>
      <w:r w:rsidRPr="00831C92">
        <w:rPr>
          <w:rFonts w:cs="Arial"/>
          <w:color w:val="000000"/>
          <w:sz w:val="20"/>
          <w:szCs w:val="20"/>
        </w:rPr>
        <w:t> </w:t>
      </w:r>
      <w:r w:rsidRPr="00831C92">
        <w:rPr>
          <w:rFonts w:cs="Arial"/>
          <w:color w:val="000000"/>
          <w:sz w:val="20"/>
          <w:szCs w:val="20"/>
          <w:lang w:val="ru-RU"/>
        </w:rPr>
        <w:t xml:space="preserve"> соответствии с Приложением № 6 к СТБ 56.</w:t>
      </w:r>
    </w:p>
    <w:p w:rsidR="00971231" w:rsidRPr="00831C92" w:rsidRDefault="00971231" w:rsidP="00971231">
      <w:pPr>
        <w:jc w:val="both"/>
        <w:rPr>
          <w:rFonts w:cs="Arial"/>
          <w:color w:val="000000"/>
          <w:sz w:val="20"/>
          <w:szCs w:val="20"/>
          <w:lang w:val="ru-RU"/>
        </w:rPr>
      </w:pPr>
      <w:r w:rsidRPr="00831C92">
        <w:rPr>
          <w:rFonts w:cs="Arial"/>
          <w:color w:val="000000"/>
          <w:sz w:val="20"/>
          <w:szCs w:val="20"/>
          <w:lang w:val="ru-RU"/>
        </w:rPr>
        <w:t xml:space="preserve"> Профессиональное суждение  о справедливой стоимости на ценные бумаги сотрудник Банка может  готовить с</w:t>
      </w:r>
      <w:r w:rsidRPr="00831C92">
        <w:rPr>
          <w:rFonts w:cs="Arial"/>
          <w:bCs/>
          <w:sz w:val="20"/>
          <w:szCs w:val="20"/>
          <w:lang w:val="ru-RU"/>
        </w:rPr>
        <w:t xml:space="preserve"> использованием  следующих методов оценки: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рыночный метод определения справедливой стоимости.</w:t>
      </w:r>
    </w:p>
    <w:p w:rsidR="0008119E" w:rsidRDefault="0008119E" w:rsidP="0008119E">
      <w:pPr>
        <w:pStyle w:val="aff5"/>
        <w:rPr>
          <w:b w:val="0"/>
          <w:i w:val="0"/>
          <w:color w:val="000000"/>
          <w:sz w:val="20"/>
          <w:szCs w:val="20"/>
        </w:rPr>
      </w:pPr>
    </w:p>
    <w:p w:rsidR="00971231" w:rsidRPr="00831C92" w:rsidRDefault="00971231" w:rsidP="0008119E">
      <w:pPr>
        <w:pStyle w:val="aff5"/>
        <w:rPr>
          <w:b w:val="0"/>
          <w:i w:val="0"/>
          <w:sz w:val="20"/>
          <w:szCs w:val="20"/>
        </w:rPr>
      </w:pPr>
      <w:r w:rsidRPr="00831C92">
        <w:rPr>
          <w:b w:val="0"/>
          <w:i w:val="0"/>
          <w:color w:val="000000"/>
          <w:sz w:val="20"/>
          <w:szCs w:val="20"/>
        </w:rPr>
        <w:t xml:space="preserve">Справедливая стоимость  определяется  на основании информации о справедливой стоимости  тождественных ценных бумаг, имеющих рыночные котировки. Критерием тождественности служит: срок погашения, валюта платежа, процентная ставка, купонные выплаты, даты оферт, риски. </w:t>
      </w:r>
      <w:r w:rsidRPr="00831C92">
        <w:rPr>
          <w:b w:val="0"/>
          <w:i w:val="0"/>
          <w:sz w:val="20"/>
          <w:szCs w:val="20"/>
        </w:rPr>
        <w:t>Тождественными ценными бумагами могут быть признаны идентичные и (или) однородные ценные бумаги.</w:t>
      </w:r>
    </w:p>
    <w:p w:rsidR="00971231" w:rsidRPr="00831C92" w:rsidRDefault="00971231" w:rsidP="0008119E">
      <w:pPr>
        <w:pStyle w:val="aff5"/>
        <w:rPr>
          <w:b w:val="0"/>
          <w:i w:val="0"/>
          <w:sz w:val="20"/>
          <w:szCs w:val="20"/>
        </w:rPr>
      </w:pPr>
      <w:r w:rsidRPr="00831C92">
        <w:rPr>
          <w:b w:val="0"/>
          <w:i w:val="0"/>
          <w:sz w:val="20"/>
          <w:szCs w:val="20"/>
        </w:rPr>
        <w:t xml:space="preserve">Идентичными признаются ценные бумаги, имеющие одинаковые характерные для них основные признаки. При определении идентичности ценных бумаг учитываются, в частности, их условия </w:t>
      </w:r>
      <w:r w:rsidRPr="00831C92">
        <w:rPr>
          <w:b w:val="0"/>
          <w:i w:val="0"/>
          <w:sz w:val="20"/>
          <w:szCs w:val="20"/>
        </w:rPr>
        <w:lastRenderedPageBreak/>
        <w:t>выпуска, кредитное качество и репутация на рынке, страна, эмитент. При определении идентичности ценных бумаг незначительные различия в вышеуказанных параметрах могут не учитываться.</w:t>
      </w:r>
    </w:p>
    <w:p w:rsidR="00971231" w:rsidRPr="00831C92" w:rsidRDefault="00971231" w:rsidP="0008119E">
      <w:pPr>
        <w:pStyle w:val="aff5"/>
        <w:rPr>
          <w:b w:val="0"/>
          <w:i w:val="0"/>
          <w:sz w:val="20"/>
          <w:szCs w:val="20"/>
        </w:rPr>
      </w:pPr>
      <w:r w:rsidRPr="00831C92">
        <w:rPr>
          <w:b w:val="0"/>
          <w:i w:val="0"/>
          <w:color w:val="000000"/>
          <w:sz w:val="20"/>
          <w:szCs w:val="20"/>
        </w:rPr>
        <w:t xml:space="preserve">Однородными признаются ценные бумаги,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ценных бумаг учитываются, в частности, их качество, репутация эмитента на рынке, страна происхождения. В частности, учитываются такие условия </w:t>
      </w:r>
      <w:hyperlink r:id="rId10" w:history="1">
        <w:r w:rsidRPr="00831C92">
          <w:rPr>
            <w:rStyle w:val="af0"/>
            <w:b w:val="0"/>
            <w:i w:val="0"/>
            <w:color w:val="000000"/>
            <w:sz w:val="20"/>
            <w:szCs w:val="20"/>
          </w:rPr>
          <w:t>сделок</w:t>
        </w:r>
      </w:hyperlink>
      <w:r w:rsidRPr="00831C92">
        <w:rPr>
          <w:b w:val="0"/>
          <w:i w:val="0"/>
          <w:color w:val="000000"/>
          <w:sz w:val="20"/>
          <w:szCs w:val="20"/>
        </w:rPr>
        <w:t xml:space="preserve">, как количество (объем), </w:t>
      </w:r>
      <w:hyperlink r:id="rId11" w:history="1">
        <w:r w:rsidRPr="00831C92">
          <w:rPr>
            <w:rStyle w:val="af0"/>
            <w:b w:val="0"/>
            <w:i w:val="0"/>
            <w:color w:val="000000"/>
            <w:sz w:val="20"/>
            <w:szCs w:val="20"/>
          </w:rPr>
          <w:t>сроки</w:t>
        </w:r>
      </w:hyperlink>
      <w:r w:rsidRPr="00831C92">
        <w:rPr>
          <w:b w:val="0"/>
          <w:i w:val="0"/>
          <w:color w:val="000000"/>
          <w:sz w:val="20"/>
          <w:szCs w:val="20"/>
        </w:rPr>
        <w:t xml:space="preserve"> </w:t>
      </w:r>
      <w:hyperlink r:id="rId12" w:history="1">
        <w:r w:rsidRPr="00831C92">
          <w:rPr>
            <w:rStyle w:val="af0"/>
            <w:b w:val="0"/>
            <w:i w:val="0"/>
            <w:color w:val="000000"/>
            <w:sz w:val="20"/>
            <w:szCs w:val="20"/>
          </w:rPr>
          <w:t>исполнения обязательств</w:t>
        </w:r>
      </w:hyperlink>
      <w:r w:rsidRPr="00831C92">
        <w:rPr>
          <w:b w:val="0"/>
          <w:i w:val="0"/>
          <w:color w:val="000000"/>
          <w:sz w:val="20"/>
          <w:szCs w:val="20"/>
        </w:rPr>
        <w:t xml:space="preserve">, условия платежей, обычно применяемые в </w:t>
      </w:r>
      <w:hyperlink r:id="rId13" w:history="1">
        <w:r w:rsidRPr="00831C92">
          <w:rPr>
            <w:rStyle w:val="af0"/>
            <w:b w:val="0"/>
            <w:i w:val="0"/>
            <w:color w:val="000000"/>
            <w:sz w:val="20"/>
            <w:szCs w:val="20"/>
          </w:rPr>
          <w:t>сделках</w:t>
        </w:r>
      </w:hyperlink>
      <w:r w:rsidRPr="00831C92">
        <w:rPr>
          <w:b w:val="0"/>
          <w:i w:val="0"/>
          <w:color w:val="000000"/>
          <w:sz w:val="20"/>
          <w:szCs w:val="20"/>
        </w:rPr>
        <w:t xml:space="preserve"> данного вида, а также иные разумные условия, которые могут оказывать влияние на </w:t>
      </w:r>
      <w:hyperlink r:id="rId14" w:history="1">
        <w:r w:rsidRPr="00831C92">
          <w:rPr>
            <w:rStyle w:val="af0"/>
            <w:b w:val="0"/>
            <w:i w:val="0"/>
            <w:color w:val="000000"/>
            <w:sz w:val="20"/>
            <w:szCs w:val="20"/>
          </w:rPr>
          <w:t>цены</w:t>
        </w:r>
      </w:hyperlink>
      <w:r w:rsidRPr="00831C92">
        <w:rPr>
          <w:b w:val="0"/>
          <w:i w:val="0"/>
          <w:color w:val="000000"/>
          <w:sz w:val="20"/>
          <w:szCs w:val="20"/>
        </w:rPr>
        <w:t xml:space="preserve">. При этом условия </w:t>
      </w:r>
      <w:hyperlink r:id="rId15" w:history="1">
        <w:r w:rsidRPr="00831C92">
          <w:rPr>
            <w:rStyle w:val="af0"/>
            <w:b w:val="0"/>
            <w:i w:val="0"/>
            <w:color w:val="000000"/>
            <w:sz w:val="20"/>
            <w:szCs w:val="20"/>
          </w:rPr>
          <w:t>сделок</w:t>
        </w:r>
      </w:hyperlink>
      <w:r w:rsidRPr="00831C92">
        <w:rPr>
          <w:b w:val="0"/>
          <w:i w:val="0"/>
          <w:color w:val="000000"/>
          <w:sz w:val="20"/>
          <w:szCs w:val="20"/>
        </w:rPr>
        <w:t xml:space="preserve"> на </w:t>
      </w:r>
      <w:hyperlink r:id="rId16" w:history="1">
        <w:r w:rsidRPr="00831C92">
          <w:rPr>
            <w:rStyle w:val="af0"/>
            <w:b w:val="0"/>
            <w:i w:val="0"/>
            <w:color w:val="000000"/>
            <w:sz w:val="20"/>
            <w:szCs w:val="20"/>
          </w:rPr>
          <w:t>рынке</w:t>
        </w:r>
      </w:hyperlink>
      <w:r w:rsidRPr="00831C92">
        <w:rPr>
          <w:b w:val="0"/>
          <w:i w:val="0"/>
          <w:color w:val="000000"/>
          <w:sz w:val="20"/>
          <w:szCs w:val="20"/>
        </w:rPr>
        <w:t xml:space="preserve"> идентичных (а при их отсутствии -однородных) ценных бумаг признаются сопоставимыми</w:t>
      </w:r>
      <w:r w:rsidRPr="00831C92">
        <w:rPr>
          <w:b w:val="0"/>
          <w:i w:val="0"/>
          <w:sz w:val="20"/>
          <w:szCs w:val="20"/>
        </w:rPr>
        <w:t>.</w:t>
      </w:r>
    </w:p>
    <w:p w:rsidR="00971231" w:rsidRPr="00831C92" w:rsidRDefault="00971231" w:rsidP="00FC5D59">
      <w:pPr>
        <w:pStyle w:val="aff5"/>
        <w:numPr>
          <w:ilvl w:val="1"/>
          <w:numId w:val="59"/>
        </w:numPr>
        <w:tabs>
          <w:tab w:val="left" w:pos="851"/>
        </w:tabs>
        <w:ind w:left="0" w:firstLine="567"/>
        <w:rPr>
          <w:b w:val="0"/>
          <w:i w:val="0"/>
          <w:sz w:val="20"/>
          <w:szCs w:val="20"/>
        </w:rPr>
      </w:pPr>
      <w:r w:rsidRPr="00831C92">
        <w:rPr>
          <w:b w:val="0"/>
          <w:i w:val="0"/>
          <w:sz w:val="20"/>
          <w:szCs w:val="20"/>
        </w:rPr>
        <w:t>доходный метод определения справедливой стоимости.</w:t>
      </w:r>
    </w:p>
    <w:p w:rsidR="0008119E" w:rsidRDefault="0008119E" w:rsidP="0008119E">
      <w:pPr>
        <w:pStyle w:val="aff5"/>
        <w:rPr>
          <w:b w:val="0"/>
          <w:i w:val="0"/>
          <w:sz w:val="20"/>
          <w:szCs w:val="20"/>
        </w:rPr>
      </w:pPr>
    </w:p>
    <w:p w:rsidR="00971231" w:rsidRPr="00831C92" w:rsidRDefault="00971231" w:rsidP="0008119E">
      <w:pPr>
        <w:pStyle w:val="aff5"/>
        <w:rPr>
          <w:b w:val="0"/>
          <w:i w:val="0"/>
          <w:sz w:val="20"/>
          <w:szCs w:val="20"/>
        </w:rPr>
      </w:pPr>
      <w:r w:rsidRPr="00831C92">
        <w:rPr>
          <w:b w:val="0"/>
          <w:i w:val="0"/>
          <w:sz w:val="20"/>
          <w:szCs w:val="20"/>
        </w:rPr>
        <w:t xml:space="preserve">Экономический смысл данного метода заключается в представлении, что актив стоит столько, сколько он может принести дохода. Потенциальные будущие доходы от актива необходимо скорректировать на временную стоимость денег и связанные с активом риски. Имеют значение продолжительность периода получения возможного дохода, степень и вид рисков, сопровождающих данный процесс. В качестве метода, совместимого с доходным методом, может быть использование метода дисконтирования денежных потоков. Этот  метод основан на предположении, что стоимость инвестиций  в ценные бумаги  зависит от будущих выгод (например, от величины выплат купонного дохода, номинала или дивидендов), которые получит инвестор. </w:t>
      </w:r>
    </w:p>
    <w:p w:rsidR="00971231" w:rsidRPr="00831C92" w:rsidRDefault="00971231" w:rsidP="0008119E">
      <w:pPr>
        <w:pStyle w:val="aff5"/>
        <w:rPr>
          <w:b w:val="0"/>
          <w:i w:val="0"/>
          <w:sz w:val="20"/>
          <w:szCs w:val="20"/>
        </w:rPr>
      </w:pPr>
      <w:r w:rsidRPr="00831C92">
        <w:rPr>
          <w:b w:val="0"/>
          <w:i w:val="0"/>
          <w:sz w:val="20"/>
          <w:szCs w:val="20"/>
        </w:rPr>
        <w:t>Для того, чтобы привести будущую стоимость инвестиций к ее начальной стоимости, необходимо умножить на коэффициент дисконтирования все денежные доходы, связанные с инвестицией, и суммировать полученные величины. Коэффициент дисконтирования определяется с учетом доходности по альтернативному вложению (банковскому вкладу, например).</w:t>
      </w:r>
    </w:p>
    <w:p w:rsidR="00971231" w:rsidRPr="00831C92" w:rsidRDefault="00971231" w:rsidP="00021BC6">
      <w:pPr>
        <w:pStyle w:val="aff5"/>
        <w:rPr>
          <w:b w:val="0"/>
          <w:i w:val="0"/>
          <w:sz w:val="20"/>
          <w:szCs w:val="20"/>
        </w:rPr>
      </w:pPr>
      <w:r w:rsidRPr="00831C92">
        <w:rPr>
          <w:b w:val="0"/>
          <w:i w:val="0"/>
          <w:sz w:val="20"/>
          <w:szCs w:val="20"/>
        </w:rPr>
        <w:t>Формула для  вычисления справедливой стоимости облигаций подразумевает выплату дохода через равные промежутки времени и возврата основной суммы в конце срока:</w:t>
      </w:r>
    </w:p>
    <w:p w:rsidR="00971231" w:rsidRPr="00831C92" w:rsidRDefault="00971231" w:rsidP="00971231">
      <w:pPr>
        <w:pStyle w:val="aff5"/>
        <w:ind w:firstLine="675"/>
        <w:rPr>
          <w:b w:val="0"/>
          <w:i w:val="0"/>
          <w:sz w:val="20"/>
          <w:szCs w:val="20"/>
        </w:rPr>
      </w:pPr>
    </w:p>
    <w:p w:rsidR="00971231" w:rsidRPr="0040345C" w:rsidRDefault="00971231" w:rsidP="0008119E">
      <w:pPr>
        <w:jc w:val="center"/>
        <w:rPr>
          <w:rFonts w:cs="Arial"/>
          <w:color w:val="000000"/>
          <w:sz w:val="20"/>
          <w:szCs w:val="20"/>
          <w:lang w:val="ru-RU"/>
        </w:rPr>
      </w:pPr>
      <w:r w:rsidRPr="00831C92">
        <w:rPr>
          <w:rFonts w:cs="Arial"/>
          <w:noProof/>
          <w:sz w:val="20"/>
          <w:szCs w:val="20"/>
          <w:vertAlign w:val="subscript"/>
          <w:lang w:val="ru-RU" w:eastAsia="ru-RU"/>
        </w:rPr>
        <w:drawing>
          <wp:inline distT="0" distB="0" distL="0" distR="0" wp14:anchorId="057C41F3" wp14:editId="0AFAB7E9">
            <wp:extent cx="3095625" cy="485775"/>
            <wp:effectExtent l="0" t="0" r="9525" b="9525"/>
            <wp:docPr id="1" name="Рисунок 1" descr="http://edu.dvgups.ru/metdoc/ekmen/fk/oc_stoim_predpr/metod/k_l/frame/6.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edu.dvgups.ru/metdoc/ekmen/fk/oc_stoim_predpr/metod/k_l/frame/6.files/image002.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95625" cy="485775"/>
                    </a:xfrm>
                    <a:prstGeom prst="rect">
                      <a:avLst/>
                    </a:prstGeom>
                    <a:noFill/>
                    <a:ln>
                      <a:noFill/>
                    </a:ln>
                  </pic:spPr>
                </pic:pic>
              </a:graphicData>
            </a:graphic>
          </wp:inline>
        </w:drawing>
      </w:r>
      <w:r w:rsidRPr="0040345C">
        <w:rPr>
          <w:rFonts w:cs="Arial"/>
          <w:sz w:val="20"/>
          <w:szCs w:val="20"/>
          <w:lang w:val="ru-RU"/>
        </w:rPr>
        <w:t>,</w:t>
      </w:r>
    </w:p>
    <w:p w:rsidR="00971231" w:rsidRPr="00831C92" w:rsidRDefault="00971231" w:rsidP="00971231">
      <w:pPr>
        <w:jc w:val="both"/>
        <w:rPr>
          <w:rFonts w:cs="Arial"/>
          <w:color w:val="000000"/>
          <w:sz w:val="20"/>
          <w:szCs w:val="20"/>
          <w:lang w:val="ru-RU"/>
        </w:rPr>
      </w:pPr>
      <w:r w:rsidRPr="00831C92">
        <w:rPr>
          <w:rFonts w:cs="Arial"/>
          <w:color w:val="000000"/>
          <w:sz w:val="20"/>
          <w:szCs w:val="20"/>
          <w:lang w:val="ru-RU"/>
        </w:rPr>
        <w:t>где</w:t>
      </w:r>
    </w:p>
    <w:p w:rsidR="00971231" w:rsidRPr="00831C92" w:rsidRDefault="00971231" w:rsidP="00971231">
      <w:pPr>
        <w:jc w:val="both"/>
        <w:rPr>
          <w:rFonts w:cs="Arial"/>
          <w:color w:val="000000"/>
          <w:sz w:val="20"/>
          <w:szCs w:val="20"/>
          <w:lang w:val="ru-RU"/>
        </w:rPr>
      </w:pPr>
      <w:r w:rsidRPr="0008119E">
        <w:rPr>
          <w:rFonts w:cs="Arial"/>
          <w:b/>
          <w:color w:val="000000"/>
          <w:sz w:val="20"/>
          <w:szCs w:val="20"/>
          <w:lang w:val="ru-RU"/>
        </w:rPr>
        <w:t>С</w:t>
      </w:r>
      <w:r w:rsidRPr="0008119E">
        <w:rPr>
          <w:rFonts w:cs="Arial"/>
          <w:b/>
          <w:color w:val="000000"/>
          <w:sz w:val="20"/>
          <w:szCs w:val="20"/>
          <w:lang w:val="en-US"/>
        </w:rPr>
        <w:t>F</w:t>
      </w:r>
      <w:r w:rsidRPr="0008119E">
        <w:rPr>
          <w:rFonts w:cs="Arial"/>
          <w:b/>
          <w:color w:val="000000"/>
          <w:sz w:val="20"/>
          <w:szCs w:val="20"/>
          <w:lang w:val="ru-RU"/>
        </w:rPr>
        <w:t>1, С</w:t>
      </w:r>
      <w:r w:rsidRPr="0008119E">
        <w:rPr>
          <w:rFonts w:cs="Arial"/>
          <w:b/>
          <w:color w:val="000000"/>
          <w:sz w:val="20"/>
          <w:szCs w:val="20"/>
          <w:lang w:val="en-US"/>
        </w:rPr>
        <w:t>F</w:t>
      </w:r>
      <w:r w:rsidRPr="0008119E">
        <w:rPr>
          <w:rFonts w:cs="Arial"/>
          <w:b/>
          <w:color w:val="000000"/>
          <w:sz w:val="20"/>
          <w:szCs w:val="20"/>
          <w:lang w:val="ru-RU"/>
        </w:rPr>
        <w:t>2, С</w:t>
      </w:r>
      <w:r w:rsidRPr="0008119E">
        <w:rPr>
          <w:rFonts w:cs="Arial"/>
          <w:b/>
          <w:color w:val="000000"/>
          <w:sz w:val="20"/>
          <w:szCs w:val="20"/>
          <w:lang w:val="en-US"/>
        </w:rPr>
        <w:t>Fi</w:t>
      </w:r>
      <w:r w:rsidRPr="00831C92">
        <w:rPr>
          <w:rFonts w:cs="Arial"/>
          <w:color w:val="000000"/>
          <w:sz w:val="20"/>
          <w:szCs w:val="20"/>
          <w:lang w:val="ru-RU"/>
        </w:rPr>
        <w:t xml:space="preserve">   -  купон, начисленный  в  конце первого, второго и последующих периодов;</w:t>
      </w:r>
    </w:p>
    <w:p w:rsidR="00971231" w:rsidRPr="00831C92" w:rsidRDefault="00971231" w:rsidP="00971231">
      <w:pPr>
        <w:jc w:val="both"/>
        <w:rPr>
          <w:rFonts w:cs="Arial"/>
          <w:color w:val="000000"/>
          <w:sz w:val="20"/>
          <w:szCs w:val="20"/>
          <w:lang w:val="ru-RU"/>
        </w:rPr>
      </w:pPr>
      <w:r w:rsidRPr="0008119E">
        <w:rPr>
          <w:rFonts w:cs="Arial"/>
          <w:b/>
          <w:color w:val="000000"/>
          <w:sz w:val="20"/>
          <w:szCs w:val="20"/>
          <w:lang w:val="en-US"/>
        </w:rPr>
        <w:t>FV</w:t>
      </w:r>
      <w:r w:rsidRPr="00831C92">
        <w:rPr>
          <w:rFonts w:cs="Arial"/>
          <w:color w:val="000000"/>
          <w:sz w:val="20"/>
          <w:szCs w:val="20"/>
          <w:lang w:val="ru-RU"/>
        </w:rPr>
        <w:t xml:space="preserve"> – основная сумма номинала облигации, выплаченная по окончании </w:t>
      </w:r>
      <w:r w:rsidRPr="00831C92">
        <w:rPr>
          <w:rFonts w:cs="Arial"/>
          <w:color w:val="000000"/>
          <w:sz w:val="20"/>
          <w:szCs w:val="20"/>
          <w:lang w:val="en-US"/>
        </w:rPr>
        <w:t>n</w:t>
      </w:r>
      <w:r w:rsidRPr="00831C92">
        <w:rPr>
          <w:rFonts w:cs="Arial"/>
          <w:color w:val="000000"/>
          <w:sz w:val="20"/>
          <w:szCs w:val="20"/>
          <w:lang w:val="ru-RU"/>
        </w:rPr>
        <w:t>-го периода;</w:t>
      </w:r>
    </w:p>
    <w:p w:rsidR="00971231" w:rsidRPr="00831C92" w:rsidRDefault="00971231" w:rsidP="00971231">
      <w:pPr>
        <w:jc w:val="both"/>
        <w:rPr>
          <w:rFonts w:cs="Arial"/>
          <w:color w:val="000000"/>
          <w:sz w:val="20"/>
          <w:szCs w:val="20"/>
          <w:lang w:val="ru-RU"/>
        </w:rPr>
      </w:pPr>
      <w:r w:rsidRPr="0008119E">
        <w:rPr>
          <w:rFonts w:cs="Arial"/>
          <w:b/>
          <w:color w:val="000000"/>
          <w:sz w:val="20"/>
          <w:szCs w:val="20"/>
          <w:lang w:val="en-US"/>
        </w:rPr>
        <w:t>r</w:t>
      </w:r>
      <w:r w:rsidRPr="00831C92">
        <w:rPr>
          <w:rFonts w:cs="Arial"/>
          <w:color w:val="000000"/>
          <w:sz w:val="20"/>
          <w:szCs w:val="20"/>
          <w:lang w:val="ru-RU"/>
        </w:rPr>
        <w:t>- доходность по альтернативному вложению (банковскому вкладу)</w:t>
      </w:r>
    </w:p>
    <w:p w:rsidR="00971231" w:rsidRPr="00831C92" w:rsidRDefault="00971231" w:rsidP="00971231">
      <w:pPr>
        <w:jc w:val="both"/>
        <w:rPr>
          <w:rFonts w:cs="Arial"/>
          <w:color w:val="000000"/>
          <w:sz w:val="20"/>
          <w:szCs w:val="20"/>
          <w:lang w:val="ru-RU"/>
        </w:rPr>
      </w:pPr>
    </w:p>
    <w:p w:rsidR="00971231" w:rsidRPr="00831C92" w:rsidRDefault="00971231" w:rsidP="00971231">
      <w:pPr>
        <w:jc w:val="both"/>
        <w:rPr>
          <w:rFonts w:cs="Arial"/>
          <w:color w:val="000000"/>
          <w:sz w:val="20"/>
          <w:szCs w:val="20"/>
          <w:lang w:val="ru-RU"/>
        </w:rPr>
      </w:pPr>
      <w:r w:rsidRPr="00831C92">
        <w:rPr>
          <w:rFonts w:cs="Arial"/>
          <w:color w:val="000000"/>
          <w:sz w:val="20"/>
          <w:szCs w:val="20"/>
          <w:lang w:val="ru-RU"/>
        </w:rPr>
        <w:t>Также, при формировании профессионального суждения учитываются следующие факторы:</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история исполнения эмитентом обязательств по выпущенным ценным бумагам;</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оценка финансового состояния эмитента исходя из общедоступной информации;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наличие у эмитента рейтинга, присвоенного международными рейтинговыми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агентствами и /или вхождение бумаг эмитента в ломбардный список Банка России;</w:t>
      </w:r>
    </w:p>
    <w:p w:rsidR="00971231" w:rsidRPr="0008119E" w:rsidRDefault="00971231" w:rsidP="00FC5D59">
      <w:pPr>
        <w:pStyle w:val="afd"/>
        <w:numPr>
          <w:ilvl w:val="1"/>
          <w:numId w:val="59"/>
        </w:numPr>
        <w:tabs>
          <w:tab w:val="left" w:pos="851"/>
        </w:tabs>
        <w:ind w:left="0" w:firstLine="567"/>
        <w:jc w:val="both"/>
        <w:rPr>
          <w:rFonts w:cs="Arial"/>
          <w:color w:val="000000"/>
          <w:sz w:val="20"/>
          <w:szCs w:val="20"/>
          <w:lang w:val="ru-RU"/>
        </w:rPr>
      </w:pPr>
      <w:r w:rsidRPr="0008119E">
        <w:rPr>
          <w:rFonts w:cs="Arial"/>
          <w:color w:val="000000"/>
          <w:sz w:val="20"/>
          <w:szCs w:val="20"/>
          <w:lang w:val="ru-RU"/>
        </w:rPr>
        <w:t>вероятность банкротства, слияния, реорганизации эмитента.</w:t>
      </w:r>
    </w:p>
    <w:p w:rsidR="00971231" w:rsidRPr="00831C92" w:rsidRDefault="00971231" w:rsidP="0008119E">
      <w:pPr>
        <w:jc w:val="both"/>
        <w:rPr>
          <w:rFonts w:cs="Arial"/>
          <w:sz w:val="20"/>
          <w:szCs w:val="20"/>
          <w:lang w:val="ru-RU"/>
        </w:rPr>
      </w:pPr>
      <w:r w:rsidRPr="00831C92">
        <w:rPr>
          <w:rFonts w:cs="Arial"/>
          <w:sz w:val="20"/>
          <w:szCs w:val="20"/>
          <w:lang w:val="ru-RU"/>
        </w:rPr>
        <w:t>Выбор того или иного типа цен для определения справедливой стоимости осуществляется сотрудником отдела по работе  на фондовых рынках и доводится  до сведения сотрудников отдела ОСБОФФР для дальнейшего использования в качестве цены переоценки соответствующих ценных бумаг на основании распоряжения, подписанного уполномоченными лицами Банка.</w:t>
      </w:r>
    </w:p>
    <w:p w:rsidR="00971231" w:rsidRPr="00831C92" w:rsidRDefault="00971231" w:rsidP="0008119E">
      <w:pPr>
        <w:jc w:val="both"/>
        <w:rPr>
          <w:rFonts w:cs="Arial"/>
          <w:color w:val="000000"/>
          <w:sz w:val="20"/>
          <w:szCs w:val="20"/>
          <w:lang w:val="ru-RU"/>
        </w:rPr>
      </w:pPr>
      <w:r w:rsidRPr="00831C92">
        <w:rPr>
          <w:rFonts w:cs="Arial"/>
          <w:color w:val="000000"/>
          <w:sz w:val="20"/>
          <w:szCs w:val="20"/>
          <w:lang w:val="ru-RU"/>
        </w:rPr>
        <w:t xml:space="preserve">При   возникновении  затруднений  в определении справедливой стоимости ценной бумаги, Банк может переквалифицировать  вложения в данную ценную бумагу и начать начислять резерв в соответствии с нормативными актами Банка России о формировании резервов на возможные потери и внутренними документами банка. </w:t>
      </w:r>
    </w:p>
    <w:p w:rsidR="00971231" w:rsidRPr="00831C92" w:rsidRDefault="00971231" w:rsidP="0008119E">
      <w:pPr>
        <w:jc w:val="both"/>
        <w:rPr>
          <w:color w:val="000000"/>
          <w:sz w:val="20"/>
          <w:szCs w:val="20"/>
          <w:lang w:val="ru-RU"/>
        </w:rPr>
      </w:pPr>
      <w:r w:rsidRPr="00831C92">
        <w:rPr>
          <w:rFonts w:cs="Arial"/>
          <w:color w:val="000000"/>
          <w:sz w:val="20"/>
          <w:szCs w:val="20"/>
          <w:lang w:val="ru-RU"/>
        </w:rPr>
        <w:t>Если активность рынка в течение года изменяется, то Банк применяет следующие процедуры перехода от методов активного рынка к другим методам, в частности, в условиях отсутствия активного рынка определение справедливой стоимости по средневзвешенной цене  прекращается  и     осуществляется      применение   цен и  методов, установленных   для   неактивного   рынка, в соответствии с внутренними документами банка. При появлении активного рынка эти ценные бумаги начинают переоцениваться с применением</w:t>
      </w:r>
      <w:r w:rsidRPr="00831C92">
        <w:rPr>
          <w:color w:val="000000"/>
          <w:sz w:val="24"/>
          <w:lang w:val="ru-RU"/>
        </w:rPr>
        <w:t xml:space="preserve"> </w:t>
      </w:r>
      <w:r w:rsidRPr="00831C92">
        <w:rPr>
          <w:color w:val="000000"/>
          <w:sz w:val="20"/>
          <w:szCs w:val="20"/>
          <w:lang w:val="ru-RU"/>
        </w:rPr>
        <w:t>средневзвешенной цены для определения  справедливой стоимости.</w:t>
      </w:r>
    </w:p>
    <w:p w:rsidR="00971231" w:rsidRPr="00831C92" w:rsidRDefault="00971231" w:rsidP="00971231">
      <w:pPr>
        <w:tabs>
          <w:tab w:val="left" w:pos="11057"/>
        </w:tabs>
        <w:jc w:val="both"/>
        <w:rPr>
          <w:rFonts w:cs="Arial"/>
          <w:sz w:val="20"/>
          <w:szCs w:val="20"/>
          <w:lang w:val="ru-RU"/>
        </w:rPr>
      </w:pP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Отражение ценных бумаг на балансовых счетах осуществляется в зависимости от цели приобретения, намерений и возможностей Банка.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Банк признает вложения в ценные бумаги, если одновременно выполняются следующие условия:</w:t>
      </w:r>
    </w:p>
    <w:p w:rsidR="00971231" w:rsidRPr="00831C92" w:rsidRDefault="00971231" w:rsidP="00FC5D59">
      <w:pPr>
        <w:pStyle w:val="afd"/>
        <w:numPr>
          <w:ilvl w:val="0"/>
          <w:numId w:val="36"/>
        </w:numPr>
        <w:tabs>
          <w:tab w:val="left" w:pos="851"/>
          <w:tab w:val="left" w:pos="11057"/>
        </w:tabs>
        <w:ind w:left="0" w:firstLine="567"/>
        <w:jc w:val="both"/>
        <w:rPr>
          <w:rFonts w:cs="Arial"/>
          <w:sz w:val="20"/>
          <w:szCs w:val="20"/>
          <w:lang w:val="ru-RU"/>
        </w:rPr>
      </w:pPr>
      <w:r w:rsidRPr="00831C92">
        <w:rPr>
          <w:rFonts w:cs="Arial"/>
          <w:sz w:val="20"/>
          <w:szCs w:val="20"/>
          <w:lang w:val="ru-RU"/>
        </w:rPr>
        <w:lastRenderedPageBreak/>
        <w:t>банк становится собственником этих вложений в соответствии с законодательством РФ, применимым законодательством иностранного государства, международными обычаями делового оборота;</w:t>
      </w:r>
    </w:p>
    <w:p w:rsidR="00971231" w:rsidRPr="00831C92" w:rsidRDefault="00971231" w:rsidP="00FC5D59">
      <w:pPr>
        <w:pStyle w:val="afd"/>
        <w:numPr>
          <w:ilvl w:val="0"/>
          <w:numId w:val="36"/>
        </w:numPr>
        <w:tabs>
          <w:tab w:val="left" w:pos="851"/>
          <w:tab w:val="left" w:pos="11057"/>
        </w:tabs>
        <w:ind w:left="0" w:firstLine="567"/>
        <w:jc w:val="both"/>
        <w:rPr>
          <w:rFonts w:cs="Arial"/>
          <w:sz w:val="20"/>
          <w:szCs w:val="20"/>
          <w:lang w:val="ru-RU"/>
        </w:rPr>
      </w:pPr>
      <w:r w:rsidRPr="00831C92">
        <w:rPr>
          <w:rFonts w:cs="Arial"/>
          <w:sz w:val="20"/>
          <w:szCs w:val="20"/>
          <w:lang w:val="ru-RU"/>
        </w:rPr>
        <w:t>банк получает право на все денежные потоки от полученных ценных бумаг либо их значительную часть;</w:t>
      </w:r>
    </w:p>
    <w:p w:rsidR="00971231" w:rsidRPr="00831C92" w:rsidRDefault="00971231" w:rsidP="00FC5D59">
      <w:pPr>
        <w:pStyle w:val="afd"/>
        <w:numPr>
          <w:ilvl w:val="0"/>
          <w:numId w:val="36"/>
        </w:numPr>
        <w:tabs>
          <w:tab w:val="left" w:pos="851"/>
          <w:tab w:val="left" w:pos="11057"/>
        </w:tabs>
        <w:ind w:left="0" w:firstLine="567"/>
        <w:jc w:val="both"/>
        <w:rPr>
          <w:rFonts w:cs="Arial"/>
          <w:sz w:val="20"/>
          <w:szCs w:val="20"/>
          <w:lang w:val="ru-RU"/>
        </w:rPr>
      </w:pPr>
      <w:r w:rsidRPr="00831C92">
        <w:rPr>
          <w:rFonts w:cs="Arial"/>
          <w:sz w:val="20"/>
          <w:szCs w:val="20"/>
          <w:lang w:val="ru-RU"/>
        </w:rPr>
        <w:t>банк несет все риски, связанные с вложениями в ценные бумаги, либо их значительную часть.</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Право собственности на ценную бумагу переходит с момента внесения приходной записи по счету депо банка у депозитария или с момента внесения приходной записи по лицевому счету банка в системе ведения реестра учета прав на ценные бумаги.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В бухгалтерском учете указанные операции отражаются в день получения первичных документов, подтверждающих переход прав на ценную бумагу, либо в день выполнения условий договора (сделки), определяющих переход прав.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Банк осуществляет на фондовом рынке операции РЕПО (покупка с обязательством обратной продажи и продажа с обязательством обратной покупки) без прекращения (осуществления) признания.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Переоценке по определенной банком справедливой стоимости подлежат все ценные бумаги выпуска (эмитента), "оцениваемые по справедливой стоимости через прибыль или убыток" и "имеющиеся в наличии для продажи":</w:t>
      </w:r>
    </w:p>
    <w:p w:rsidR="00971231" w:rsidRPr="00831C92" w:rsidRDefault="00971231" w:rsidP="00FC5D59">
      <w:pPr>
        <w:pStyle w:val="afd"/>
        <w:numPr>
          <w:ilvl w:val="1"/>
          <w:numId w:val="37"/>
        </w:numPr>
        <w:tabs>
          <w:tab w:val="left" w:pos="851"/>
          <w:tab w:val="left" w:pos="11057"/>
        </w:tabs>
        <w:ind w:left="0" w:firstLine="567"/>
        <w:jc w:val="both"/>
        <w:rPr>
          <w:rFonts w:cs="Arial"/>
          <w:sz w:val="20"/>
          <w:szCs w:val="20"/>
          <w:lang w:val="ru-RU"/>
        </w:rPr>
      </w:pPr>
      <w:r w:rsidRPr="00831C92">
        <w:rPr>
          <w:rFonts w:cs="Arial"/>
          <w:sz w:val="20"/>
          <w:szCs w:val="20"/>
          <w:lang w:val="ru-RU"/>
        </w:rPr>
        <w:t xml:space="preserve">в дату приобретения банком ценных бумаг; </w:t>
      </w:r>
    </w:p>
    <w:p w:rsidR="00971231" w:rsidRPr="00831C92" w:rsidRDefault="00971231" w:rsidP="00FC5D59">
      <w:pPr>
        <w:pStyle w:val="afd"/>
        <w:numPr>
          <w:ilvl w:val="1"/>
          <w:numId w:val="37"/>
        </w:numPr>
        <w:tabs>
          <w:tab w:val="left" w:pos="851"/>
          <w:tab w:val="left" w:pos="11057"/>
        </w:tabs>
        <w:ind w:left="0" w:firstLine="567"/>
        <w:jc w:val="both"/>
        <w:rPr>
          <w:rFonts w:cs="Arial"/>
          <w:sz w:val="20"/>
          <w:szCs w:val="20"/>
          <w:lang w:val="ru-RU"/>
        </w:rPr>
      </w:pPr>
      <w:r w:rsidRPr="00831C92">
        <w:rPr>
          <w:rFonts w:cs="Arial"/>
          <w:sz w:val="20"/>
          <w:szCs w:val="20"/>
          <w:lang w:val="ru-RU"/>
        </w:rPr>
        <w:t xml:space="preserve">в последний рабочий день месяца; </w:t>
      </w:r>
    </w:p>
    <w:p w:rsidR="00971231" w:rsidRPr="00831C92" w:rsidRDefault="00971231" w:rsidP="00FC5D59">
      <w:pPr>
        <w:pStyle w:val="afd"/>
        <w:numPr>
          <w:ilvl w:val="1"/>
          <w:numId w:val="37"/>
        </w:numPr>
        <w:tabs>
          <w:tab w:val="left" w:pos="851"/>
          <w:tab w:val="left" w:pos="11057"/>
        </w:tabs>
        <w:ind w:left="0" w:firstLine="567"/>
        <w:jc w:val="both"/>
        <w:rPr>
          <w:rFonts w:cs="Arial"/>
          <w:sz w:val="20"/>
          <w:szCs w:val="20"/>
          <w:lang w:val="ru-RU"/>
        </w:rPr>
      </w:pPr>
      <w:r w:rsidRPr="00831C92">
        <w:rPr>
          <w:rFonts w:cs="Arial"/>
          <w:sz w:val="20"/>
          <w:szCs w:val="20"/>
          <w:lang w:val="ru-RU"/>
        </w:rPr>
        <w:t>при совершении в течение месяца операций с ценными бумагами этого выпуска (эмитента);</w:t>
      </w:r>
    </w:p>
    <w:p w:rsidR="00971231" w:rsidRPr="00831C92" w:rsidRDefault="00971231" w:rsidP="00FC5D59">
      <w:pPr>
        <w:pStyle w:val="afd"/>
        <w:numPr>
          <w:ilvl w:val="1"/>
          <w:numId w:val="37"/>
        </w:numPr>
        <w:tabs>
          <w:tab w:val="left" w:pos="851"/>
          <w:tab w:val="left" w:pos="11057"/>
        </w:tabs>
        <w:ind w:left="0" w:firstLine="567"/>
        <w:jc w:val="both"/>
        <w:rPr>
          <w:rFonts w:cs="Arial"/>
          <w:sz w:val="20"/>
          <w:szCs w:val="20"/>
          <w:lang w:val="ru-RU"/>
        </w:rPr>
      </w:pPr>
      <w:r w:rsidRPr="00831C92">
        <w:rPr>
          <w:rFonts w:cs="Arial"/>
          <w:sz w:val="20"/>
          <w:szCs w:val="20"/>
          <w:lang w:val="ru-RU"/>
        </w:rPr>
        <w:t>в течение месяца в случаях, если имеет место существенное изменение в течение месяца справедливой стоимости ценных бумаг соответствующего выпуска (эмитента).</w:t>
      </w:r>
    </w:p>
    <w:p w:rsidR="00971231" w:rsidRPr="00831C92" w:rsidRDefault="00971231" w:rsidP="00971231">
      <w:pPr>
        <w:pStyle w:val="afd"/>
        <w:tabs>
          <w:tab w:val="left" w:pos="851"/>
          <w:tab w:val="left" w:pos="11057"/>
        </w:tabs>
        <w:ind w:left="0"/>
        <w:jc w:val="both"/>
        <w:rPr>
          <w:rFonts w:cs="Arial"/>
          <w:sz w:val="20"/>
          <w:szCs w:val="20"/>
          <w:lang w:val="ru-RU"/>
        </w:rPr>
      </w:pPr>
      <w:r w:rsidRPr="00831C92">
        <w:rPr>
          <w:rFonts w:cs="Arial"/>
          <w:sz w:val="20"/>
          <w:szCs w:val="20"/>
          <w:lang w:val="ru-RU"/>
        </w:rPr>
        <w:t>Существенным изменением справедливой стоимости ценных бумаг является более 20% отклонение в сторону повышения либо понижения текущей стоимости по отношению к балансовой стоимости этих ценных бумаг. Переоценке подлежит остаток ценных бумаг, сложившийся на конец дня после отражения в учете операций по приобретению и выбытию ценных бумаг.</w:t>
      </w:r>
    </w:p>
    <w:p w:rsidR="00971231" w:rsidRPr="00831C92" w:rsidRDefault="00971231" w:rsidP="00971231">
      <w:pPr>
        <w:tabs>
          <w:tab w:val="left" w:pos="11057"/>
        </w:tabs>
        <w:jc w:val="both"/>
        <w:rPr>
          <w:rFonts w:cs="Arial"/>
          <w:sz w:val="20"/>
          <w:szCs w:val="20"/>
          <w:lang w:val="ru-RU"/>
        </w:rPr>
      </w:pP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Банк оценивает состояние активов (ценных бумаг, инвестиций) на предмет их возможного обесценения, которое может быть обусловлено следующими обстоятельствами: финансовые трудности или банкротство эмитента, нарушение обязательств эмитентом (например, по выплате процентов), прекращение торгов по данным ценным бумагам, существенное снижение котировок по сравнению с общерыночными тенденциями. Для этого создается резерв на возможные потери, который формируется согласно Положению Банка России от 2</w:t>
      </w:r>
      <w:r>
        <w:rPr>
          <w:rFonts w:cs="Arial"/>
          <w:sz w:val="20"/>
          <w:szCs w:val="20"/>
          <w:lang w:val="ru-RU"/>
        </w:rPr>
        <w:t>3</w:t>
      </w:r>
      <w:r w:rsidRPr="00831C92">
        <w:rPr>
          <w:rFonts w:cs="Arial"/>
          <w:sz w:val="20"/>
          <w:szCs w:val="20"/>
          <w:lang w:val="ru-RU"/>
        </w:rPr>
        <w:t xml:space="preserve"> </w:t>
      </w:r>
      <w:r>
        <w:rPr>
          <w:rFonts w:cs="Arial"/>
          <w:sz w:val="20"/>
          <w:szCs w:val="20"/>
          <w:lang w:val="ru-RU"/>
        </w:rPr>
        <w:t>октября</w:t>
      </w:r>
      <w:r w:rsidRPr="00831C92">
        <w:rPr>
          <w:rFonts w:cs="Arial"/>
          <w:sz w:val="20"/>
          <w:szCs w:val="20"/>
          <w:lang w:val="ru-RU"/>
        </w:rPr>
        <w:t xml:space="preserve"> 20</w:t>
      </w:r>
      <w:r>
        <w:rPr>
          <w:rFonts w:cs="Arial"/>
          <w:sz w:val="20"/>
          <w:szCs w:val="20"/>
          <w:lang w:val="ru-RU"/>
        </w:rPr>
        <w:t>17</w:t>
      </w:r>
      <w:r w:rsidRPr="00831C92">
        <w:rPr>
          <w:rFonts w:cs="Arial"/>
          <w:sz w:val="20"/>
          <w:szCs w:val="20"/>
          <w:lang w:val="ru-RU"/>
        </w:rPr>
        <w:t xml:space="preserve"> года № </w:t>
      </w:r>
      <w:r>
        <w:rPr>
          <w:rFonts w:cs="Arial"/>
          <w:sz w:val="20"/>
          <w:szCs w:val="20"/>
          <w:lang w:val="ru-RU"/>
        </w:rPr>
        <w:t>611</w:t>
      </w:r>
      <w:r w:rsidRPr="00831C92">
        <w:rPr>
          <w:rFonts w:cs="Arial"/>
          <w:sz w:val="20"/>
          <w:szCs w:val="20"/>
          <w:lang w:val="ru-RU"/>
        </w:rPr>
        <w:t>-П «О порядке формирования кредитными организациями резервов на возможные потери». Резерв создается в момент возникновения факторов, дающих основание для мотивированного суждения об уровне риска на основе оценки изменения уровня доходности и рыночной стоимости ценной бумаги, произведенной на основе анализа экономической ситуации.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При выбытии (реализации) ценных бумаг порядок списания с балансовых счетов второго порядка ценных бумаг одного выпуска либо ценных бумаг, имеющих один международный идентификационный код ценной бумаги (ISIN), осуществляется по средней стоимости ценных бумаг.</w:t>
      </w:r>
    </w:p>
    <w:p w:rsidR="00971231" w:rsidRDefault="00971231" w:rsidP="00971231">
      <w:pPr>
        <w:tabs>
          <w:tab w:val="left" w:pos="11057"/>
        </w:tabs>
        <w:jc w:val="both"/>
        <w:rPr>
          <w:rFonts w:cs="Arial"/>
          <w:sz w:val="20"/>
          <w:szCs w:val="20"/>
          <w:lang w:val="ru-RU"/>
        </w:rPr>
      </w:pPr>
      <w:r w:rsidRPr="00831C92">
        <w:rPr>
          <w:rFonts w:cs="Arial"/>
          <w:sz w:val="20"/>
          <w:szCs w:val="20"/>
          <w:lang w:val="ru-RU"/>
        </w:rPr>
        <w:t>Собственные акции банка, выкупленные у акционеров, приходуются на баланс по цене приобретения (рыночной стоимости). Учтенные банком векселя (кроме просроченных) отражаются на балансе по покупной стоимости. Просроченные векселя отражаются в сумме, подлежащей оплате (включая просроченные проценты). По учтенным векселям банком создается резерв на возможные потери по ссудам и приравненной к ней задолженности согласно Положения Банка России от 2</w:t>
      </w:r>
      <w:r>
        <w:rPr>
          <w:rFonts w:cs="Arial"/>
          <w:sz w:val="20"/>
          <w:szCs w:val="20"/>
          <w:lang w:val="ru-RU"/>
        </w:rPr>
        <w:t>8</w:t>
      </w:r>
      <w:r w:rsidRPr="00831C92">
        <w:rPr>
          <w:rFonts w:cs="Arial"/>
          <w:sz w:val="20"/>
          <w:szCs w:val="20"/>
          <w:lang w:val="ru-RU"/>
        </w:rPr>
        <w:t xml:space="preserve"> </w:t>
      </w:r>
      <w:r>
        <w:rPr>
          <w:rFonts w:cs="Arial"/>
          <w:sz w:val="20"/>
          <w:szCs w:val="20"/>
          <w:lang w:val="ru-RU"/>
        </w:rPr>
        <w:t>июня</w:t>
      </w:r>
      <w:r w:rsidRPr="00831C92">
        <w:rPr>
          <w:rFonts w:cs="Arial"/>
          <w:sz w:val="20"/>
          <w:szCs w:val="20"/>
          <w:lang w:val="ru-RU"/>
        </w:rPr>
        <w:t xml:space="preserve"> 20</w:t>
      </w:r>
      <w:r>
        <w:rPr>
          <w:rFonts w:cs="Arial"/>
          <w:sz w:val="20"/>
          <w:szCs w:val="20"/>
          <w:lang w:val="ru-RU"/>
        </w:rPr>
        <w:t>17</w:t>
      </w:r>
      <w:r w:rsidRPr="00831C92">
        <w:rPr>
          <w:rFonts w:cs="Arial"/>
          <w:sz w:val="20"/>
          <w:szCs w:val="20"/>
          <w:lang w:val="ru-RU"/>
        </w:rPr>
        <w:t xml:space="preserve"> года №</w:t>
      </w:r>
      <w:r>
        <w:rPr>
          <w:rFonts w:cs="Arial"/>
          <w:sz w:val="20"/>
          <w:szCs w:val="20"/>
          <w:lang w:val="ru-RU"/>
        </w:rPr>
        <w:t xml:space="preserve"> 590</w:t>
      </w:r>
      <w:r w:rsidRPr="00831C92">
        <w:rPr>
          <w:rFonts w:cs="Arial"/>
          <w:sz w:val="20"/>
          <w:szCs w:val="20"/>
          <w:lang w:val="ru-RU"/>
        </w:rPr>
        <w:t>–П «О порядке формирования кредитными организациями резервов на возможные потери. Переоценке в балансе подвергаются ценные бумаги с н</w:t>
      </w:r>
      <w:r w:rsidR="00021BC6">
        <w:rPr>
          <w:rFonts w:cs="Arial"/>
          <w:sz w:val="20"/>
          <w:szCs w:val="20"/>
          <w:lang w:val="ru-RU"/>
        </w:rPr>
        <w:t xml:space="preserve">оминалом в иностранной валюте </w:t>
      </w:r>
      <w:r w:rsidRPr="00831C92">
        <w:rPr>
          <w:rFonts w:cs="Arial"/>
          <w:sz w:val="20"/>
          <w:szCs w:val="20"/>
          <w:lang w:val="ru-RU"/>
        </w:rPr>
        <w:t>по правил</w:t>
      </w:r>
      <w:r w:rsidR="00021BC6">
        <w:rPr>
          <w:rFonts w:cs="Arial"/>
          <w:sz w:val="20"/>
          <w:szCs w:val="20"/>
          <w:lang w:val="ru-RU"/>
        </w:rPr>
        <w:t xml:space="preserve">ам переоценки валютных счетов. </w:t>
      </w:r>
      <w:r w:rsidRPr="00831C92">
        <w:rPr>
          <w:rFonts w:cs="Arial"/>
          <w:sz w:val="20"/>
          <w:szCs w:val="20"/>
          <w:lang w:val="ru-RU"/>
        </w:rPr>
        <w:t xml:space="preserve">Банк не является депозитарием. </w:t>
      </w:r>
    </w:p>
    <w:p w:rsidR="00971231" w:rsidRDefault="00971231" w:rsidP="00971231">
      <w:pPr>
        <w:tabs>
          <w:tab w:val="left" w:pos="11057"/>
        </w:tabs>
        <w:jc w:val="both"/>
        <w:rPr>
          <w:rFonts w:cs="Arial"/>
          <w:sz w:val="20"/>
          <w:szCs w:val="20"/>
          <w:lang w:val="ru-RU"/>
        </w:rPr>
      </w:pPr>
    </w:p>
    <w:p w:rsidR="00971231" w:rsidRPr="00021BC6" w:rsidRDefault="00971231" w:rsidP="00971231">
      <w:pPr>
        <w:pStyle w:val="aff5"/>
        <w:rPr>
          <w:i w:val="0"/>
          <w:sz w:val="20"/>
          <w:szCs w:val="20"/>
        </w:rPr>
      </w:pPr>
      <w:r w:rsidRPr="00021BC6">
        <w:rPr>
          <w:i w:val="0"/>
          <w:sz w:val="20"/>
          <w:szCs w:val="20"/>
        </w:rPr>
        <w:t>Учет операций с иностранной валютой</w:t>
      </w:r>
    </w:p>
    <w:p w:rsidR="00971231" w:rsidRPr="00831C92" w:rsidRDefault="00971231" w:rsidP="00971231">
      <w:pPr>
        <w:jc w:val="both"/>
        <w:rPr>
          <w:rFonts w:cs="Arial"/>
          <w:sz w:val="20"/>
          <w:szCs w:val="20"/>
          <w:lang w:val="ru-RU"/>
        </w:rPr>
      </w:pPr>
      <w:r w:rsidRPr="00831C92">
        <w:rPr>
          <w:rFonts w:cs="Arial"/>
          <w:sz w:val="20"/>
          <w:szCs w:val="20"/>
          <w:lang w:val="ru-RU"/>
        </w:rPr>
        <w:t xml:space="preserve">Счета аналитического учета в иностранной валюте ведутся в рублях по курсу </w:t>
      </w:r>
      <w:r w:rsidR="00021BC6">
        <w:rPr>
          <w:rFonts w:cs="Arial"/>
          <w:sz w:val="20"/>
          <w:szCs w:val="20"/>
          <w:lang w:val="ru-RU"/>
        </w:rPr>
        <w:t>Банка России</w:t>
      </w:r>
      <w:r w:rsidRPr="00831C92">
        <w:rPr>
          <w:rFonts w:cs="Arial"/>
          <w:sz w:val="20"/>
          <w:szCs w:val="20"/>
          <w:lang w:val="ru-RU"/>
        </w:rPr>
        <w:t xml:space="preserve"> и в иностранной валюте. Учет доходов и расходов, полученных в иностранной валюте, ведется только в рублевой оценке. Переоценка средств в иностранной валюте осуществляется при закрытии операционного дня до отражения операций по счетам следующего дня. Переоценке подлежит исходящий остаток на конец дня. Ежедневный Баланс на 1 января составляется исходя из официальных курсов, действующих на 31 декабря.</w:t>
      </w:r>
    </w:p>
    <w:p w:rsidR="00971231" w:rsidRPr="00831C92" w:rsidRDefault="00971231" w:rsidP="00971231">
      <w:pPr>
        <w:jc w:val="both"/>
        <w:rPr>
          <w:rFonts w:cs="Arial"/>
          <w:sz w:val="20"/>
          <w:szCs w:val="20"/>
          <w:lang w:val="ru-RU"/>
        </w:rPr>
      </w:pPr>
    </w:p>
    <w:p w:rsidR="00971231" w:rsidRPr="00021BC6" w:rsidRDefault="00971231" w:rsidP="00971231">
      <w:pPr>
        <w:pStyle w:val="aff5"/>
        <w:rPr>
          <w:i w:val="0"/>
          <w:sz w:val="20"/>
          <w:szCs w:val="20"/>
        </w:rPr>
      </w:pPr>
      <w:r w:rsidRPr="00021BC6">
        <w:rPr>
          <w:i w:val="0"/>
          <w:sz w:val="20"/>
          <w:szCs w:val="20"/>
        </w:rPr>
        <w:t>Учет производных финансовых инструментов</w:t>
      </w:r>
    </w:p>
    <w:p w:rsidR="00971231" w:rsidRPr="00831C92" w:rsidRDefault="00971231" w:rsidP="00971231">
      <w:pPr>
        <w:jc w:val="both"/>
        <w:rPr>
          <w:rFonts w:cs="Arial"/>
          <w:sz w:val="20"/>
          <w:szCs w:val="20"/>
          <w:lang w:val="ru-RU"/>
        </w:rPr>
      </w:pPr>
      <w:r w:rsidRPr="00831C92">
        <w:rPr>
          <w:rFonts w:cs="Arial"/>
          <w:sz w:val="20"/>
          <w:szCs w:val="20"/>
          <w:lang w:val="ru-RU"/>
        </w:rPr>
        <w:t xml:space="preserve">Порядок бухгалтерского учета производных финансовых инструментов (далее – ПФИ), определяемых в соответствии с Федеральным законом от 22 апреля 1996 года  №39–ФЗ «О рынке </w:t>
      </w:r>
      <w:r w:rsidRPr="00831C92">
        <w:rPr>
          <w:rFonts w:cs="Arial"/>
          <w:sz w:val="20"/>
          <w:szCs w:val="20"/>
          <w:lang w:val="ru-RU"/>
        </w:rPr>
        <w:lastRenderedPageBreak/>
        <w:t>ценных бумаг», а так же  договоров купли-продажи иностранной валюты, ценных бумаг, не являющихся производными финансовыми инструментами, предусматривающих обязанность одной стороны передать иностранную валюту, ценные бумаги в собственность другой стороне не ранее третьего рабочего дня после дня заключения договора, обязанность другой стороны принять и оплатить указанное имущество  (далее – сделки подобные ПФИ) определяется в соответствии с Положением Банка России от 04 июля 2011 года №372-П «Положение о порядке бухгалтерского учета производных финансовых инструментов».</w:t>
      </w:r>
    </w:p>
    <w:p w:rsidR="00971231" w:rsidRPr="00831C92" w:rsidRDefault="00971231" w:rsidP="00971231">
      <w:pPr>
        <w:jc w:val="both"/>
        <w:rPr>
          <w:rFonts w:cs="Arial"/>
          <w:sz w:val="20"/>
          <w:szCs w:val="20"/>
          <w:lang w:val="ru-RU"/>
        </w:rPr>
      </w:pPr>
      <w:r w:rsidRPr="00831C92">
        <w:rPr>
          <w:rFonts w:cs="Arial"/>
          <w:sz w:val="20"/>
          <w:szCs w:val="20"/>
          <w:lang w:val="ru-RU"/>
        </w:rPr>
        <w:t xml:space="preserve">С даты первоначального признания ПФИ и сделок подобных ПФИ Банк оценивает по справедливой стоимости. </w:t>
      </w:r>
    </w:p>
    <w:p w:rsidR="00971231" w:rsidRPr="00831C92" w:rsidRDefault="00971231" w:rsidP="00971231">
      <w:pPr>
        <w:jc w:val="both"/>
        <w:rPr>
          <w:rFonts w:cs="Arial"/>
          <w:sz w:val="20"/>
          <w:szCs w:val="20"/>
          <w:lang w:val="ru-RU"/>
        </w:rPr>
      </w:pPr>
      <w:r w:rsidRPr="00831C92">
        <w:rPr>
          <w:rFonts w:cs="Arial"/>
          <w:sz w:val="20"/>
          <w:szCs w:val="20"/>
          <w:lang w:val="ru-RU"/>
        </w:rPr>
        <w:t xml:space="preserve">Изменение справедливой стоимости осуществляется: </w:t>
      </w:r>
    </w:p>
    <w:p w:rsidR="00971231" w:rsidRPr="00831C92" w:rsidRDefault="00971231" w:rsidP="00971231">
      <w:pPr>
        <w:pStyle w:val="afd"/>
        <w:numPr>
          <w:ilvl w:val="0"/>
          <w:numId w:val="13"/>
        </w:numPr>
        <w:tabs>
          <w:tab w:val="left" w:pos="851"/>
        </w:tabs>
        <w:ind w:left="0" w:firstLine="567"/>
        <w:jc w:val="both"/>
        <w:rPr>
          <w:rFonts w:cs="Arial"/>
          <w:sz w:val="20"/>
          <w:szCs w:val="20"/>
          <w:lang w:val="ru-RU"/>
        </w:rPr>
      </w:pPr>
      <w:r w:rsidRPr="00831C92">
        <w:rPr>
          <w:rFonts w:cs="Arial"/>
          <w:sz w:val="20"/>
          <w:szCs w:val="20"/>
          <w:lang w:val="ru-RU"/>
        </w:rPr>
        <w:t xml:space="preserve">в последний рабочий день месяца; </w:t>
      </w:r>
    </w:p>
    <w:p w:rsidR="00971231" w:rsidRPr="00831C92" w:rsidRDefault="00971231" w:rsidP="00971231">
      <w:pPr>
        <w:pStyle w:val="afd"/>
        <w:numPr>
          <w:ilvl w:val="0"/>
          <w:numId w:val="13"/>
        </w:numPr>
        <w:tabs>
          <w:tab w:val="left" w:pos="851"/>
        </w:tabs>
        <w:ind w:left="0" w:firstLine="567"/>
        <w:jc w:val="both"/>
        <w:rPr>
          <w:rFonts w:cs="Arial"/>
          <w:sz w:val="20"/>
          <w:szCs w:val="20"/>
          <w:lang w:val="ru-RU"/>
        </w:rPr>
      </w:pPr>
      <w:r w:rsidRPr="00831C92">
        <w:rPr>
          <w:rFonts w:cs="Arial"/>
          <w:sz w:val="20"/>
          <w:szCs w:val="20"/>
          <w:lang w:val="ru-RU"/>
        </w:rPr>
        <w:t xml:space="preserve">на дату прекращения признания ПФИ, сделок подобных ПФИ; </w:t>
      </w:r>
    </w:p>
    <w:p w:rsidR="00971231" w:rsidRDefault="00971231" w:rsidP="00971231">
      <w:pPr>
        <w:pStyle w:val="afd"/>
        <w:numPr>
          <w:ilvl w:val="0"/>
          <w:numId w:val="13"/>
        </w:numPr>
        <w:tabs>
          <w:tab w:val="left" w:pos="851"/>
        </w:tabs>
        <w:ind w:left="0" w:firstLine="567"/>
        <w:jc w:val="both"/>
        <w:rPr>
          <w:rFonts w:cs="Arial"/>
          <w:sz w:val="20"/>
          <w:szCs w:val="20"/>
          <w:lang w:val="ru-RU"/>
        </w:rPr>
      </w:pPr>
      <w:r w:rsidRPr="00831C92">
        <w:rPr>
          <w:rFonts w:cs="Arial"/>
          <w:sz w:val="20"/>
          <w:szCs w:val="20"/>
          <w:lang w:val="ru-RU"/>
        </w:rPr>
        <w:t>а также на дату возникновения требований и (или) обязательств по уплате в соответствии с договором промежуточных платежей по ПФИ, осуществляемых в течение срока действия договора в счет исполнения обязательств по нему.</w:t>
      </w:r>
    </w:p>
    <w:p w:rsidR="00971231" w:rsidRDefault="00971231" w:rsidP="00971231">
      <w:pPr>
        <w:pStyle w:val="aff5"/>
        <w:rPr>
          <w:i w:val="0"/>
        </w:rPr>
      </w:pPr>
    </w:p>
    <w:p w:rsidR="00971231" w:rsidRPr="00021BC6" w:rsidRDefault="00971231" w:rsidP="00971231">
      <w:pPr>
        <w:pStyle w:val="aff5"/>
        <w:rPr>
          <w:i w:val="0"/>
          <w:sz w:val="20"/>
          <w:szCs w:val="20"/>
        </w:rPr>
      </w:pPr>
      <w:r w:rsidRPr="00021BC6">
        <w:rPr>
          <w:i w:val="0"/>
          <w:sz w:val="20"/>
          <w:szCs w:val="20"/>
        </w:rPr>
        <w:t>Учет основных средств, нематериальных акт</w:t>
      </w:r>
      <w:r w:rsidR="00021BC6">
        <w:rPr>
          <w:i w:val="0"/>
          <w:sz w:val="20"/>
          <w:szCs w:val="20"/>
        </w:rPr>
        <w:t>ивов, запасов методы их оценки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Под основными средствами в целях бухгалтерского учета понимаются объекты, которые:</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имеют материально-вещественную форму;</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предназначены для использования Банком при оказании услуг либо в административных целях;</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предназначены для использования в течение более чем 12 месяцев;</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не предполагают последующей перепродажи Банком;</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соответствуют одновременно следующим условиям:</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объекты способны приносить Банку экономические выгоды в будущем;</w:t>
      </w:r>
    </w:p>
    <w:p w:rsidR="00971231" w:rsidRPr="00831C92" w:rsidRDefault="00971231" w:rsidP="00FC5D59">
      <w:pPr>
        <w:pStyle w:val="afd"/>
        <w:numPr>
          <w:ilvl w:val="0"/>
          <w:numId w:val="30"/>
        </w:numPr>
        <w:tabs>
          <w:tab w:val="left" w:pos="851"/>
          <w:tab w:val="left" w:pos="11057"/>
        </w:tabs>
        <w:ind w:left="0" w:firstLine="567"/>
        <w:jc w:val="both"/>
        <w:rPr>
          <w:rFonts w:cs="Arial"/>
          <w:sz w:val="20"/>
          <w:szCs w:val="20"/>
          <w:lang w:val="ru-RU"/>
        </w:rPr>
      </w:pPr>
      <w:r w:rsidRPr="00831C92">
        <w:rPr>
          <w:rFonts w:cs="Arial"/>
          <w:sz w:val="20"/>
          <w:szCs w:val="20"/>
          <w:lang w:val="ru-RU"/>
        </w:rPr>
        <w:t>первоначальная стоимость объектов может быть надежно определена.</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Основные средства классифицируются Банком по однородным группам:</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Pr>
          <w:rFonts w:cs="Arial"/>
          <w:sz w:val="20"/>
          <w:szCs w:val="20"/>
          <w:lang w:val="ru-RU"/>
        </w:rPr>
        <w:t>земля</w:t>
      </w:r>
      <w:r w:rsidRPr="00831C92">
        <w:rPr>
          <w:rFonts w:cs="Arial"/>
          <w:sz w:val="20"/>
          <w:szCs w:val="20"/>
          <w:lang w:val="ru-RU"/>
        </w:rPr>
        <w:t>;</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sidRPr="00831C92">
        <w:rPr>
          <w:rFonts w:cs="Arial"/>
          <w:sz w:val="20"/>
          <w:szCs w:val="20"/>
          <w:lang w:val="ru-RU"/>
        </w:rPr>
        <w:t>здания;</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sidRPr="00831C92">
        <w:rPr>
          <w:rFonts w:cs="Arial"/>
          <w:sz w:val="20"/>
          <w:szCs w:val="20"/>
          <w:lang w:val="ru-RU"/>
        </w:rPr>
        <w:t>автотранспортные средства;</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sidRPr="00831C92">
        <w:rPr>
          <w:rFonts w:cs="Arial"/>
          <w:sz w:val="20"/>
          <w:szCs w:val="20"/>
          <w:lang w:val="ru-RU"/>
        </w:rPr>
        <w:t>мебель;</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sidRPr="00831C92">
        <w:rPr>
          <w:rFonts w:cs="Arial"/>
          <w:sz w:val="20"/>
          <w:szCs w:val="20"/>
          <w:lang w:val="ru-RU"/>
        </w:rPr>
        <w:t>оборудование;</w:t>
      </w:r>
    </w:p>
    <w:p w:rsidR="00971231" w:rsidRPr="00831C92" w:rsidRDefault="00971231" w:rsidP="00FC5D59">
      <w:pPr>
        <w:pStyle w:val="afd"/>
        <w:numPr>
          <w:ilvl w:val="0"/>
          <w:numId w:val="31"/>
        </w:numPr>
        <w:tabs>
          <w:tab w:val="left" w:pos="851"/>
          <w:tab w:val="left" w:pos="11057"/>
        </w:tabs>
        <w:ind w:left="0" w:firstLine="567"/>
        <w:jc w:val="both"/>
        <w:rPr>
          <w:rFonts w:cs="Arial"/>
          <w:sz w:val="20"/>
          <w:szCs w:val="20"/>
          <w:lang w:val="ru-RU"/>
        </w:rPr>
      </w:pPr>
      <w:r w:rsidRPr="00831C92">
        <w:rPr>
          <w:rFonts w:cs="Arial"/>
          <w:sz w:val="20"/>
          <w:szCs w:val="20"/>
          <w:lang w:val="ru-RU"/>
        </w:rPr>
        <w:t>вычислительная техника.</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Выбранная модель учета основных средств применяется ко всей однородной группе основных средств. Не объединяются в однородные группы, которые Банк учитывает по разным моделям.</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Единицей бухгалтерского учета основных средств является инвентарный объект.</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Минимальный объект учета, подлежащий признанию в качестве инвентарного объекта, исходя из критериев существенности устанавливается в сумме 100 000 рублей без НДС.</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Основные средства амортизируются в течение срока полезного использования. Банком применяется для всех основных средств линейный способ начисления амортизации.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Банк считает, что расчетная ликвидационная стоимость по объекту основного средства стремится к нулю, поэтому является не существенной, и на расчет амортизации не оказывает влияние.</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Признание основных средств происходит в момент готовности к использованию. Первоначальной стоимостью основных средств, приобретенных за плату, признается сумма фактических затрат Банка на сооружение (строительство), создание (изготовление) и приобретение объекта основных средств, с включением налога на добавленную стоимость.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Для последующей оценки основных средств Банк выбрал применительно к группе однородных основных средств:</w:t>
      </w:r>
    </w:p>
    <w:p w:rsidR="00971231" w:rsidRDefault="00971231" w:rsidP="00FC5D59">
      <w:pPr>
        <w:pStyle w:val="afd"/>
        <w:numPr>
          <w:ilvl w:val="0"/>
          <w:numId w:val="32"/>
        </w:numPr>
        <w:tabs>
          <w:tab w:val="left" w:pos="851"/>
          <w:tab w:val="left" w:pos="11057"/>
        </w:tabs>
        <w:ind w:left="0" w:firstLine="567"/>
        <w:jc w:val="both"/>
        <w:rPr>
          <w:rFonts w:cs="Arial"/>
          <w:sz w:val="20"/>
          <w:szCs w:val="20"/>
          <w:lang w:val="ru-RU"/>
        </w:rPr>
      </w:pPr>
      <w:r w:rsidRPr="00831C92">
        <w:rPr>
          <w:rFonts w:cs="Arial"/>
          <w:sz w:val="20"/>
          <w:szCs w:val="20"/>
          <w:lang w:val="ru-RU"/>
        </w:rPr>
        <w:t>здания, модель учета по переоцененной стоимости</w:t>
      </w:r>
      <w:r>
        <w:rPr>
          <w:rFonts w:cs="Arial"/>
          <w:sz w:val="20"/>
          <w:szCs w:val="20"/>
          <w:lang w:val="ru-RU"/>
        </w:rPr>
        <w:t>,</w:t>
      </w:r>
    </w:p>
    <w:p w:rsidR="00971231" w:rsidRPr="00831C92" w:rsidRDefault="00971231" w:rsidP="00FC5D59">
      <w:pPr>
        <w:pStyle w:val="afd"/>
        <w:numPr>
          <w:ilvl w:val="0"/>
          <w:numId w:val="32"/>
        </w:numPr>
        <w:tabs>
          <w:tab w:val="left" w:pos="851"/>
          <w:tab w:val="left" w:pos="11057"/>
        </w:tabs>
        <w:ind w:left="0" w:firstLine="567"/>
        <w:jc w:val="both"/>
        <w:rPr>
          <w:rFonts w:cs="Arial"/>
          <w:sz w:val="20"/>
          <w:szCs w:val="20"/>
          <w:lang w:val="ru-RU"/>
        </w:rPr>
      </w:pPr>
      <w:r>
        <w:rPr>
          <w:rFonts w:cs="Arial"/>
          <w:sz w:val="20"/>
          <w:szCs w:val="20"/>
          <w:lang w:val="ru-RU"/>
        </w:rPr>
        <w:t>Земля, модель учета по переоцененной стоимости.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Остальные группы основных средств учитываются по первоначальной стоимости за вычетом накопленной амортизации и накопленных убытков от обесценения.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Переоценка группы однородных основных средств осуществляется на конец отчетного года</w:t>
      </w:r>
      <w:r>
        <w:rPr>
          <w:rFonts w:cs="Arial"/>
          <w:sz w:val="20"/>
          <w:szCs w:val="20"/>
          <w:lang w:val="ru-RU"/>
        </w:rPr>
        <w:t xml:space="preserve">, либо  по решению уполномоченного органа </w:t>
      </w:r>
      <w:r w:rsidRPr="00831C92">
        <w:rPr>
          <w:rFonts w:cs="Arial"/>
          <w:sz w:val="20"/>
          <w:szCs w:val="20"/>
          <w:lang w:val="ru-RU"/>
        </w:rPr>
        <w:t>.</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Результаты переоценки отражаются в балансе не позднее последнего рабочего дня отчетного года либо оборотами событий после отчетной даты (СПОД), не позднее последнего рабочего дня первого квартала года, следующего за отчетным, </w:t>
      </w:r>
      <w:r>
        <w:rPr>
          <w:rFonts w:cs="Arial"/>
          <w:sz w:val="20"/>
          <w:szCs w:val="20"/>
          <w:lang w:val="ru-RU"/>
        </w:rPr>
        <w:t xml:space="preserve">либо в дату по решению уполномоченного органа, </w:t>
      </w:r>
      <w:r w:rsidRPr="00831C92">
        <w:rPr>
          <w:rFonts w:cs="Arial"/>
          <w:sz w:val="20"/>
          <w:szCs w:val="20"/>
          <w:lang w:val="ru-RU"/>
        </w:rPr>
        <w:t>дата отражения результатов переоценки утверждается ежегодно распоряжением Банка. Переоценка основных средств отражается способом пропорционального пересчета стоимости объекта отраженной на балансовом счете по учету основных средств на дату переоценки, а также накопленной по объекту амортизации с применением коэффициента пересчета, полученного путем деления справедливой стоимости объекта на его стоимость, отраженную на балансовом счете по учету основных средств на дату переоценки, за вычетом накопленной по объекту на ту же дату амортизации.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lastRenderedPageBreak/>
        <w:t>Вся сумма прироста стоимости при переоценке за вычетом относящегося к объекту основных средств остатка на счете по учету уменьшения добавочного капитала на отложенный налог на прибыль, единовременно переносится непосредственно на нераспределенную прибыль Банка при выбытии или продаже объекта основных средств.</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Объекты основных средств, независимо от выбранной модели учета, подлежат проверке на обесценение на конец каждого отчетного года, а также при наступлении событий, существенно влияющих на оценку их стоимости. Убытки от обесценения объектов основных средств подлежат признанию на момент их выявления.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Нематериальным активом признается объект, одновременно удовлетворяющий следующим условиям:</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объект способен приносить банку экономические выгоды в будущем, в частности, объект предназначен для использования кредитной организацией при выполнении работ, оказании услуг либо для управленческих нужд;</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банк имеет право на получение экономических выгод от использования объекта в будущем; оно может быть удостоверено наличием надлежаще оформленных документов, подтверждающих существование самого актива и права банка на результаты интеллектуальной деятельности или приравненные к ним средства индивидуализации (далее — средства индивидуализации);</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есть ограничения доступа иных лиц к экономическим выгодам от использования объекта (Банк имеет контроль над объектом);</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объект может быть идентифицирован (возможно его выделение или отделение от других активов);</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объект предназначен для использования в течение более чем 12 месяцев;</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банк не предполагает продажи объекта в течение 12 месяцев;</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объект не имеет материально-вещественной формы;</w:t>
      </w:r>
    </w:p>
    <w:p w:rsidR="00971231" w:rsidRPr="00831C92" w:rsidRDefault="00971231" w:rsidP="00FC5D59">
      <w:pPr>
        <w:pStyle w:val="afd"/>
        <w:numPr>
          <w:ilvl w:val="0"/>
          <w:numId w:val="47"/>
        </w:numPr>
        <w:tabs>
          <w:tab w:val="left" w:pos="851"/>
          <w:tab w:val="left" w:pos="11057"/>
        </w:tabs>
        <w:ind w:left="0" w:firstLine="567"/>
        <w:jc w:val="both"/>
        <w:rPr>
          <w:rFonts w:cs="Arial"/>
          <w:sz w:val="20"/>
          <w:szCs w:val="20"/>
          <w:lang w:val="ru-RU"/>
        </w:rPr>
      </w:pPr>
      <w:r w:rsidRPr="00831C92">
        <w:rPr>
          <w:rFonts w:cs="Arial"/>
          <w:sz w:val="20"/>
          <w:szCs w:val="20"/>
          <w:lang w:val="ru-RU"/>
        </w:rPr>
        <w:t>первоначальная стоимость объекта может быть надежно определена.</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При выполнении вышеперечисленных условий к нематериальным активам относятся, компьютерное программное обеспечение, изобретения, полезные модели, секреты производства (ноу-хау), знаки обслуживания, лицензии, авторские права и др.</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Единицей бухгалтерского учета нематериальных активов является инвентарный объект.</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В состав однородной группы включаются схожие по характеру и использованию нематериальные активы.</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К однородным группам нематериальных активов, относиться:</w:t>
      </w:r>
    </w:p>
    <w:p w:rsidR="00971231" w:rsidRPr="00831C92" w:rsidRDefault="00971231" w:rsidP="00FC5D59">
      <w:pPr>
        <w:pStyle w:val="afd"/>
        <w:numPr>
          <w:ilvl w:val="0"/>
          <w:numId w:val="33"/>
        </w:numPr>
        <w:tabs>
          <w:tab w:val="left" w:pos="851"/>
          <w:tab w:val="left" w:pos="11057"/>
        </w:tabs>
        <w:ind w:left="0" w:firstLine="567"/>
        <w:jc w:val="both"/>
        <w:rPr>
          <w:rFonts w:cs="Arial"/>
          <w:sz w:val="20"/>
          <w:szCs w:val="20"/>
          <w:lang w:val="ru-RU"/>
        </w:rPr>
      </w:pPr>
      <w:r w:rsidRPr="00831C92">
        <w:rPr>
          <w:rFonts w:cs="Arial"/>
          <w:sz w:val="20"/>
          <w:szCs w:val="20"/>
          <w:lang w:val="ru-RU"/>
        </w:rPr>
        <w:t>компьютерное программное обеспечение;</w:t>
      </w:r>
    </w:p>
    <w:p w:rsidR="00971231" w:rsidRPr="00831C92" w:rsidRDefault="00971231" w:rsidP="00FC5D59">
      <w:pPr>
        <w:pStyle w:val="afd"/>
        <w:numPr>
          <w:ilvl w:val="0"/>
          <w:numId w:val="33"/>
        </w:numPr>
        <w:tabs>
          <w:tab w:val="left" w:pos="851"/>
          <w:tab w:val="left" w:pos="11057"/>
        </w:tabs>
        <w:ind w:left="0" w:firstLine="567"/>
        <w:jc w:val="both"/>
        <w:rPr>
          <w:rFonts w:cs="Arial"/>
          <w:sz w:val="20"/>
          <w:szCs w:val="20"/>
          <w:lang w:val="ru-RU"/>
        </w:rPr>
      </w:pPr>
      <w:r w:rsidRPr="00831C92">
        <w:rPr>
          <w:rFonts w:cs="Arial"/>
          <w:sz w:val="20"/>
          <w:szCs w:val="20"/>
          <w:lang w:val="ru-RU"/>
        </w:rPr>
        <w:t>авторские права;</w:t>
      </w:r>
    </w:p>
    <w:p w:rsidR="00971231" w:rsidRPr="00831C92" w:rsidRDefault="00971231" w:rsidP="00FC5D59">
      <w:pPr>
        <w:pStyle w:val="afd"/>
        <w:numPr>
          <w:ilvl w:val="0"/>
          <w:numId w:val="33"/>
        </w:numPr>
        <w:tabs>
          <w:tab w:val="left" w:pos="851"/>
          <w:tab w:val="left" w:pos="11057"/>
        </w:tabs>
        <w:ind w:left="0" w:firstLine="567"/>
        <w:jc w:val="both"/>
        <w:rPr>
          <w:rFonts w:cs="Arial"/>
          <w:sz w:val="20"/>
          <w:szCs w:val="20"/>
          <w:lang w:val="ru-RU"/>
        </w:rPr>
      </w:pPr>
      <w:r w:rsidRPr="00831C92">
        <w:rPr>
          <w:rFonts w:cs="Arial"/>
          <w:sz w:val="20"/>
          <w:szCs w:val="20"/>
          <w:lang w:val="ru-RU"/>
        </w:rPr>
        <w:t>патенты,</w:t>
      </w:r>
    </w:p>
    <w:p w:rsidR="00971231" w:rsidRPr="00831C92" w:rsidRDefault="00971231" w:rsidP="00FC5D59">
      <w:pPr>
        <w:pStyle w:val="afd"/>
        <w:numPr>
          <w:ilvl w:val="0"/>
          <w:numId w:val="33"/>
        </w:numPr>
        <w:tabs>
          <w:tab w:val="left" w:pos="851"/>
          <w:tab w:val="left" w:pos="11057"/>
        </w:tabs>
        <w:ind w:left="0" w:firstLine="567"/>
        <w:jc w:val="both"/>
        <w:rPr>
          <w:rFonts w:cs="Arial"/>
          <w:sz w:val="20"/>
          <w:szCs w:val="20"/>
          <w:lang w:val="ru-RU"/>
        </w:rPr>
      </w:pPr>
      <w:r w:rsidRPr="00831C92">
        <w:rPr>
          <w:rFonts w:cs="Arial"/>
          <w:sz w:val="20"/>
          <w:szCs w:val="20"/>
          <w:lang w:val="ru-RU"/>
        </w:rPr>
        <w:t>товарные знаки.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Выбранная модель учета нематериальных активов применяется ко всей однородной группе нематериальных активов.</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Нематериальный актив принимается к бухгалтерскому учету по первоначальной стоимости, определенной по состоянию на дату его признания.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Все нематериальные активы учитываются по первоначальной стоимости за вычетом накопленной амортизации и накопленных убытков от обесценения.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Нематериальные активы, подлежат проверке на обесценение на конец каждого отчетного года.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Убытки от обесценения нематериальных активов подлежат признанию на момент их выявления.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Стоимость нематериальных активов с определенным сроком полезного использования погашается посредством начисления амортизации в течение срока их полезного использования.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По нематериальным активам с неопределенным сроком полезного использования амортизация не начисляется.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Определение ежемесячной суммы амортизационных отчислений по нематериальному активу производится линейным способом.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Запасы — это активы:</w:t>
      </w:r>
    </w:p>
    <w:p w:rsidR="00971231" w:rsidRPr="00831C92" w:rsidRDefault="00971231" w:rsidP="00FC5D59">
      <w:pPr>
        <w:pStyle w:val="afd"/>
        <w:numPr>
          <w:ilvl w:val="0"/>
          <w:numId w:val="34"/>
        </w:numPr>
        <w:tabs>
          <w:tab w:val="left" w:pos="851"/>
          <w:tab w:val="left" w:pos="11057"/>
        </w:tabs>
        <w:ind w:left="0" w:firstLine="567"/>
        <w:jc w:val="both"/>
        <w:rPr>
          <w:rFonts w:cs="Arial"/>
          <w:sz w:val="20"/>
          <w:szCs w:val="20"/>
          <w:lang w:val="ru-RU"/>
        </w:rPr>
      </w:pPr>
      <w:r w:rsidRPr="00831C92">
        <w:rPr>
          <w:rFonts w:cs="Arial"/>
          <w:sz w:val="20"/>
          <w:szCs w:val="20"/>
          <w:lang w:val="ru-RU"/>
        </w:rPr>
        <w:t>запасные части, комплектующие изделия, предназначенные для проведения ремонта, замены изношенных частей оборудования;</w:t>
      </w:r>
    </w:p>
    <w:p w:rsidR="00971231" w:rsidRPr="00831C92" w:rsidRDefault="00971231" w:rsidP="00FC5D59">
      <w:pPr>
        <w:pStyle w:val="afd"/>
        <w:numPr>
          <w:ilvl w:val="0"/>
          <w:numId w:val="34"/>
        </w:numPr>
        <w:tabs>
          <w:tab w:val="left" w:pos="851"/>
          <w:tab w:val="left" w:pos="11057"/>
        </w:tabs>
        <w:ind w:left="0" w:firstLine="567"/>
        <w:jc w:val="both"/>
        <w:rPr>
          <w:rFonts w:cs="Arial"/>
          <w:sz w:val="20"/>
          <w:szCs w:val="20"/>
          <w:lang w:val="ru-RU"/>
        </w:rPr>
      </w:pPr>
      <w:r w:rsidRPr="00831C92">
        <w:rPr>
          <w:rFonts w:cs="Arial"/>
          <w:sz w:val="20"/>
          <w:szCs w:val="20"/>
          <w:lang w:val="ru-RU"/>
        </w:rPr>
        <w:t xml:space="preserve">находящиеся в виде сырья или материалов, однократно используемых (потребляемых) для проведения работ, оказания услуг, в хозяйственных нуждах и в административных целях; </w:t>
      </w:r>
    </w:p>
    <w:p w:rsidR="00971231" w:rsidRPr="00831C92" w:rsidRDefault="00971231" w:rsidP="00FC5D59">
      <w:pPr>
        <w:pStyle w:val="afd"/>
        <w:numPr>
          <w:ilvl w:val="0"/>
          <w:numId w:val="34"/>
        </w:numPr>
        <w:tabs>
          <w:tab w:val="left" w:pos="851"/>
          <w:tab w:val="left" w:pos="11057"/>
        </w:tabs>
        <w:ind w:left="0" w:firstLine="567"/>
        <w:jc w:val="both"/>
        <w:rPr>
          <w:rFonts w:cs="Arial"/>
          <w:sz w:val="20"/>
          <w:szCs w:val="20"/>
          <w:lang w:val="ru-RU"/>
        </w:rPr>
      </w:pPr>
      <w:r w:rsidRPr="00831C92">
        <w:rPr>
          <w:rFonts w:cs="Arial"/>
          <w:sz w:val="20"/>
          <w:szCs w:val="20"/>
          <w:lang w:val="ru-RU"/>
        </w:rPr>
        <w:t>инвентарь и принадлежности;</w:t>
      </w:r>
    </w:p>
    <w:p w:rsidR="00971231" w:rsidRPr="00831C92" w:rsidRDefault="00971231" w:rsidP="00FC5D59">
      <w:pPr>
        <w:pStyle w:val="afd"/>
        <w:numPr>
          <w:ilvl w:val="0"/>
          <w:numId w:val="34"/>
        </w:numPr>
        <w:tabs>
          <w:tab w:val="left" w:pos="851"/>
          <w:tab w:val="left" w:pos="11057"/>
        </w:tabs>
        <w:ind w:left="0" w:firstLine="567"/>
        <w:jc w:val="both"/>
        <w:rPr>
          <w:rFonts w:cs="Arial"/>
          <w:sz w:val="20"/>
          <w:szCs w:val="20"/>
          <w:lang w:val="ru-RU"/>
        </w:rPr>
      </w:pPr>
      <w:r w:rsidRPr="00831C92">
        <w:rPr>
          <w:rFonts w:cs="Arial"/>
          <w:sz w:val="20"/>
          <w:szCs w:val="20"/>
          <w:lang w:val="ru-RU"/>
        </w:rPr>
        <w:t>издания;</w:t>
      </w:r>
    </w:p>
    <w:p w:rsidR="00971231" w:rsidRPr="00831C92" w:rsidRDefault="00971231" w:rsidP="00FC5D59">
      <w:pPr>
        <w:pStyle w:val="afd"/>
        <w:numPr>
          <w:ilvl w:val="0"/>
          <w:numId w:val="34"/>
        </w:numPr>
        <w:tabs>
          <w:tab w:val="left" w:pos="851"/>
          <w:tab w:val="left" w:pos="11057"/>
        </w:tabs>
        <w:ind w:left="0" w:firstLine="567"/>
        <w:jc w:val="both"/>
        <w:rPr>
          <w:rFonts w:cs="Arial"/>
          <w:sz w:val="20"/>
          <w:szCs w:val="20"/>
          <w:lang w:val="ru-RU"/>
        </w:rPr>
      </w:pPr>
      <w:r w:rsidRPr="00831C92">
        <w:rPr>
          <w:rFonts w:cs="Arial"/>
          <w:sz w:val="20"/>
          <w:szCs w:val="20"/>
          <w:lang w:val="ru-RU"/>
        </w:rPr>
        <w:t>материалы, предназначенные для сооружения, создания и восстановления основных средств и недвижимости, временно не используемой в основной деятельности.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Запасами признаются объекты, не отвечающие критериям признания объектов основных средств, определенным в Положении № 448-П, а также Учетной </w:t>
      </w:r>
      <w:r w:rsidR="00021BC6">
        <w:rPr>
          <w:rFonts w:cs="Arial"/>
          <w:sz w:val="20"/>
          <w:szCs w:val="20"/>
          <w:lang w:val="ru-RU"/>
        </w:rPr>
        <w:t>П</w:t>
      </w:r>
      <w:r w:rsidRPr="00831C92">
        <w:rPr>
          <w:rFonts w:cs="Arial"/>
          <w:sz w:val="20"/>
          <w:szCs w:val="20"/>
          <w:lang w:val="ru-RU"/>
        </w:rPr>
        <w:t xml:space="preserve">олитикой </w:t>
      </w:r>
      <w:r w:rsidR="00021BC6">
        <w:rPr>
          <w:rFonts w:cs="Arial"/>
          <w:sz w:val="20"/>
          <w:szCs w:val="20"/>
          <w:lang w:val="ru-RU"/>
        </w:rPr>
        <w:t>Б</w:t>
      </w:r>
      <w:r w:rsidRPr="00831C92">
        <w:rPr>
          <w:rFonts w:cs="Arial"/>
          <w:sz w:val="20"/>
          <w:szCs w:val="20"/>
          <w:lang w:val="ru-RU"/>
        </w:rPr>
        <w:t>анка.</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Единицей бухгалтерского учета является:</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t>отдельный объект, исчисляемый в штуках;</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lastRenderedPageBreak/>
        <w:t>пачках (стандартная упаковка) однородных запасов, исчисляемая в штуках;</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t>объемная единица в литрах;</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t>весовая единица в килограммах;</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t>единица длины в метрах;</w:t>
      </w:r>
    </w:p>
    <w:p w:rsidR="00971231" w:rsidRPr="00831C92" w:rsidRDefault="00971231" w:rsidP="00FC5D59">
      <w:pPr>
        <w:pStyle w:val="afd"/>
        <w:numPr>
          <w:ilvl w:val="0"/>
          <w:numId w:val="35"/>
        </w:numPr>
        <w:tabs>
          <w:tab w:val="left" w:pos="851"/>
          <w:tab w:val="left" w:pos="11057"/>
        </w:tabs>
        <w:ind w:left="0" w:firstLine="567"/>
        <w:jc w:val="both"/>
        <w:rPr>
          <w:rFonts w:cs="Arial"/>
          <w:sz w:val="20"/>
          <w:szCs w:val="20"/>
          <w:lang w:val="ru-RU"/>
        </w:rPr>
      </w:pPr>
      <w:r w:rsidRPr="00831C92">
        <w:rPr>
          <w:rFonts w:cs="Arial"/>
          <w:sz w:val="20"/>
          <w:szCs w:val="20"/>
          <w:lang w:val="ru-RU"/>
        </w:rPr>
        <w:t>единица площади в квадратных метрах.</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Запасы признаются в момент перехода к банку экономических рисков и выгод, связанных с использованием запасов для извлечения дохода. В большинстве случаев переход указанных рисков и выгод происходит одновременно с получением </w:t>
      </w:r>
      <w:r w:rsidR="00021BC6">
        <w:rPr>
          <w:rFonts w:cs="Arial"/>
          <w:sz w:val="20"/>
          <w:szCs w:val="20"/>
          <w:lang w:val="ru-RU"/>
        </w:rPr>
        <w:t>Б</w:t>
      </w:r>
      <w:r w:rsidRPr="00831C92">
        <w:rPr>
          <w:rFonts w:cs="Arial"/>
          <w:sz w:val="20"/>
          <w:szCs w:val="20"/>
          <w:lang w:val="ru-RU"/>
        </w:rPr>
        <w:t>анком права собственности на запасы или с их фактическим получением.</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Фактическими затратами запасов, приобретенных за плату, признается сумма фактических затрат Банка на приобретение, за исключением налога на добавленную стоимость.</w:t>
      </w:r>
    </w:p>
    <w:p w:rsidR="00971231" w:rsidRDefault="00971231" w:rsidP="00971231">
      <w:pPr>
        <w:tabs>
          <w:tab w:val="left" w:pos="11057"/>
        </w:tabs>
        <w:jc w:val="both"/>
        <w:rPr>
          <w:rFonts w:cs="Arial"/>
          <w:sz w:val="20"/>
          <w:szCs w:val="20"/>
          <w:lang w:val="ru-RU"/>
        </w:rPr>
      </w:pPr>
      <w:r w:rsidRPr="00831C92">
        <w:rPr>
          <w:rFonts w:cs="Arial"/>
          <w:sz w:val="20"/>
          <w:szCs w:val="20"/>
          <w:lang w:val="ru-RU"/>
        </w:rPr>
        <w:t>Запасы оцениваются по стоимости каждой единицы, в том случае, когда запасы представляют собой множество взаимозаменяемых (однородных) единиц, Банк осуществляет их оценку по средневзвешенной стоимости.</w:t>
      </w:r>
    </w:p>
    <w:p w:rsidR="00971231" w:rsidRPr="002B1236" w:rsidRDefault="00971231" w:rsidP="00971231">
      <w:pPr>
        <w:tabs>
          <w:tab w:val="left" w:pos="11057"/>
        </w:tabs>
        <w:jc w:val="both"/>
        <w:rPr>
          <w:rFonts w:cs="Arial"/>
          <w:sz w:val="20"/>
          <w:szCs w:val="20"/>
          <w:lang w:val="ru-RU"/>
        </w:rPr>
      </w:pPr>
    </w:p>
    <w:p w:rsidR="00971231" w:rsidRPr="00021BC6" w:rsidRDefault="00971231" w:rsidP="00971231">
      <w:pPr>
        <w:pStyle w:val="aff5"/>
        <w:rPr>
          <w:i w:val="0"/>
          <w:sz w:val="20"/>
          <w:szCs w:val="20"/>
        </w:rPr>
      </w:pPr>
      <w:r w:rsidRPr="00021BC6">
        <w:rPr>
          <w:i w:val="0"/>
          <w:sz w:val="20"/>
          <w:szCs w:val="20"/>
        </w:rPr>
        <w:t>Учет недвижимости, временно неиспользуемой в основной деятельности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В качестве объектов недвижимости, временно неиспользуемой в основной деятельности, Банк классифицирует объекты, отвечающие условиям:</w:t>
      </w:r>
    </w:p>
    <w:p w:rsidR="00971231" w:rsidRPr="00831C92" w:rsidRDefault="00971231" w:rsidP="00FC5D59">
      <w:pPr>
        <w:pStyle w:val="afd"/>
        <w:numPr>
          <w:ilvl w:val="0"/>
          <w:numId w:val="29"/>
        </w:numPr>
        <w:tabs>
          <w:tab w:val="left" w:pos="851"/>
          <w:tab w:val="left" w:pos="11057"/>
        </w:tabs>
        <w:ind w:left="0" w:firstLine="567"/>
        <w:jc w:val="both"/>
        <w:rPr>
          <w:rFonts w:cs="Arial"/>
          <w:sz w:val="20"/>
          <w:szCs w:val="20"/>
          <w:lang w:val="ru-RU"/>
        </w:rPr>
      </w:pPr>
      <w:r w:rsidRPr="00831C92">
        <w:rPr>
          <w:rFonts w:cs="Arial"/>
          <w:sz w:val="20"/>
          <w:szCs w:val="20"/>
          <w:lang w:val="ru-RU"/>
        </w:rPr>
        <w:t>объект принадлежит Банку на праве собственности;</w:t>
      </w:r>
    </w:p>
    <w:p w:rsidR="00971231" w:rsidRPr="00831C92" w:rsidRDefault="00971231" w:rsidP="00FC5D59">
      <w:pPr>
        <w:pStyle w:val="afd"/>
        <w:numPr>
          <w:ilvl w:val="0"/>
          <w:numId w:val="29"/>
        </w:numPr>
        <w:tabs>
          <w:tab w:val="left" w:pos="851"/>
          <w:tab w:val="left" w:pos="11057"/>
        </w:tabs>
        <w:ind w:left="0" w:firstLine="567"/>
        <w:jc w:val="both"/>
        <w:rPr>
          <w:rFonts w:cs="Arial"/>
          <w:sz w:val="20"/>
          <w:szCs w:val="20"/>
          <w:lang w:val="ru-RU"/>
        </w:rPr>
      </w:pPr>
      <w:r w:rsidRPr="00831C92">
        <w:rPr>
          <w:rFonts w:cs="Arial"/>
          <w:sz w:val="20"/>
          <w:szCs w:val="20"/>
          <w:lang w:val="ru-RU"/>
        </w:rPr>
        <w:t>объектом является земля, здание (часть здания), здание вместе с земельным участком;</w:t>
      </w:r>
    </w:p>
    <w:p w:rsidR="00971231" w:rsidRPr="00831C92" w:rsidRDefault="00971231" w:rsidP="00FC5D59">
      <w:pPr>
        <w:pStyle w:val="afd"/>
        <w:numPr>
          <w:ilvl w:val="0"/>
          <w:numId w:val="29"/>
        </w:numPr>
        <w:tabs>
          <w:tab w:val="left" w:pos="851"/>
          <w:tab w:val="left" w:pos="11057"/>
        </w:tabs>
        <w:ind w:left="0" w:firstLine="567"/>
        <w:jc w:val="both"/>
        <w:rPr>
          <w:rFonts w:cs="Arial"/>
          <w:sz w:val="20"/>
          <w:szCs w:val="20"/>
          <w:lang w:val="ru-RU"/>
        </w:rPr>
      </w:pPr>
      <w:r w:rsidRPr="00831C92">
        <w:rPr>
          <w:rFonts w:cs="Arial"/>
          <w:sz w:val="20"/>
          <w:szCs w:val="20"/>
          <w:lang w:val="ru-RU"/>
        </w:rPr>
        <w:t>объект предназначен для получения арендных платежей (за исключением финансовой аренды (лизинга)) и /или доходов от прироста стоимости;</w:t>
      </w:r>
    </w:p>
    <w:p w:rsidR="00971231" w:rsidRPr="00831C92" w:rsidRDefault="00971231" w:rsidP="00FC5D59">
      <w:pPr>
        <w:pStyle w:val="afd"/>
        <w:numPr>
          <w:ilvl w:val="0"/>
          <w:numId w:val="29"/>
        </w:numPr>
        <w:tabs>
          <w:tab w:val="left" w:pos="851"/>
          <w:tab w:val="left" w:pos="11057"/>
        </w:tabs>
        <w:ind w:left="0" w:firstLine="567"/>
        <w:jc w:val="both"/>
        <w:rPr>
          <w:rFonts w:cs="Arial"/>
          <w:sz w:val="20"/>
          <w:szCs w:val="20"/>
          <w:lang w:val="ru-RU"/>
        </w:rPr>
      </w:pPr>
      <w:r w:rsidRPr="00831C92">
        <w:rPr>
          <w:rFonts w:cs="Arial"/>
          <w:sz w:val="20"/>
          <w:szCs w:val="20"/>
          <w:lang w:val="ru-RU"/>
        </w:rPr>
        <w:t>объект не предназначен для использования в качестве средств труда для оказания услуг, управления Банка, а также в случаях, санитарно-гигиеническими, технико-эксплуатационными и другими специальными техническими нормами и требованиями.</w:t>
      </w:r>
    </w:p>
    <w:p w:rsidR="00971231" w:rsidRPr="00831C92" w:rsidRDefault="00971231" w:rsidP="00FC5D59">
      <w:pPr>
        <w:pStyle w:val="afd"/>
        <w:numPr>
          <w:ilvl w:val="0"/>
          <w:numId w:val="29"/>
        </w:numPr>
        <w:tabs>
          <w:tab w:val="left" w:pos="851"/>
          <w:tab w:val="left" w:pos="11057"/>
        </w:tabs>
        <w:ind w:left="0" w:firstLine="567"/>
        <w:jc w:val="both"/>
        <w:rPr>
          <w:rFonts w:cs="Arial"/>
          <w:sz w:val="20"/>
          <w:szCs w:val="20"/>
          <w:lang w:val="ru-RU"/>
        </w:rPr>
      </w:pPr>
      <w:r w:rsidRPr="00831C92">
        <w:rPr>
          <w:rFonts w:cs="Arial"/>
          <w:sz w:val="20"/>
          <w:szCs w:val="20"/>
          <w:lang w:val="ru-RU"/>
        </w:rPr>
        <w:t xml:space="preserve">реализация объекта не планируется в течение 12 месяцев с даты классификации в качестве недвижимости, временно неиспользуемой в основной деятельности.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Для вынесения профессионального суждения по отнесению объекта недвижимости к временно неиспользуемой в основной деятельности к банковской деятельности или к недвижимости, используемой для получения арендных платежей Банк использует следующие критерии:</w:t>
      </w:r>
    </w:p>
    <w:p w:rsidR="00971231" w:rsidRPr="00831C92" w:rsidRDefault="00971231" w:rsidP="00971231">
      <w:pPr>
        <w:pStyle w:val="afd"/>
        <w:numPr>
          <w:ilvl w:val="0"/>
          <w:numId w:val="12"/>
        </w:numPr>
        <w:tabs>
          <w:tab w:val="left" w:pos="851"/>
          <w:tab w:val="left" w:pos="11057"/>
        </w:tabs>
        <w:ind w:left="0" w:firstLine="567"/>
        <w:jc w:val="both"/>
        <w:rPr>
          <w:rFonts w:cs="Arial"/>
          <w:sz w:val="20"/>
          <w:szCs w:val="20"/>
          <w:lang w:val="ru-RU"/>
        </w:rPr>
      </w:pPr>
      <w:r w:rsidRPr="00831C92">
        <w:rPr>
          <w:rFonts w:cs="Arial"/>
          <w:sz w:val="20"/>
          <w:szCs w:val="20"/>
          <w:lang w:val="ru-RU"/>
        </w:rPr>
        <w:t>неделимости объекта;</w:t>
      </w:r>
    </w:p>
    <w:p w:rsidR="00971231" w:rsidRPr="00831C92" w:rsidRDefault="00971231" w:rsidP="00971231">
      <w:pPr>
        <w:pStyle w:val="afd"/>
        <w:numPr>
          <w:ilvl w:val="0"/>
          <w:numId w:val="12"/>
        </w:numPr>
        <w:tabs>
          <w:tab w:val="left" w:pos="851"/>
          <w:tab w:val="left" w:pos="11057"/>
        </w:tabs>
        <w:ind w:left="0" w:firstLine="567"/>
        <w:jc w:val="both"/>
        <w:rPr>
          <w:rFonts w:cs="Arial"/>
          <w:sz w:val="20"/>
          <w:szCs w:val="20"/>
          <w:lang w:val="ru-RU"/>
        </w:rPr>
      </w:pPr>
      <w:r w:rsidRPr="00831C92">
        <w:rPr>
          <w:rFonts w:cs="Arial"/>
          <w:sz w:val="20"/>
          <w:szCs w:val="20"/>
          <w:lang w:val="ru-RU"/>
        </w:rPr>
        <w:t>незначительности использования для оказания услуг управления Банком.</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Критерий существенности для недвижимости, временно неиспользуемой в основной деятельности устанавливается по соотношению полезной площади к осуществляемой деятельности на ней, если полезной площади на которой ведется банковская деятельность менее 50% от общей полезной площади, то объект  признается недвижимостью, временно неиспользуемой в основной деятельности  переданной в аренду, если занимаемые площади для осуществления банковской деятельности составляют более 50%, то такой объект недвижимости признается основным средством, используемым в банковской деятельности.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Минимальный объект учета, подлежащий признанию в качестве инвентарного объекта, исходя из критериев существенности устанавливается в сумме 100 000 рублей без НДС.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Недвижимость, временно неиспользуемая в основной деятельности, учитывается по первоначальной стоимости, за вычетом накопленной амортизации и накопленных убытков от обесценения.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Оценка объекта НВНОД, полученного по договорам отступного, залога, назначение которого не определено, осуществляется по первоначальной стоимости объектов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Стоимость объектов недвижимости, временно не используемой в основной деятельности, погашается посредством начисления амортизации.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Амортизируемая величина определяется как первоначальная стоимость объектов недвижимости, временно не используемой в основной деятельности, за вычетом расчетной ликвидационной стоимости.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Если расчетная ликвидационная стоимость объекта недвижимости, временно не используемой в основной деятельности, является несущественной исходя из критериев существенности, утвержденных в Учетной политике, Банк не учитывает ее при расчете амортизируемой стоимости.</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Банк считает, что расчетная ликвидационная стоимость по НВНОД стремится к нулю, поэтому является не существенной, и на расчет амортизации не оказывает влияния.</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 xml:space="preserve">Срок полезного использования объектов недвижимости, временно не используемой основной деятельности, определяется Банком при их признании, указывается в акте ввода в эксплуатацию.  </w:t>
      </w:r>
    </w:p>
    <w:p w:rsidR="00971231" w:rsidRPr="00831C92" w:rsidRDefault="00971231" w:rsidP="00971231">
      <w:pPr>
        <w:tabs>
          <w:tab w:val="left" w:pos="11057"/>
        </w:tabs>
        <w:jc w:val="both"/>
        <w:rPr>
          <w:rFonts w:cs="Arial"/>
          <w:sz w:val="20"/>
          <w:szCs w:val="20"/>
          <w:lang w:val="ru-RU"/>
        </w:rPr>
      </w:pPr>
      <w:r w:rsidRPr="00831C92">
        <w:rPr>
          <w:rFonts w:cs="Arial"/>
          <w:sz w:val="20"/>
          <w:szCs w:val="20"/>
          <w:lang w:val="ru-RU"/>
        </w:rPr>
        <w:t>Недвижимость, временно не используемая в основной деятельности, подлежит проверке на обесценение на конец каждого отчетного года (на 1 января года, следующего за отчетным).</w:t>
      </w:r>
    </w:p>
    <w:p w:rsidR="00971231" w:rsidRDefault="00971231" w:rsidP="00971231">
      <w:pPr>
        <w:pStyle w:val="aff5"/>
      </w:pPr>
    </w:p>
    <w:p w:rsidR="00BE27CD" w:rsidRDefault="00BE27CD" w:rsidP="00971231">
      <w:pPr>
        <w:pStyle w:val="aff5"/>
      </w:pPr>
    </w:p>
    <w:p w:rsidR="00BE27CD" w:rsidRPr="00831C92" w:rsidRDefault="00BE27CD" w:rsidP="00971231">
      <w:pPr>
        <w:pStyle w:val="aff5"/>
      </w:pPr>
    </w:p>
    <w:p w:rsidR="00971231" w:rsidRPr="00021BC6" w:rsidRDefault="00971231" w:rsidP="00971231">
      <w:pPr>
        <w:pStyle w:val="aff5"/>
        <w:rPr>
          <w:i w:val="0"/>
          <w:sz w:val="20"/>
          <w:szCs w:val="20"/>
        </w:rPr>
      </w:pPr>
      <w:r w:rsidRPr="00021BC6">
        <w:rPr>
          <w:i w:val="0"/>
          <w:sz w:val="20"/>
          <w:szCs w:val="20"/>
        </w:rPr>
        <w:lastRenderedPageBreak/>
        <w:t>Учет средств труда и предметов труда полученных по договорам отступного залога назначение которых не определено</w:t>
      </w:r>
    </w:p>
    <w:p w:rsidR="00971231" w:rsidRPr="00831C92" w:rsidRDefault="00971231" w:rsidP="00971231">
      <w:pPr>
        <w:jc w:val="both"/>
        <w:rPr>
          <w:rFonts w:cs="Arial"/>
          <w:sz w:val="20"/>
          <w:szCs w:val="20"/>
          <w:lang w:val="ru-RU"/>
        </w:rPr>
      </w:pPr>
      <w:r w:rsidRPr="00831C92">
        <w:rPr>
          <w:rFonts w:cs="Arial"/>
          <w:sz w:val="20"/>
          <w:szCs w:val="20"/>
          <w:lang w:val="ru-RU"/>
        </w:rPr>
        <w:t>В данной категории учитываются объекты, полученные по договорам отступного, залога, назначение которых не определено.</w:t>
      </w:r>
    </w:p>
    <w:p w:rsidR="00971231" w:rsidRPr="00831C92" w:rsidRDefault="00971231" w:rsidP="00971231">
      <w:pPr>
        <w:jc w:val="both"/>
        <w:rPr>
          <w:rFonts w:cs="Arial"/>
          <w:sz w:val="20"/>
          <w:szCs w:val="20"/>
          <w:lang w:val="ru-RU"/>
        </w:rPr>
      </w:pPr>
      <w:r w:rsidRPr="00831C92">
        <w:rPr>
          <w:rFonts w:cs="Arial"/>
          <w:sz w:val="20"/>
          <w:szCs w:val="20"/>
          <w:lang w:val="ru-RU"/>
        </w:rPr>
        <w:t>Под средствами труда понимаются объекты (кроме объектов недвижимости, включая землю), удовлетворяющие критериям признания для основных средств и нематериальных активов.</w:t>
      </w:r>
    </w:p>
    <w:p w:rsidR="00971231" w:rsidRPr="00831C92" w:rsidRDefault="00971231" w:rsidP="00971231">
      <w:pPr>
        <w:jc w:val="both"/>
        <w:rPr>
          <w:rFonts w:cs="Arial"/>
          <w:sz w:val="20"/>
          <w:szCs w:val="20"/>
          <w:lang w:val="ru-RU"/>
        </w:rPr>
      </w:pPr>
      <w:r w:rsidRPr="00831C92">
        <w:rPr>
          <w:rFonts w:cs="Arial"/>
          <w:sz w:val="20"/>
          <w:szCs w:val="20"/>
          <w:lang w:val="ru-RU"/>
        </w:rPr>
        <w:t>Под предметами труда понимаются объекты, удовлетворяющие критериям признания для запасов.</w:t>
      </w:r>
    </w:p>
    <w:p w:rsidR="00971231" w:rsidRPr="00831C92" w:rsidRDefault="00971231" w:rsidP="00971231">
      <w:pPr>
        <w:jc w:val="both"/>
        <w:rPr>
          <w:rFonts w:cs="Arial"/>
          <w:sz w:val="20"/>
          <w:szCs w:val="20"/>
          <w:lang w:val="ru-RU"/>
        </w:rPr>
      </w:pPr>
      <w:r w:rsidRPr="00831C92">
        <w:rPr>
          <w:rFonts w:cs="Arial"/>
          <w:sz w:val="20"/>
          <w:szCs w:val="20"/>
          <w:lang w:val="ru-RU"/>
        </w:rPr>
        <w:t>В категорию средств труда и предметов труда классифицируются объекты, которые получены по договорам отступного, залога и назначение которых не определено.</w:t>
      </w:r>
    </w:p>
    <w:p w:rsidR="00971231" w:rsidRPr="00831C92" w:rsidRDefault="00971231" w:rsidP="00971231">
      <w:pPr>
        <w:jc w:val="both"/>
        <w:rPr>
          <w:rFonts w:cs="Arial"/>
          <w:sz w:val="20"/>
          <w:szCs w:val="20"/>
          <w:lang w:val="ru-RU"/>
        </w:rPr>
      </w:pPr>
      <w:r w:rsidRPr="00831C92">
        <w:rPr>
          <w:rFonts w:cs="Arial"/>
          <w:sz w:val="20"/>
          <w:szCs w:val="20"/>
          <w:lang w:val="ru-RU"/>
        </w:rPr>
        <w:t>Объекты недвижимости, включая землю, полученные по договорам отступного, залога, подлежат бухгалтерскому учету в порядке, определенном для объектов основных средств, недвижимости, временно не используемой в основной деятельности, долгосрочных активов, предназначенных для продажи, в зависимости от намерений руководства банка в отношении указанных объектов.</w:t>
      </w:r>
    </w:p>
    <w:p w:rsidR="00971231" w:rsidRPr="00831C92" w:rsidRDefault="00971231" w:rsidP="00971231">
      <w:pPr>
        <w:jc w:val="both"/>
        <w:rPr>
          <w:rFonts w:cs="Arial"/>
          <w:sz w:val="20"/>
          <w:szCs w:val="20"/>
          <w:lang w:val="ru-RU"/>
        </w:rPr>
      </w:pPr>
      <w:r w:rsidRPr="00831C92">
        <w:rPr>
          <w:rFonts w:cs="Arial"/>
          <w:sz w:val="20"/>
          <w:szCs w:val="20"/>
          <w:lang w:val="ru-RU"/>
        </w:rPr>
        <w:t xml:space="preserve">Решение о прекращении требований по кредитному договору путем оформления отступного, новации, залога (в случае признания торгов по его реализации несостоявшимися) принимается по инициативе банка (либо заемщика) с согласия второй стороны. Условия, размер, сроки и порядок </w:t>
      </w:r>
    </w:p>
    <w:p w:rsidR="00971231" w:rsidRPr="00831C92" w:rsidRDefault="00971231" w:rsidP="00971231">
      <w:pPr>
        <w:jc w:val="both"/>
        <w:rPr>
          <w:rFonts w:cs="Arial"/>
          <w:sz w:val="20"/>
          <w:szCs w:val="20"/>
          <w:lang w:val="ru-RU"/>
        </w:rPr>
      </w:pPr>
      <w:r w:rsidRPr="00831C92">
        <w:rPr>
          <w:rFonts w:cs="Arial"/>
          <w:sz w:val="20"/>
          <w:szCs w:val="20"/>
          <w:lang w:val="ru-RU"/>
        </w:rPr>
        <w:t>прекращения требований по кредитному договору определяются уполномоченным органом банка.</w:t>
      </w:r>
    </w:p>
    <w:p w:rsidR="00971231" w:rsidRPr="00831C92" w:rsidRDefault="00971231" w:rsidP="00971231">
      <w:pPr>
        <w:jc w:val="both"/>
        <w:rPr>
          <w:rFonts w:cs="Arial"/>
          <w:sz w:val="20"/>
          <w:szCs w:val="20"/>
          <w:lang w:val="ru-RU"/>
        </w:rPr>
      </w:pPr>
      <w:r w:rsidRPr="00831C92">
        <w:rPr>
          <w:rFonts w:cs="Arial"/>
          <w:sz w:val="20"/>
          <w:szCs w:val="20"/>
          <w:lang w:val="ru-RU"/>
        </w:rPr>
        <w:t>Единицей учета средств труда является инвентарный объект.</w:t>
      </w:r>
    </w:p>
    <w:p w:rsidR="00971231" w:rsidRPr="00831C92" w:rsidRDefault="00971231" w:rsidP="00971231">
      <w:pPr>
        <w:jc w:val="both"/>
        <w:rPr>
          <w:rFonts w:cs="Arial"/>
          <w:sz w:val="20"/>
          <w:szCs w:val="20"/>
          <w:lang w:val="ru-RU"/>
        </w:rPr>
      </w:pPr>
      <w:r w:rsidRPr="00831C92">
        <w:rPr>
          <w:rFonts w:cs="Arial"/>
          <w:sz w:val="20"/>
          <w:szCs w:val="20"/>
          <w:lang w:val="ru-RU"/>
        </w:rPr>
        <w:t>Единицей бухгалтерского учета предметов труда являются:</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отдельный объект, исчисляемый в штуках;</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пачка (стандартная упаковка) однородных предметов, исчисляемая в штуках;</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объемная единица в литрах;</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весовая единица в килограммах;</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единица длины в метрах;</w:t>
      </w:r>
    </w:p>
    <w:p w:rsidR="00971231" w:rsidRPr="00831C92" w:rsidRDefault="00971231" w:rsidP="00FC5D59">
      <w:pPr>
        <w:pStyle w:val="afd"/>
        <w:numPr>
          <w:ilvl w:val="0"/>
          <w:numId w:val="38"/>
        </w:numPr>
        <w:tabs>
          <w:tab w:val="left" w:pos="851"/>
        </w:tabs>
        <w:ind w:left="0" w:firstLine="567"/>
        <w:jc w:val="both"/>
        <w:rPr>
          <w:rFonts w:cs="Arial"/>
          <w:sz w:val="20"/>
          <w:szCs w:val="20"/>
          <w:lang w:val="ru-RU"/>
        </w:rPr>
      </w:pPr>
      <w:r w:rsidRPr="00831C92">
        <w:rPr>
          <w:rFonts w:cs="Arial"/>
          <w:sz w:val="20"/>
          <w:szCs w:val="20"/>
          <w:lang w:val="ru-RU"/>
        </w:rPr>
        <w:t>единица площади в квадратных метрах.</w:t>
      </w:r>
    </w:p>
    <w:p w:rsidR="00971231" w:rsidRPr="00831C92" w:rsidRDefault="00971231" w:rsidP="00971231">
      <w:pPr>
        <w:jc w:val="both"/>
        <w:rPr>
          <w:rFonts w:cs="Arial"/>
          <w:sz w:val="20"/>
          <w:szCs w:val="20"/>
          <w:lang w:val="ru-RU"/>
        </w:rPr>
      </w:pPr>
      <w:r w:rsidRPr="00831C92">
        <w:rPr>
          <w:rFonts w:cs="Arial"/>
          <w:sz w:val="20"/>
          <w:szCs w:val="20"/>
          <w:lang w:val="ru-RU"/>
        </w:rPr>
        <w:t>Средства труда и предметы труда признаются в момент перехода к банку экономических рисков, выгод и затрат, связанных с содержанием объектов. Переход указанных рисков, выгод и затрат происходит одновременно с получением банком права собственности на средства труда и предметы труда или с их фактическим получением, подтвержденным актом приемки-передачи.</w:t>
      </w:r>
    </w:p>
    <w:p w:rsidR="00971231" w:rsidRPr="00831C92" w:rsidRDefault="00971231" w:rsidP="00971231">
      <w:pPr>
        <w:jc w:val="both"/>
        <w:rPr>
          <w:rFonts w:cs="Arial"/>
          <w:sz w:val="20"/>
          <w:szCs w:val="20"/>
          <w:lang w:val="ru-RU"/>
        </w:rPr>
      </w:pPr>
      <w:r w:rsidRPr="00831C92">
        <w:rPr>
          <w:rFonts w:cs="Arial"/>
          <w:sz w:val="20"/>
          <w:szCs w:val="20"/>
          <w:lang w:val="ru-RU"/>
        </w:rPr>
        <w:t>Первоначальной стоимостью средств труда (кроме объектов недвижимости, включая землю) и предметов труда, полученных по договорам отступного, залога, назначение которых не определено, является справедливая стоимость на дату их признания.</w:t>
      </w:r>
    </w:p>
    <w:p w:rsidR="00971231" w:rsidRPr="00831C92" w:rsidRDefault="00971231" w:rsidP="00971231">
      <w:pPr>
        <w:jc w:val="both"/>
        <w:rPr>
          <w:rFonts w:cs="Arial"/>
          <w:sz w:val="20"/>
          <w:szCs w:val="20"/>
          <w:lang w:val="ru-RU"/>
        </w:rPr>
      </w:pPr>
      <w:r w:rsidRPr="00831C92">
        <w:rPr>
          <w:rFonts w:cs="Arial"/>
          <w:sz w:val="20"/>
          <w:szCs w:val="20"/>
          <w:lang w:val="ru-RU"/>
        </w:rPr>
        <w:t>Если справедливая стоимость полученных по договорам отступного, залога объектов не поддается надежной оценке, то их оценка производится:</w:t>
      </w:r>
    </w:p>
    <w:p w:rsidR="00971231" w:rsidRPr="00831C92" w:rsidRDefault="00971231" w:rsidP="00FC5D59">
      <w:pPr>
        <w:pStyle w:val="afd"/>
        <w:numPr>
          <w:ilvl w:val="0"/>
          <w:numId w:val="39"/>
        </w:numPr>
        <w:tabs>
          <w:tab w:val="left" w:pos="851"/>
        </w:tabs>
        <w:ind w:left="0" w:firstLine="567"/>
        <w:jc w:val="both"/>
        <w:rPr>
          <w:rFonts w:cs="Arial"/>
          <w:sz w:val="20"/>
          <w:szCs w:val="20"/>
          <w:lang w:val="ru-RU"/>
        </w:rPr>
      </w:pPr>
      <w:r w:rsidRPr="00831C92">
        <w:rPr>
          <w:rFonts w:cs="Arial"/>
          <w:sz w:val="20"/>
          <w:szCs w:val="20"/>
          <w:lang w:val="ru-RU"/>
        </w:rPr>
        <w:t>по договорам отступного в сумме прекращенных обязательств заемщика (должника) по договору на предоставление (размещение) денежных средств;</w:t>
      </w:r>
    </w:p>
    <w:p w:rsidR="00971231" w:rsidRPr="00831C92" w:rsidRDefault="00971231" w:rsidP="00FC5D59">
      <w:pPr>
        <w:pStyle w:val="afd"/>
        <w:numPr>
          <w:ilvl w:val="0"/>
          <w:numId w:val="39"/>
        </w:numPr>
        <w:tabs>
          <w:tab w:val="left" w:pos="851"/>
        </w:tabs>
        <w:ind w:left="0" w:firstLine="567"/>
        <w:jc w:val="both"/>
        <w:rPr>
          <w:rFonts w:cs="Arial"/>
          <w:sz w:val="20"/>
          <w:szCs w:val="20"/>
          <w:lang w:val="ru-RU"/>
        </w:rPr>
      </w:pPr>
      <w:r w:rsidRPr="00831C92">
        <w:rPr>
          <w:rFonts w:cs="Arial"/>
          <w:sz w:val="20"/>
          <w:szCs w:val="20"/>
          <w:lang w:val="ru-RU"/>
        </w:rPr>
        <w:t xml:space="preserve">по договорам залога в сумме, определенной с учетом требований законодательства РФ и нормативных актов Банка России. </w:t>
      </w:r>
    </w:p>
    <w:p w:rsidR="00971231" w:rsidRPr="00831C92" w:rsidRDefault="00971231" w:rsidP="00971231">
      <w:pPr>
        <w:tabs>
          <w:tab w:val="left" w:pos="851"/>
        </w:tabs>
        <w:jc w:val="both"/>
        <w:rPr>
          <w:rFonts w:cs="Arial"/>
          <w:sz w:val="20"/>
          <w:szCs w:val="20"/>
          <w:lang w:val="ru-RU"/>
        </w:rPr>
      </w:pPr>
      <w:r w:rsidRPr="00831C92">
        <w:rPr>
          <w:rFonts w:cs="Arial"/>
          <w:sz w:val="20"/>
          <w:szCs w:val="20"/>
          <w:lang w:val="ru-RU"/>
        </w:rPr>
        <w:t>После признания объектов в качестве средств труда, полученных по договорам отступного, залога, назначение которых не определено, банк производит их оценку, при условии, что справедливая стоимость объектов может быть надежно определена, по наименьшей из двух величин:</w:t>
      </w:r>
    </w:p>
    <w:p w:rsidR="00971231" w:rsidRPr="00831C92" w:rsidRDefault="00971231" w:rsidP="00FC5D59">
      <w:pPr>
        <w:pStyle w:val="afd"/>
        <w:numPr>
          <w:ilvl w:val="0"/>
          <w:numId w:val="39"/>
        </w:numPr>
        <w:tabs>
          <w:tab w:val="left" w:pos="851"/>
        </w:tabs>
        <w:ind w:left="0" w:firstLine="567"/>
        <w:jc w:val="both"/>
        <w:rPr>
          <w:rFonts w:cs="Arial"/>
          <w:sz w:val="20"/>
          <w:szCs w:val="20"/>
          <w:lang w:val="ru-RU"/>
        </w:rPr>
      </w:pPr>
      <w:r w:rsidRPr="00831C92">
        <w:rPr>
          <w:rFonts w:cs="Arial"/>
          <w:sz w:val="20"/>
          <w:szCs w:val="20"/>
          <w:lang w:val="ru-RU"/>
        </w:rPr>
        <w:t>по первоначальной стоимости на дату признания объекта в качестве средств труда, полученных по договорам отступного, залога, назначение которых не определено;</w:t>
      </w:r>
    </w:p>
    <w:p w:rsidR="00971231" w:rsidRPr="00831C92" w:rsidRDefault="00971231" w:rsidP="00FC5D59">
      <w:pPr>
        <w:pStyle w:val="afd"/>
        <w:numPr>
          <w:ilvl w:val="0"/>
          <w:numId w:val="39"/>
        </w:numPr>
        <w:tabs>
          <w:tab w:val="left" w:pos="851"/>
        </w:tabs>
        <w:ind w:left="0" w:firstLine="567"/>
        <w:jc w:val="both"/>
        <w:rPr>
          <w:rFonts w:cs="Arial"/>
          <w:sz w:val="20"/>
          <w:szCs w:val="20"/>
          <w:lang w:val="ru-RU"/>
        </w:rPr>
      </w:pPr>
      <w:r w:rsidRPr="00831C92">
        <w:rPr>
          <w:rFonts w:cs="Arial"/>
          <w:sz w:val="20"/>
          <w:szCs w:val="20"/>
          <w:lang w:val="ru-RU"/>
        </w:rPr>
        <w:t>справедливой стоимости за вычетом затрат, которые необходимо понести для продажи.</w:t>
      </w:r>
    </w:p>
    <w:p w:rsidR="00971231" w:rsidRPr="00831C92" w:rsidRDefault="00971231" w:rsidP="00971231">
      <w:pPr>
        <w:jc w:val="both"/>
        <w:rPr>
          <w:rFonts w:cs="Arial"/>
          <w:sz w:val="20"/>
          <w:szCs w:val="20"/>
          <w:lang w:val="ru-RU"/>
        </w:rPr>
      </w:pPr>
      <w:r w:rsidRPr="00831C92">
        <w:rPr>
          <w:rFonts w:cs="Arial"/>
          <w:sz w:val="20"/>
          <w:szCs w:val="20"/>
          <w:lang w:val="ru-RU"/>
        </w:rPr>
        <w:t>Оценка осуществляется не позднее последнего рабочего дня месяца, в котором объекты были признаны в качестве средств труда, полученных по договорам отступного, залога, назначение которых не определено, либо в момент первоначального признания, последующая оценка производится на конец отчетного года.</w:t>
      </w:r>
    </w:p>
    <w:p w:rsidR="00971231" w:rsidRPr="00831C92" w:rsidRDefault="00971231" w:rsidP="00971231">
      <w:pPr>
        <w:jc w:val="both"/>
        <w:rPr>
          <w:rFonts w:cs="Arial"/>
          <w:sz w:val="20"/>
          <w:szCs w:val="20"/>
          <w:lang w:val="ru-RU"/>
        </w:rPr>
      </w:pPr>
      <w:r w:rsidRPr="00831C92">
        <w:rPr>
          <w:rFonts w:cs="Arial"/>
          <w:sz w:val="20"/>
          <w:szCs w:val="20"/>
          <w:lang w:val="ru-RU"/>
        </w:rPr>
        <w:t>После признания объектов в качестве предметов труда, полученных по договорам отступного, залога, назначение которых не определено, банк производит их оценку по наименьшей из двух величин:</w:t>
      </w:r>
    </w:p>
    <w:p w:rsidR="00971231" w:rsidRPr="00831C92" w:rsidRDefault="00971231" w:rsidP="00FC5D59">
      <w:pPr>
        <w:pStyle w:val="afd"/>
        <w:numPr>
          <w:ilvl w:val="0"/>
          <w:numId w:val="40"/>
        </w:numPr>
        <w:tabs>
          <w:tab w:val="left" w:pos="851"/>
        </w:tabs>
        <w:ind w:left="0" w:firstLine="567"/>
        <w:jc w:val="both"/>
        <w:rPr>
          <w:rFonts w:cs="Arial"/>
          <w:sz w:val="20"/>
          <w:szCs w:val="20"/>
          <w:lang w:val="ru-RU"/>
        </w:rPr>
      </w:pPr>
      <w:r w:rsidRPr="00831C92">
        <w:rPr>
          <w:rFonts w:cs="Arial"/>
          <w:sz w:val="20"/>
          <w:szCs w:val="20"/>
          <w:lang w:val="ru-RU"/>
        </w:rPr>
        <w:t>по первоначальной стоимости на дату признания объекта в качестве предметов труда, полученных по договорам отступного, залога, назначение которых не определено;</w:t>
      </w:r>
    </w:p>
    <w:p w:rsidR="00971231" w:rsidRPr="00831C92" w:rsidRDefault="00971231" w:rsidP="00FC5D59">
      <w:pPr>
        <w:pStyle w:val="afd"/>
        <w:numPr>
          <w:ilvl w:val="0"/>
          <w:numId w:val="40"/>
        </w:numPr>
        <w:tabs>
          <w:tab w:val="left" w:pos="851"/>
        </w:tabs>
        <w:ind w:left="0" w:firstLine="567"/>
        <w:jc w:val="both"/>
        <w:rPr>
          <w:rFonts w:cs="Arial"/>
          <w:sz w:val="20"/>
          <w:szCs w:val="20"/>
          <w:lang w:val="ru-RU"/>
        </w:rPr>
      </w:pPr>
      <w:r w:rsidRPr="00831C92">
        <w:rPr>
          <w:rFonts w:cs="Arial"/>
          <w:sz w:val="20"/>
          <w:szCs w:val="20"/>
          <w:lang w:val="ru-RU"/>
        </w:rPr>
        <w:t>предполагаемой цене, по которой предметы труда, полученные по договорам отступного, залога, назначение которых не определено, могут быть проданы, за вычетом затрат, необходимых для их продажи (далее — чистая стоимость возможной продажи), на момент их оценки (т. е. оценка должна отражать рыночные условия на конец месяца).</w:t>
      </w:r>
    </w:p>
    <w:p w:rsidR="00971231" w:rsidRPr="00831C92" w:rsidRDefault="00971231" w:rsidP="00971231">
      <w:pPr>
        <w:jc w:val="both"/>
        <w:rPr>
          <w:rFonts w:cs="Arial"/>
          <w:sz w:val="20"/>
          <w:szCs w:val="20"/>
          <w:lang w:val="ru-RU"/>
        </w:rPr>
      </w:pPr>
      <w:r w:rsidRPr="00831C92">
        <w:rPr>
          <w:rFonts w:cs="Arial"/>
          <w:sz w:val="20"/>
          <w:szCs w:val="20"/>
          <w:lang w:val="ru-RU"/>
        </w:rPr>
        <w:t>Оценка осуществляется не позднее последнего рабочего дня месяца, в котором объекты были признаны в качестве предметов труда, полученных по договорам отступного, залога, назначение которых не определено, либо в момент первоначального признания, последующая оценка производится на конец отчетного года.</w:t>
      </w:r>
    </w:p>
    <w:p w:rsidR="00971231" w:rsidRDefault="00971231" w:rsidP="00971231">
      <w:pPr>
        <w:pStyle w:val="aff5"/>
      </w:pPr>
    </w:p>
    <w:p w:rsidR="00BE27CD" w:rsidRDefault="00BE27CD" w:rsidP="00971231">
      <w:pPr>
        <w:pStyle w:val="aff5"/>
      </w:pPr>
    </w:p>
    <w:p w:rsidR="00BE27CD" w:rsidRDefault="00BE27CD" w:rsidP="00971231">
      <w:pPr>
        <w:pStyle w:val="aff5"/>
      </w:pPr>
    </w:p>
    <w:p w:rsidR="00971231" w:rsidRPr="00021BC6" w:rsidRDefault="00971231" w:rsidP="00971231">
      <w:pPr>
        <w:pStyle w:val="aff5"/>
        <w:rPr>
          <w:i w:val="0"/>
          <w:sz w:val="20"/>
          <w:szCs w:val="20"/>
        </w:rPr>
      </w:pPr>
      <w:r w:rsidRPr="00021BC6">
        <w:rPr>
          <w:i w:val="0"/>
          <w:sz w:val="20"/>
          <w:szCs w:val="20"/>
        </w:rPr>
        <w:lastRenderedPageBreak/>
        <w:t>Учет долгосрочных активов, предназначенных для продажи</w:t>
      </w:r>
    </w:p>
    <w:p w:rsidR="00971231" w:rsidRPr="00831C92" w:rsidRDefault="00971231" w:rsidP="00971231">
      <w:pPr>
        <w:jc w:val="both"/>
        <w:rPr>
          <w:rFonts w:cs="Arial"/>
          <w:sz w:val="20"/>
          <w:szCs w:val="20"/>
          <w:lang w:val="ru-RU"/>
        </w:rPr>
      </w:pPr>
      <w:r w:rsidRPr="00831C92">
        <w:rPr>
          <w:rFonts w:cs="Arial"/>
          <w:sz w:val="20"/>
          <w:szCs w:val="20"/>
          <w:lang w:val="ru-RU"/>
        </w:rPr>
        <w:t>Долгосрочные активы, предназначенные для продажи, — это объекты основных средств, нематериальных активов, недвижимости, временно не используемой в основной деятельности, учитываемой по первоначальной стоимости за вычетом накопленной амортизации и накопленных убытков от обесценения, а также активы, удовлетворяющие критериям признания, определенным для основных средств и нематериальных активов, и учитываемые в качестве средств труда, полученные по договорам отступного, залога, назначение которых не определено, возмещение стоимости которых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следующих условий:</w:t>
      </w:r>
    </w:p>
    <w:p w:rsidR="00971231" w:rsidRPr="00831C92" w:rsidRDefault="00971231" w:rsidP="00FC5D59">
      <w:pPr>
        <w:pStyle w:val="afd"/>
        <w:numPr>
          <w:ilvl w:val="0"/>
          <w:numId w:val="41"/>
        </w:numPr>
        <w:tabs>
          <w:tab w:val="left" w:pos="851"/>
        </w:tabs>
        <w:ind w:left="0" w:firstLine="567"/>
        <w:jc w:val="both"/>
        <w:rPr>
          <w:rFonts w:cs="Arial"/>
          <w:sz w:val="20"/>
          <w:szCs w:val="20"/>
          <w:lang w:val="ru-RU"/>
        </w:rPr>
      </w:pPr>
      <w:r w:rsidRPr="00831C92">
        <w:rPr>
          <w:rFonts w:cs="Arial"/>
          <w:sz w:val="20"/>
          <w:szCs w:val="20"/>
          <w:lang w:val="ru-RU"/>
        </w:rPr>
        <w:t>долгосрочный актив готов к немедленной продаже в его текущем состоянии на условиях, соответствующих рыночным при продаже таких активов;</w:t>
      </w:r>
    </w:p>
    <w:p w:rsidR="00971231" w:rsidRPr="00831C92" w:rsidRDefault="00971231" w:rsidP="00FC5D59">
      <w:pPr>
        <w:pStyle w:val="afd"/>
        <w:numPr>
          <w:ilvl w:val="0"/>
          <w:numId w:val="41"/>
        </w:numPr>
        <w:tabs>
          <w:tab w:val="left" w:pos="851"/>
        </w:tabs>
        <w:ind w:left="0" w:firstLine="567"/>
        <w:jc w:val="both"/>
        <w:rPr>
          <w:rFonts w:cs="Arial"/>
          <w:sz w:val="20"/>
          <w:szCs w:val="20"/>
          <w:lang w:val="ru-RU"/>
        </w:rPr>
      </w:pPr>
      <w:r w:rsidRPr="00831C92">
        <w:rPr>
          <w:rFonts w:cs="Arial"/>
          <w:sz w:val="20"/>
          <w:szCs w:val="20"/>
          <w:lang w:val="ru-RU"/>
        </w:rPr>
        <w:t>руководителем банка (лицом, его замещающим, или иным уполномоченным лицом) или уполномоченным органом банка организации принято решение о продаже (утвержден план продажи) долгосрочного актива;</w:t>
      </w:r>
    </w:p>
    <w:p w:rsidR="00971231" w:rsidRPr="00831C92" w:rsidRDefault="00971231" w:rsidP="00FC5D59">
      <w:pPr>
        <w:pStyle w:val="afd"/>
        <w:numPr>
          <w:ilvl w:val="0"/>
          <w:numId w:val="41"/>
        </w:numPr>
        <w:tabs>
          <w:tab w:val="left" w:pos="851"/>
        </w:tabs>
        <w:ind w:left="0" w:firstLine="567"/>
        <w:jc w:val="both"/>
        <w:rPr>
          <w:rFonts w:cs="Arial"/>
          <w:sz w:val="20"/>
          <w:szCs w:val="20"/>
          <w:lang w:val="ru-RU"/>
        </w:rPr>
      </w:pPr>
      <w:r w:rsidRPr="00831C92">
        <w:rPr>
          <w:rFonts w:cs="Arial"/>
          <w:sz w:val="20"/>
          <w:szCs w:val="20"/>
          <w:lang w:val="ru-RU"/>
        </w:rPr>
        <w:t>банком ведется поиск покупателя долгосрочного актива исходя из цены, которая является сопоставимой с его справедливой стоимостью;</w:t>
      </w:r>
    </w:p>
    <w:p w:rsidR="00971231" w:rsidRPr="00831C92" w:rsidRDefault="00971231" w:rsidP="00FC5D59">
      <w:pPr>
        <w:pStyle w:val="afd"/>
        <w:numPr>
          <w:ilvl w:val="0"/>
          <w:numId w:val="41"/>
        </w:numPr>
        <w:tabs>
          <w:tab w:val="left" w:pos="851"/>
        </w:tabs>
        <w:ind w:left="0" w:firstLine="567"/>
        <w:jc w:val="both"/>
        <w:rPr>
          <w:rFonts w:cs="Arial"/>
          <w:sz w:val="20"/>
          <w:szCs w:val="20"/>
          <w:lang w:val="ru-RU"/>
        </w:rPr>
      </w:pPr>
      <w:r w:rsidRPr="00831C92">
        <w:rPr>
          <w:rFonts w:cs="Arial"/>
          <w:sz w:val="20"/>
          <w:szCs w:val="20"/>
          <w:lang w:val="ru-RU"/>
        </w:rPr>
        <w:t>действия банка, требуемые для выполнения решения о продаже (плана продажи), показывают, что изменения в решении о продаже (плане продажи) или его отмена не планируются.</w:t>
      </w:r>
    </w:p>
    <w:p w:rsidR="00971231" w:rsidRPr="00831C92" w:rsidRDefault="00971231" w:rsidP="00971231">
      <w:pPr>
        <w:jc w:val="both"/>
        <w:rPr>
          <w:rFonts w:cs="Arial"/>
          <w:sz w:val="20"/>
          <w:szCs w:val="20"/>
          <w:lang w:val="ru-RU"/>
        </w:rPr>
      </w:pPr>
      <w:r w:rsidRPr="00831C92">
        <w:rPr>
          <w:rFonts w:cs="Arial"/>
          <w:sz w:val="20"/>
          <w:szCs w:val="20"/>
          <w:lang w:val="ru-RU"/>
        </w:rPr>
        <w:t>Единицей бухгалтерского учета долгосрочных активов, предназначенных для продажи, является инвентарный объект, определенный в качестве такового для учета.</w:t>
      </w:r>
    </w:p>
    <w:p w:rsidR="00971231" w:rsidRPr="00831C92" w:rsidRDefault="00971231" w:rsidP="00971231">
      <w:pPr>
        <w:jc w:val="both"/>
        <w:rPr>
          <w:rFonts w:cs="Arial"/>
          <w:sz w:val="20"/>
          <w:szCs w:val="20"/>
          <w:lang w:val="ru-RU"/>
        </w:rPr>
      </w:pPr>
      <w:r w:rsidRPr="00831C92">
        <w:rPr>
          <w:rFonts w:cs="Arial"/>
          <w:sz w:val="20"/>
          <w:szCs w:val="20"/>
          <w:lang w:val="ru-RU"/>
        </w:rPr>
        <w:t>Признание объектов основных средств, нематериальных активов, недвижимости, временно не используемой в основной деятельности, учитываемых по первоначальной стоимости за вычетом накопленной амортизации и накопленных убытков от обесценения, средств труда, полученных по договорам отступного, залога, назначение которых не определено, удовлетворяющих критериям признания, определенным для основных средств и нематериальных активов, в качестве долгосрочных активов, предназначенных для продажи, не приводит к изменению их стоимости, отраженной на счетах бухгалтерского учета.</w:t>
      </w:r>
    </w:p>
    <w:p w:rsidR="00971231" w:rsidRPr="00831C92" w:rsidRDefault="00971231" w:rsidP="00971231">
      <w:pPr>
        <w:jc w:val="both"/>
        <w:rPr>
          <w:rFonts w:cs="Arial"/>
          <w:sz w:val="20"/>
          <w:szCs w:val="20"/>
          <w:lang w:val="ru-RU"/>
        </w:rPr>
      </w:pPr>
      <w:r w:rsidRPr="00831C92">
        <w:rPr>
          <w:rFonts w:cs="Arial"/>
          <w:sz w:val="20"/>
          <w:szCs w:val="20"/>
          <w:lang w:val="ru-RU"/>
        </w:rPr>
        <w:t>Долгосрочные активы, предназначенные для продажи, не амортизируются.</w:t>
      </w:r>
    </w:p>
    <w:p w:rsidR="00971231" w:rsidRPr="00831C92" w:rsidRDefault="00971231" w:rsidP="00971231">
      <w:pPr>
        <w:jc w:val="both"/>
        <w:rPr>
          <w:rFonts w:cs="Arial"/>
          <w:sz w:val="20"/>
          <w:szCs w:val="20"/>
          <w:lang w:val="ru-RU"/>
        </w:rPr>
      </w:pPr>
      <w:r w:rsidRPr="00831C92">
        <w:rPr>
          <w:rFonts w:cs="Arial"/>
          <w:sz w:val="20"/>
          <w:szCs w:val="20"/>
          <w:lang w:val="ru-RU"/>
        </w:rPr>
        <w:t>После признания объекта в качестве долгосрочного актива, предназначенного для продажи, кредитная организация не позднее последнего рабочего дня месяца, в котором осуществлен перевод объекта в состав долгосрочных активов, предназначенных для продажи, производит его оценку, при условии, что справедливая стоимость объекта может быть надежно определена по наименьшей из двух величин:</w:t>
      </w:r>
    </w:p>
    <w:p w:rsidR="00971231" w:rsidRPr="00831C92" w:rsidRDefault="00971231" w:rsidP="00FC5D59">
      <w:pPr>
        <w:pStyle w:val="afd"/>
        <w:numPr>
          <w:ilvl w:val="0"/>
          <w:numId w:val="42"/>
        </w:numPr>
        <w:tabs>
          <w:tab w:val="left" w:pos="851"/>
        </w:tabs>
        <w:ind w:left="0" w:firstLine="567"/>
        <w:jc w:val="both"/>
        <w:rPr>
          <w:rFonts w:cs="Arial"/>
          <w:sz w:val="20"/>
          <w:szCs w:val="20"/>
          <w:lang w:val="ru-RU"/>
        </w:rPr>
      </w:pPr>
      <w:r w:rsidRPr="00831C92">
        <w:rPr>
          <w:rFonts w:cs="Arial"/>
          <w:sz w:val="20"/>
          <w:szCs w:val="20"/>
          <w:lang w:val="ru-RU"/>
        </w:rPr>
        <w:t>по первоначальной стоимости, признанной на дату перевода актива в состав долгосрочных активов, предназначенных для продажи;</w:t>
      </w:r>
    </w:p>
    <w:p w:rsidR="00971231" w:rsidRPr="00831C92" w:rsidRDefault="00971231" w:rsidP="00FC5D59">
      <w:pPr>
        <w:pStyle w:val="afd"/>
        <w:numPr>
          <w:ilvl w:val="0"/>
          <w:numId w:val="42"/>
        </w:numPr>
        <w:tabs>
          <w:tab w:val="left" w:pos="851"/>
        </w:tabs>
        <w:ind w:left="0" w:firstLine="567"/>
        <w:jc w:val="both"/>
        <w:rPr>
          <w:rFonts w:cs="Arial"/>
          <w:sz w:val="20"/>
          <w:szCs w:val="20"/>
          <w:lang w:val="ru-RU"/>
        </w:rPr>
      </w:pPr>
      <w:r w:rsidRPr="00831C92">
        <w:rPr>
          <w:rFonts w:cs="Arial"/>
          <w:sz w:val="20"/>
          <w:szCs w:val="20"/>
          <w:lang w:val="ru-RU"/>
        </w:rPr>
        <w:t>справедливой стоимости за вычетом затрат, которые необходимо понести для продажи (по долгосрочным активам, подлежащим передаче акционерам (участникам), — затрат, которые необходимо понести для передачи).</w:t>
      </w:r>
    </w:p>
    <w:p w:rsidR="00971231" w:rsidRDefault="00971231" w:rsidP="00971231">
      <w:pPr>
        <w:jc w:val="both"/>
        <w:rPr>
          <w:rFonts w:cs="Arial"/>
          <w:sz w:val="20"/>
          <w:szCs w:val="20"/>
          <w:lang w:val="ru-RU"/>
        </w:rPr>
      </w:pPr>
      <w:r w:rsidRPr="00831C92">
        <w:rPr>
          <w:rFonts w:cs="Arial"/>
          <w:sz w:val="20"/>
          <w:szCs w:val="20"/>
          <w:lang w:val="ru-RU"/>
        </w:rPr>
        <w:t>Долгосрочные активы, предназначенные для продажи, подлежат такой оценке также на конец отчетного года.</w:t>
      </w:r>
    </w:p>
    <w:p w:rsidR="00971231" w:rsidRDefault="00971231" w:rsidP="00971231">
      <w:pPr>
        <w:jc w:val="both"/>
        <w:rPr>
          <w:rFonts w:cs="Arial"/>
          <w:sz w:val="20"/>
          <w:szCs w:val="20"/>
          <w:lang w:val="ru-RU"/>
        </w:rPr>
      </w:pPr>
    </w:p>
    <w:p w:rsidR="00971231" w:rsidRPr="00021BC6" w:rsidRDefault="00971231" w:rsidP="00971231">
      <w:pPr>
        <w:pStyle w:val="aff5"/>
        <w:rPr>
          <w:i w:val="0"/>
          <w:sz w:val="20"/>
          <w:szCs w:val="20"/>
        </w:rPr>
      </w:pPr>
      <w:r w:rsidRPr="00021BC6">
        <w:rPr>
          <w:i w:val="0"/>
          <w:sz w:val="20"/>
          <w:szCs w:val="20"/>
        </w:rPr>
        <w:t xml:space="preserve">Периодичность списания доходов и расходов будущих периодов на доходы и расходы </w:t>
      </w:r>
    </w:p>
    <w:p w:rsidR="00971231" w:rsidRDefault="00971231" w:rsidP="00971231">
      <w:pPr>
        <w:tabs>
          <w:tab w:val="left" w:pos="11057"/>
        </w:tabs>
        <w:jc w:val="both"/>
        <w:rPr>
          <w:rFonts w:cs="Arial"/>
          <w:sz w:val="20"/>
          <w:szCs w:val="20"/>
          <w:lang w:val="ru-RU"/>
        </w:rPr>
      </w:pPr>
      <w:r w:rsidRPr="00831C92">
        <w:rPr>
          <w:rFonts w:cs="Arial"/>
          <w:sz w:val="20"/>
          <w:szCs w:val="20"/>
          <w:lang w:val="ru-RU"/>
        </w:rPr>
        <w:t xml:space="preserve">Учет сумм, единовременно полученных (уплаченных) и подлежащих отнесению на доходы (расходы) в последующих отчетных периодах осуществляется на счетах доходов, расходов будущих периодов. При отнесении сумм на счета по учету доходов (расходов) будущих периодов периодом является календарный год. Суммы доходов (расходов) будущих периодов относятся на счета по учету доходов (расходов) пропорционально прошедшему временному интервалу. В банке установлен временной интервал календарный месяц. Не позднее последнего рабочего дня месяца, суммы доходов и расходов будущих периодов, приходящихся на соответствующий месяц, подлежат отнесению на счета по учету доходов и расходов. </w:t>
      </w:r>
    </w:p>
    <w:p w:rsidR="00971231" w:rsidRDefault="00971231" w:rsidP="00971231">
      <w:pPr>
        <w:tabs>
          <w:tab w:val="left" w:pos="11057"/>
        </w:tabs>
        <w:jc w:val="both"/>
        <w:rPr>
          <w:rFonts w:cs="Arial"/>
          <w:sz w:val="20"/>
          <w:szCs w:val="20"/>
          <w:lang w:val="ru-RU"/>
        </w:rPr>
      </w:pPr>
    </w:p>
    <w:p w:rsidR="00971231" w:rsidRPr="00021BC6" w:rsidRDefault="00971231" w:rsidP="00971231">
      <w:pPr>
        <w:pStyle w:val="aff5"/>
        <w:rPr>
          <w:i w:val="0"/>
          <w:sz w:val="20"/>
          <w:szCs w:val="20"/>
        </w:rPr>
      </w:pPr>
      <w:r w:rsidRPr="00021BC6">
        <w:rPr>
          <w:i w:val="0"/>
          <w:sz w:val="20"/>
          <w:szCs w:val="20"/>
        </w:rPr>
        <w:t>Учет вознаграждений работникам, расчетов по страховым взносам и обес</w:t>
      </w:r>
      <w:r w:rsidR="00021BC6">
        <w:rPr>
          <w:i w:val="0"/>
          <w:sz w:val="20"/>
          <w:szCs w:val="20"/>
        </w:rPr>
        <w:t>печению</w:t>
      </w:r>
    </w:p>
    <w:p w:rsidR="00971231" w:rsidRPr="00831C92" w:rsidRDefault="00971231" w:rsidP="00971231">
      <w:pPr>
        <w:jc w:val="both"/>
        <w:rPr>
          <w:rFonts w:cs="Arial"/>
          <w:sz w:val="20"/>
          <w:szCs w:val="20"/>
          <w:lang w:val="ru-RU"/>
        </w:rPr>
      </w:pPr>
      <w:r w:rsidRPr="00831C92">
        <w:rPr>
          <w:rFonts w:cs="Arial"/>
          <w:sz w:val="20"/>
          <w:szCs w:val="20"/>
          <w:lang w:val="ru-RU"/>
        </w:rPr>
        <w:t>Вознаграждения работникам — это все виды возмещений работникам банка за выполнение ими своих трудовых функций, а также за расторжение трудового договора вне зависимости от формы выплаты (денежная, неденежная), в том числе оплата труда, включая компенсационные и стимулирующие выплаты, а также выплаты работникам и в пользу работников третьим лицам, включая членов семей работников, осуществляемые в связи с выполнением работниками трудовых функций, не включенные в оплату труда.</w:t>
      </w:r>
    </w:p>
    <w:p w:rsidR="00971231" w:rsidRPr="00831C92" w:rsidRDefault="00971231" w:rsidP="00971231">
      <w:pPr>
        <w:jc w:val="both"/>
        <w:rPr>
          <w:rFonts w:cs="Arial"/>
          <w:sz w:val="20"/>
          <w:szCs w:val="20"/>
          <w:lang w:val="ru-RU"/>
        </w:rPr>
      </w:pPr>
      <w:r w:rsidRPr="00831C92">
        <w:rPr>
          <w:rFonts w:cs="Arial"/>
          <w:sz w:val="20"/>
          <w:szCs w:val="20"/>
          <w:lang w:val="ru-RU"/>
        </w:rPr>
        <w:t xml:space="preserve">Отсроченное вознаграждение — нефиксированная часть вознаграждения, выплачиваемая членам исполнительного органа, а также работникам, принимающим риски, через три года или в другие сроки в соответствии с требованиями Инструкции Банка России от 17 июня 2014 г. № 154-И «О порядке оценки системы оплаты труда в кредитной организации и порядке направления в </w:t>
      </w:r>
      <w:r w:rsidRPr="00831C92">
        <w:rPr>
          <w:rFonts w:cs="Arial"/>
          <w:sz w:val="20"/>
          <w:szCs w:val="20"/>
          <w:lang w:val="ru-RU"/>
        </w:rPr>
        <w:lastRenderedPageBreak/>
        <w:t>кредитную организацию предписания об устранении нарушения в ее системе оплаты труда» (далее — Инструкция № 154-И) и внутренними положениями банка по оплате труда (СТБ).</w:t>
      </w:r>
    </w:p>
    <w:p w:rsidR="00971231" w:rsidRPr="00831C92" w:rsidRDefault="00971231" w:rsidP="00971231">
      <w:pPr>
        <w:jc w:val="both"/>
        <w:rPr>
          <w:rFonts w:cs="Arial"/>
          <w:sz w:val="20"/>
          <w:szCs w:val="20"/>
          <w:lang w:val="ru-RU"/>
        </w:rPr>
      </w:pPr>
      <w:r w:rsidRPr="00831C92">
        <w:rPr>
          <w:rFonts w:cs="Arial"/>
          <w:sz w:val="20"/>
          <w:szCs w:val="20"/>
          <w:lang w:val="ru-RU"/>
        </w:rPr>
        <w:t>Краткосрочные вознаграждения работникам — все виды вознаграждений работникам (кроме выходных пособий), выплата которых в полном объеме ожидается в течение годового отчетного периода и в течение 12 месяцев после окончания годового отчетного периода.</w:t>
      </w:r>
    </w:p>
    <w:p w:rsidR="00971231" w:rsidRPr="00831C92" w:rsidRDefault="00971231" w:rsidP="00971231">
      <w:pPr>
        <w:jc w:val="both"/>
        <w:rPr>
          <w:rFonts w:cs="Arial"/>
          <w:sz w:val="20"/>
          <w:szCs w:val="20"/>
          <w:lang w:val="ru-RU"/>
        </w:rPr>
      </w:pPr>
      <w:r w:rsidRPr="00831C92">
        <w:rPr>
          <w:rFonts w:cs="Arial"/>
          <w:sz w:val="20"/>
          <w:szCs w:val="20"/>
          <w:lang w:val="ru-RU"/>
        </w:rPr>
        <w:t>Прочие долгосрочные вознаграждения работникам — вознаграждения работникам, выплата которых ожидается не ранее 12 месяцев после окончания годового отчетного периода, в котором работники оказали соответствующие услуги, за исключением долгосрочных вознаграждений работникам по окончании трудовой деятельности и выходных пособий.</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Обязательства по выплате вознаграждений работникам возникают в соответствии с законодательством РФ, в том числе нормативными актами Банка России, а также локальными нормативными актами и иными внутренними документами Банка, трудовыми и (или) коллективными договорами.</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Обязательства по выплате краткосрочных вознаграждений работникам, а также корректировки ранее признанных банком указанных обязательств подлежат отражению на счетах бухгалтерского учета в последний рабочий день каждого месяца, но не позднее даты фактического исполнения обязательств, либо в качестве событий после отчетной даты, кроме следующих случаев:</w:t>
      </w:r>
    </w:p>
    <w:p w:rsidR="00971231" w:rsidRPr="00831C92" w:rsidRDefault="00971231" w:rsidP="00FC5D59">
      <w:pPr>
        <w:pStyle w:val="afd"/>
        <w:numPr>
          <w:ilvl w:val="0"/>
          <w:numId w:val="43"/>
        </w:numPr>
        <w:tabs>
          <w:tab w:val="left" w:pos="851"/>
        </w:tabs>
        <w:ind w:left="0" w:firstLine="567"/>
        <w:jc w:val="both"/>
        <w:rPr>
          <w:rFonts w:cs="Arial"/>
          <w:sz w:val="20"/>
          <w:szCs w:val="20"/>
          <w:lang w:val="ru-RU"/>
        </w:rPr>
      </w:pPr>
      <w:r w:rsidRPr="00831C92">
        <w:rPr>
          <w:rFonts w:cs="Arial"/>
          <w:sz w:val="20"/>
          <w:szCs w:val="20"/>
          <w:lang w:val="ru-RU"/>
        </w:rPr>
        <w:t>при накапливаемых оплачиваемых отсутствиях работника на работе (например, ежегодный оплачиваемый отпуск) обязательства подлежат отражению на счетах бухгалтерского учета не позднее последнего рабочего дня каждого квартала, когда работники оказывают услуги, увеличивающие будущие оплачиваемые отсутствия работников на работе, на которые эти работники имеют право;</w:t>
      </w:r>
    </w:p>
    <w:p w:rsidR="00971231" w:rsidRPr="00831C92" w:rsidRDefault="00971231" w:rsidP="00FC5D59">
      <w:pPr>
        <w:pStyle w:val="afd"/>
        <w:numPr>
          <w:ilvl w:val="0"/>
          <w:numId w:val="43"/>
        </w:numPr>
        <w:tabs>
          <w:tab w:val="left" w:pos="851"/>
        </w:tabs>
        <w:ind w:left="0" w:firstLine="567"/>
        <w:jc w:val="both"/>
        <w:rPr>
          <w:rFonts w:cs="Arial"/>
          <w:sz w:val="20"/>
          <w:szCs w:val="20"/>
          <w:lang w:val="ru-RU"/>
        </w:rPr>
      </w:pPr>
      <w:r w:rsidRPr="00831C92">
        <w:rPr>
          <w:rFonts w:cs="Arial"/>
          <w:sz w:val="20"/>
          <w:szCs w:val="20"/>
          <w:lang w:val="ru-RU"/>
        </w:rPr>
        <w:t>при ненакапливаемых оплачиваемых отсутствиях работника на работе обязательства признаются непосредственно при наступлении факта отсутствия работника на работе.</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Обязательства по выплате долгосрочных вознаграждений работникам, а также корректировки ранее признанных банком указанных обязательств подлежат отражению на счетах бухгалтерского учета не позднее последнего дня каждого квартала отчетного периода либо в качестве событий после отчетной даты.</w:t>
      </w:r>
    </w:p>
    <w:p w:rsidR="00971231" w:rsidRPr="00831C92" w:rsidRDefault="00971231" w:rsidP="00971231">
      <w:pPr>
        <w:jc w:val="both"/>
        <w:rPr>
          <w:rFonts w:cs="Arial"/>
          <w:sz w:val="20"/>
          <w:szCs w:val="20"/>
          <w:lang w:val="ru-RU"/>
        </w:rPr>
      </w:pPr>
      <w:r w:rsidRPr="00831C92">
        <w:rPr>
          <w:rFonts w:cs="Arial"/>
          <w:sz w:val="20"/>
          <w:szCs w:val="20"/>
          <w:lang w:val="ru-RU"/>
        </w:rPr>
        <w:t>Срок исполнения обязательств по выплате вознаграждений работникам в целях бухгалтерского учета определяется в соответствии с законодательством Российской Федерации, в том числе нормативными актами Банка России, а также локальными нормативными актами и иными внутренними документами банка (СТБ), трудовыми и (или) коллективными договорами.</w:t>
      </w:r>
    </w:p>
    <w:p w:rsidR="00971231" w:rsidRPr="00831C92" w:rsidRDefault="00971231" w:rsidP="00971231">
      <w:pPr>
        <w:jc w:val="both"/>
        <w:rPr>
          <w:rFonts w:cs="Arial"/>
          <w:sz w:val="20"/>
          <w:szCs w:val="20"/>
          <w:lang w:val="ru-RU"/>
        </w:rPr>
      </w:pPr>
      <w:r w:rsidRPr="00831C92">
        <w:rPr>
          <w:rFonts w:cs="Arial"/>
          <w:sz w:val="20"/>
          <w:szCs w:val="20"/>
          <w:lang w:val="ru-RU"/>
        </w:rPr>
        <w:t>В случае, когда погашение ранее признанных банком обязательств (требований) по выплате краткосрочных вознаграждений работникам в течение годового отчетного периода и в течение 12 месяцев после окончания годового отчетного периода по каким-либо причинам не ожидается, такие обязательства (требования) переносятся на счета по учету обязательств (требований) по выплате долгосрочных вознаграждений работникам и учитываются по дисконтированной стоимости с применением ставки дисконтирования.</w:t>
      </w:r>
    </w:p>
    <w:p w:rsidR="00971231" w:rsidRPr="00831C92" w:rsidRDefault="00971231" w:rsidP="00971231">
      <w:pPr>
        <w:jc w:val="both"/>
        <w:rPr>
          <w:rFonts w:cs="Arial"/>
          <w:sz w:val="20"/>
          <w:szCs w:val="20"/>
          <w:lang w:val="ru-RU"/>
        </w:rPr>
      </w:pPr>
      <w:r w:rsidRPr="00831C92">
        <w:rPr>
          <w:rFonts w:cs="Arial"/>
          <w:sz w:val="20"/>
          <w:szCs w:val="20"/>
          <w:lang w:val="ru-RU"/>
        </w:rPr>
        <w:t>При признании обязательств по выплате долгосрочных вознаграждений работникам одновременно признаются обязательства по оплате страховых взносов, которые возникают (возникнут) при фактическом исполнении обязательств по выплате вознаграждений работникам в соответствии с законодательством РФ.</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Обязательство по оплате ежегодного отпуска отражается не позднее последнего рабочего дня каждого квартала.</w:t>
      </w:r>
    </w:p>
    <w:p w:rsidR="00971231" w:rsidRPr="00831C92" w:rsidRDefault="00971231" w:rsidP="00971231">
      <w:pPr>
        <w:jc w:val="both"/>
        <w:rPr>
          <w:rFonts w:cs="Arial"/>
          <w:sz w:val="20"/>
          <w:szCs w:val="20"/>
          <w:lang w:val="ru-RU"/>
        </w:rPr>
      </w:pPr>
      <w:r w:rsidRPr="00831C92">
        <w:rPr>
          <w:rFonts w:cs="Arial"/>
          <w:sz w:val="20"/>
          <w:szCs w:val="20"/>
          <w:lang w:val="ru-RU"/>
        </w:rPr>
        <w:t xml:space="preserve">В соответствие с Положением о системе оплаты труда и мотивации в Банке к долгосрочным вложениям относятся стимулирующие выплаты сотрудникам, участвующим в принятие всех значимых для Банка рисков, отсрочка нефиксированной части оплаты труда составляет не менее 3 лет от срока получения финансовых результатов деятельности Банка. </w:t>
      </w:r>
    </w:p>
    <w:p w:rsidR="00971231" w:rsidRPr="00831C92" w:rsidRDefault="00971231" w:rsidP="00971231">
      <w:pPr>
        <w:jc w:val="both"/>
        <w:rPr>
          <w:rFonts w:cs="Arial"/>
          <w:sz w:val="20"/>
          <w:szCs w:val="20"/>
          <w:lang w:val="ru-RU"/>
        </w:rPr>
      </w:pPr>
      <w:r w:rsidRPr="00831C92">
        <w:rPr>
          <w:rFonts w:cs="Arial"/>
          <w:sz w:val="20"/>
          <w:szCs w:val="20"/>
          <w:lang w:val="ru-RU"/>
        </w:rPr>
        <w:t>Обязательства по выплате долгосрочных вознаграждений работникам учитываются по дисконтированной стоимости с использованием ставки дисконтирования.</w:t>
      </w:r>
    </w:p>
    <w:p w:rsidR="00971231" w:rsidRPr="00831C92" w:rsidRDefault="00971231" w:rsidP="00971231">
      <w:pPr>
        <w:jc w:val="both"/>
        <w:rPr>
          <w:rFonts w:cs="Arial"/>
          <w:sz w:val="20"/>
          <w:szCs w:val="20"/>
          <w:lang w:val="ru-RU"/>
        </w:rPr>
      </w:pPr>
      <w:r w:rsidRPr="00831C92">
        <w:rPr>
          <w:rFonts w:cs="Arial"/>
          <w:sz w:val="20"/>
          <w:szCs w:val="20"/>
          <w:lang w:val="ru-RU"/>
        </w:rPr>
        <w:t>Оценку подлежащих признанию обязательств по выплате долгосрочных вознаграждений работникам производится по этапам:</w:t>
      </w:r>
    </w:p>
    <w:p w:rsidR="00971231" w:rsidRPr="00831C92" w:rsidRDefault="00971231" w:rsidP="00FC5D59">
      <w:pPr>
        <w:pStyle w:val="afd"/>
        <w:numPr>
          <w:ilvl w:val="0"/>
          <w:numId w:val="44"/>
        </w:numPr>
        <w:tabs>
          <w:tab w:val="left" w:pos="851"/>
        </w:tabs>
        <w:ind w:left="0" w:firstLine="567"/>
        <w:jc w:val="both"/>
        <w:rPr>
          <w:rFonts w:cs="Arial"/>
          <w:sz w:val="20"/>
          <w:szCs w:val="20"/>
          <w:lang w:val="ru-RU"/>
        </w:rPr>
      </w:pPr>
      <w:r w:rsidRPr="00831C92">
        <w:rPr>
          <w:rFonts w:cs="Arial"/>
          <w:sz w:val="20"/>
          <w:szCs w:val="20"/>
          <w:lang w:val="ru-RU"/>
        </w:rPr>
        <w:t xml:space="preserve">определение величины обязательств по выплате долгосрочных вознаграждений работников с учетом размера выплат, причитающихся за отчетный и предшествующие периоды;   </w:t>
      </w:r>
    </w:p>
    <w:p w:rsidR="00971231" w:rsidRPr="00831C92" w:rsidRDefault="00971231" w:rsidP="00FC5D59">
      <w:pPr>
        <w:pStyle w:val="afd"/>
        <w:numPr>
          <w:ilvl w:val="0"/>
          <w:numId w:val="44"/>
        </w:numPr>
        <w:tabs>
          <w:tab w:val="left" w:pos="851"/>
        </w:tabs>
        <w:ind w:left="0" w:firstLine="567"/>
        <w:jc w:val="both"/>
        <w:rPr>
          <w:rFonts w:cs="Arial"/>
          <w:sz w:val="20"/>
          <w:szCs w:val="20"/>
          <w:lang w:val="ru-RU"/>
        </w:rPr>
      </w:pPr>
      <w:r w:rsidRPr="00831C92">
        <w:rPr>
          <w:rFonts w:cs="Arial"/>
          <w:sz w:val="20"/>
          <w:szCs w:val="20"/>
          <w:lang w:val="ru-RU"/>
        </w:rPr>
        <w:t>дисконтирование величины обязательств по выплате долгосрочных вознаграждений работникам.</w:t>
      </w:r>
    </w:p>
    <w:p w:rsidR="00971231" w:rsidRPr="00831C92" w:rsidRDefault="00971231" w:rsidP="00971231">
      <w:pPr>
        <w:jc w:val="both"/>
        <w:rPr>
          <w:rFonts w:cs="Arial"/>
          <w:sz w:val="20"/>
          <w:szCs w:val="20"/>
          <w:lang w:val="ru-RU"/>
        </w:rPr>
      </w:pPr>
      <w:r w:rsidRPr="00831C92">
        <w:rPr>
          <w:rFonts w:cs="Arial"/>
          <w:sz w:val="20"/>
          <w:szCs w:val="20"/>
          <w:lang w:val="ru-RU"/>
        </w:rPr>
        <w:t>Банк производит расчет дисконтируемой стоимости по формуле ЧИСТНЗ (чистая приведенная стоимость) в Microsoft Excel.</w:t>
      </w:r>
    </w:p>
    <w:p w:rsidR="00971231" w:rsidRPr="00831C92" w:rsidRDefault="00971231" w:rsidP="00971231">
      <w:pPr>
        <w:jc w:val="both"/>
        <w:rPr>
          <w:rFonts w:cs="Arial"/>
          <w:sz w:val="20"/>
          <w:szCs w:val="20"/>
          <w:lang w:val="ru-RU"/>
        </w:rPr>
      </w:pPr>
      <w:r w:rsidRPr="00831C92">
        <w:rPr>
          <w:rFonts w:cs="Arial"/>
          <w:sz w:val="20"/>
          <w:szCs w:val="20"/>
          <w:lang w:val="ru-RU"/>
        </w:rPr>
        <w:t>Ставка дисконтирования определяется на основе эффективной доходности к погашению корпоративных облигаций высокой категории качества, котируемых организатором торговли на рынке ценных бумаг, по состоянию на отчетную дату.</w:t>
      </w:r>
    </w:p>
    <w:p w:rsidR="00971231" w:rsidRPr="00831C92" w:rsidRDefault="00971231" w:rsidP="00971231">
      <w:pPr>
        <w:jc w:val="both"/>
        <w:rPr>
          <w:rFonts w:cs="Arial"/>
          <w:sz w:val="20"/>
          <w:szCs w:val="20"/>
          <w:lang w:val="ru-RU"/>
        </w:rPr>
      </w:pPr>
      <w:r w:rsidRPr="00831C92">
        <w:rPr>
          <w:rFonts w:cs="Arial"/>
          <w:sz w:val="20"/>
          <w:szCs w:val="20"/>
          <w:lang w:val="ru-RU"/>
        </w:rPr>
        <w:t xml:space="preserve">За основу берется Ломбардный список Банка России. При отсутствии по состоянию на отчетную дату котируемых организатором торговли на рынке ценных бумаг корпоративных облигаций в качестве ставки дисконтирования используется эффективная доходность к погашению </w:t>
      </w:r>
      <w:r w:rsidRPr="00831C92">
        <w:rPr>
          <w:rFonts w:cs="Arial"/>
          <w:sz w:val="20"/>
          <w:szCs w:val="20"/>
          <w:lang w:val="ru-RU"/>
        </w:rPr>
        <w:lastRenderedPageBreak/>
        <w:t xml:space="preserve">государственных облигаций. Валюта и срок обращения корпоративных или государственных облигаций должны соответствовать валюте и срокам выплат вознаграждений работникам. </w:t>
      </w:r>
    </w:p>
    <w:p w:rsidR="00971231" w:rsidRDefault="00971231" w:rsidP="00971231">
      <w:pPr>
        <w:jc w:val="both"/>
        <w:rPr>
          <w:rFonts w:cs="Arial"/>
          <w:sz w:val="20"/>
          <w:szCs w:val="20"/>
          <w:lang w:val="ru-RU"/>
        </w:rPr>
      </w:pPr>
      <w:r w:rsidRPr="00831C92">
        <w:rPr>
          <w:rFonts w:cs="Arial"/>
          <w:sz w:val="20"/>
          <w:szCs w:val="20"/>
          <w:lang w:val="ru-RU"/>
        </w:rPr>
        <w:t xml:space="preserve">Для расчета дисконтирования стоимости, исходя из ожидаемых потоков денежных средств и ожидаемого срока обращения финансовых активов и финансовых обязательств, используется ставка дисконтирования, рассчитанная при первоначальном признании, и не пересматривается в течение всего срока погашения. </w:t>
      </w:r>
    </w:p>
    <w:p w:rsidR="00971231" w:rsidRDefault="00971231" w:rsidP="00971231">
      <w:pPr>
        <w:jc w:val="both"/>
        <w:rPr>
          <w:rFonts w:cs="Arial"/>
          <w:sz w:val="20"/>
          <w:szCs w:val="20"/>
          <w:lang w:val="ru-RU"/>
        </w:rPr>
      </w:pPr>
    </w:p>
    <w:p w:rsidR="00971231" w:rsidRPr="008B1F78" w:rsidRDefault="00971231" w:rsidP="00971231">
      <w:pPr>
        <w:jc w:val="both"/>
        <w:rPr>
          <w:rFonts w:cs="Arial"/>
          <w:b/>
          <w:sz w:val="20"/>
          <w:szCs w:val="20"/>
          <w:lang w:val="ru-RU"/>
        </w:rPr>
      </w:pPr>
      <w:r w:rsidRPr="008B1F78">
        <w:rPr>
          <w:rFonts w:cs="Arial"/>
          <w:b/>
          <w:sz w:val="20"/>
          <w:szCs w:val="20"/>
          <w:lang w:val="ru-RU"/>
        </w:rPr>
        <w:t>Расчеты по налогу на прибыль</w:t>
      </w:r>
    </w:p>
    <w:p w:rsidR="00971231" w:rsidRPr="00831C92" w:rsidRDefault="00971231" w:rsidP="00971231">
      <w:pPr>
        <w:jc w:val="both"/>
        <w:rPr>
          <w:rFonts w:cs="Arial"/>
          <w:sz w:val="20"/>
          <w:szCs w:val="20"/>
          <w:lang w:val="ru-RU"/>
        </w:rPr>
      </w:pPr>
      <w:r w:rsidRPr="00831C92">
        <w:rPr>
          <w:rFonts w:cs="Arial"/>
          <w:sz w:val="20"/>
          <w:szCs w:val="20"/>
          <w:lang w:val="ru-RU"/>
        </w:rPr>
        <w:t>Банк уплачивает ежемесячные авансовые платежи налога на прибыль, исходя из фактически полученной прибыли. Банк исчисляет сумму авансового платежа исходя из ставки налога и фактически полученной прибыли, рассчитываемой нарастающим итогом с начала налогового периода до окончания соответствующего месяца.</w:t>
      </w:r>
    </w:p>
    <w:p w:rsidR="00971231" w:rsidRPr="00831C92" w:rsidRDefault="00971231" w:rsidP="00971231">
      <w:pPr>
        <w:jc w:val="both"/>
        <w:rPr>
          <w:rFonts w:cs="Arial"/>
          <w:i/>
          <w:color w:val="FF0000"/>
          <w:szCs w:val="18"/>
          <w:lang w:val="ru-RU"/>
        </w:rPr>
      </w:pPr>
    </w:p>
    <w:p w:rsidR="00971231" w:rsidRPr="008B1F78" w:rsidRDefault="00971231" w:rsidP="00971231">
      <w:pPr>
        <w:pStyle w:val="aff5"/>
        <w:rPr>
          <w:i w:val="0"/>
          <w:sz w:val="20"/>
          <w:szCs w:val="20"/>
        </w:rPr>
      </w:pPr>
      <w:r w:rsidRPr="008B1F78">
        <w:rPr>
          <w:i w:val="0"/>
          <w:sz w:val="20"/>
          <w:szCs w:val="20"/>
        </w:rPr>
        <w:t>Расчет отложенного налога на прибыль</w:t>
      </w:r>
    </w:p>
    <w:p w:rsidR="00971231" w:rsidRPr="00831C92" w:rsidRDefault="00971231" w:rsidP="00971231">
      <w:pPr>
        <w:jc w:val="both"/>
        <w:rPr>
          <w:rFonts w:cs="Arial"/>
          <w:sz w:val="20"/>
          <w:szCs w:val="20"/>
          <w:lang w:val="ru-RU"/>
        </w:rPr>
      </w:pPr>
      <w:r w:rsidRPr="00831C92">
        <w:rPr>
          <w:rFonts w:cs="Arial"/>
          <w:sz w:val="20"/>
          <w:szCs w:val="20"/>
          <w:lang w:val="ru-RU"/>
        </w:rPr>
        <w:t>Банк отражает в бухгалтерском учете суммы, способные оказать влияние на увеличение (уменьшение) величины налога на прибыль, подлежащего уплате в бюджетную систему Российской Федерации в будущих отчетных периодах, в соответствии с законодательством Российской Федерации о налогах и сборах.</w:t>
      </w:r>
    </w:p>
    <w:p w:rsidR="00971231" w:rsidRPr="00831C92" w:rsidRDefault="00971231" w:rsidP="00971231">
      <w:pPr>
        <w:jc w:val="both"/>
        <w:rPr>
          <w:rFonts w:cs="Arial"/>
          <w:sz w:val="20"/>
          <w:szCs w:val="20"/>
          <w:lang w:val="ru-RU"/>
        </w:rPr>
      </w:pPr>
      <w:r w:rsidRPr="00831C92">
        <w:rPr>
          <w:rFonts w:cs="Arial"/>
          <w:sz w:val="20"/>
          <w:szCs w:val="20"/>
          <w:lang w:val="ru-RU"/>
        </w:rPr>
        <w:t>При расчете отложенных налоговых обязательств и отложенных налоговых активов по налогу на прибыль банк руководствуется Международными стандартами финансовой отчетности (далее МСФО), принимаемыми Фондом МСФО, введенными в действие на территории Российской Федерации, и в соответствии с частью 12 статьи 21 Федерального закона от 6 декабря 2011 года №402-ФЗ «О бухгалтерском учете».</w:t>
      </w:r>
    </w:p>
    <w:p w:rsidR="00971231" w:rsidRPr="00831C92" w:rsidRDefault="00971231" w:rsidP="00971231">
      <w:pPr>
        <w:jc w:val="both"/>
        <w:rPr>
          <w:rFonts w:cs="Arial"/>
          <w:sz w:val="20"/>
          <w:szCs w:val="20"/>
          <w:lang w:val="ru-RU"/>
        </w:rPr>
      </w:pPr>
    </w:p>
    <w:p w:rsidR="00971231" w:rsidRPr="008B1F78" w:rsidRDefault="00971231" w:rsidP="00971231">
      <w:pPr>
        <w:pStyle w:val="aff5"/>
        <w:rPr>
          <w:i w:val="0"/>
          <w:sz w:val="20"/>
          <w:szCs w:val="20"/>
        </w:rPr>
      </w:pPr>
      <w:r w:rsidRPr="008B1F78">
        <w:rPr>
          <w:i w:val="0"/>
          <w:sz w:val="20"/>
          <w:szCs w:val="20"/>
        </w:rPr>
        <w:t>Расчеты по налогу на добавленную стоимость</w:t>
      </w:r>
    </w:p>
    <w:p w:rsidR="00971231" w:rsidRPr="00831C92" w:rsidRDefault="00971231" w:rsidP="00971231">
      <w:pPr>
        <w:jc w:val="both"/>
        <w:rPr>
          <w:rFonts w:cs="Arial"/>
          <w:sz w:val="20"/>
          <w:szCs w:val="20"/>
          <w:lang w:val="ru-RU"/>
        </w:rPr>
      </w:pPr>
      <w:r w:rsidRPr="008B1F78">
        <w:rPr>
          <w:rFonts w:cs="Arial"/>
          <w:sz w:val="20"/>
          <w:szCs w:val="20"/>
          <w:lang w:val="ru-RU"/>
        </w:rPr>
        <w:t>Банк при определении налогооблагаемой базы</w:t>
      </w:r>
      <w:r w:rsidRPr="00831C92">
        <w:rPr>
          <w:rFonts w:cs="Arial"/>
          <w:sz w:val="20"/>
          <w:szCs w:val="20"/>
          <w:lang w:val="ru-RU"/>
        </w:rPr>
        <w:t xml:space="preserve"> по НДС использует порядок, предусмотренный п. 4 ст. 170 НК РФ, согласно которому предъявленные продавцами товаров (работ, услуг), имущественных прав суммы налога по операциям, подлежащим налогообложению, так и освобожденных от налогообложения:</w:t>
      </w:r>
    </w:p>
    <w:p w:rsidR="00971231" w:rsidRPr="00831C92" w:rsidRDefault="00971231" w:rsidP="00971231">
      <w:pPr>
        <w:pStyle w:val="afd"/>
        <w:numPr>
          <w:ilvl w:val="0"/>
          <w:numId w:val="11"/>
        </w:numPr>
        <w:tabs>
          <w:tab w:val="left" w:pos="851"/>
        </w:tabs>
        <w:ind w:left="0" w:firstLine="567"/>
        <w:jc w:val="both"/>
        <w:rPr>
          <w:rFonts w:cs="Arial"/>
          <w:sz w:val="20"/>
          <w:szCs w:val="20"/>
          <w:lang w:val="ru-RU"/>
        </w:rPr>
      </w:pPr>
      <w:r w:rsidRPr="00831C92">
        <w:rPr>
          <w:rFonts w:cs="Arial"/>
          <w:sz w:val="20"/>
          <w:szCs w:val="20"/>
          <w:lang w:val="ru-RU"/>
        </w:rPr>
        <w:t>учитываются в стоимости таких товаров (работ, услуг), имущественных прав в соответствии с пунктом 2 статьи 170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не облагаемых налогом на добавленную стоимость;</w:t>
      </w:r>
    </w:p>
    <w:p w:rsidR="00971231" w:rsidRPr="00831C92" w:rsidRDefault="00971231" w:rsidP="00971231">
      <w:pPr>
        <w:pStyle w:val="afd"/>
        <w:numPr>
          <w:ilvl w:val="0"/>
          <w:numId w:val="11"/>
        </w:numPr>
        <w:tabs>
          <w:tab w:val="left" w:pos="851"/>
        </w:tabs>
        <w:ind w:left="0" w:firstLine="567"/>
        <w:jc w:val="both"/>
        <w:rPr>
          <w:rFonts w:cs="Arial"/>
          <w:sz w:val="20"/>
          <w:szCs w:val="20"/>
          <w:lang w:val="ru-RU"/>
        </w:rPr>
      </w:pPr>
      <w:r w:rsidRPr="00831C92">
        <w:rPr>
          <w:rFonts w:cs="Arial"/>
          <w:sz w:val="20"/>
          <w:szCs w:val="20"/>
          <w:lang w:val="ru-RU"/>
        </w:rPr>
        <w:t>принимаются к вычету в соответствии со статьей 172 НК РФ в случае, если приобретенные товары (работы, услуги), в том числе основные средства и нематериальные активы, имущественные права, используются только для осуществления операций, облагаемых налогом на добавленную стоимость;</w:t>
      </w:r>
    </w:p>
    <w:p w:rsidR="00971231" w:rsidRPr="00831C92" w:rsidRDefault="00971231" w:rsidP="00971231">
      <w:pPr>
        <w:pStyle w:val="afd"/>
        <w:numPr>
          <w:ilvl w:val="0"/>
          <w:numId w:val="11"/>
        </w:numPr>
        <w:tabs>
          <w:tab w:val="left" w:pos="851"/>
        </w:tabs>
        <w:ind w:left="0" w:firstLine="567"/>
        <w:jc w:val="both"/>
        <w:rPr>
          <w:rFonts w:cs="Arial"/>
          <w:sz w:val="20"/>
          <w:szCs w:val="20"/>
          <w:lang w:val="ru-RU"/>
        </w:rPr>
      </w:pPr>
      <w:r w:rsidRPr="00831C92">
        <w:rPr>
          <w:rFonts w:cs="Arial"/>
          <w:sz w:val="20"/>
          <w:szCs w:val="20"/>
          <w:lang w:val="ru-RU"/>
        </w:rPr>
        <w:t xml:space="preserve">принимаются к вычету либо учитываются в их  стоимости в той пропорции, в которой они используются для производства и (или) реализации товаров (работ, услуг), имущественных прав, операции по реализации которых подлежат налогообложению (освобождаются от налогообложения), в случае, если приобретенные товары (работы, услуги), в том числе основные средства и нематериальные активы, имущественные права, одновременно используются для осуществления как облагаемых налогом, так и не подлежащих налогообложению (освобожденных от налогообложения) операций.  </w:t>
      </w:r>
    </w:p>
    <w:p w:rsidR="00971231" w:rsidRPr="00831C92" w:rsidRDefault="00971231" w:rsidP="00971231">
      <w:pPr>
        <w:jc w:val="both"/>
        <w:rPr>
          <w:rFonts w:cs="Arial"/>
          <w:sz w:val="20"/>
          <w:szCs w:val="20"/>
          <w:lang w:val="ru-RU"/>
        </w:rPr>
      </w:pPr>
      <w:r w:rsidRPr="00831C92">
        <w:rPr>
          <w:rFonts w:cs="Arial"/>
          <w:sz w:val="20"/>
          <w:szCs w:val="20"/>
          <w:lang w:val="ru-RU"/>
        </w:rPr>
        <w:t>Банк ведет раздельный учет облагаемых и не облагаемых НДС операций.</w:t>
      </w:r>
    </w:p>
    <w:p w:rsidR="00971231" w:rsidRDefault="00971231" w:rsidP="00971231">
      <w:pPr>
        <w:jc w:val="both"/>
        <w:rPr>
          <w:rFonts w:cs="Arial"/>
          <w:sz w:val="20"/>
          <w:szCs w:val="20"/>
          <w:lang w:val="ru-RU"/>
        </w:rPr>
      </w:pPr>
    </w:p>
    <w:p w:rsidR="00971231" w:rsidRPr="008B1F78" w:rsidRDefault="00971231" w:rsidP="00971231">
      <w:pPr>
        <w:jc w:val="both"/>
        <w:rPr>
          <w:rFonts w:cs="Arial"/>
          <w:b/>
          <w:sz w:val="20"/>
          <w:szCs w:val="20"/>
          <w:lang w:val="ru-RU"/>
        </w:rPr>
      </w:pPr>
      <w:r w:rsidRPr="008B1F78">
        <w:rPr>
          <w:rFonts w:cs="Arial"/>
          <w:b/>
          <w:sz w:val="20"/>
          <w:szCs w:val="20"/>
          <w:lang w:val="ru-RU"/>
        </w:rPr>
        <w:t xml:space="preserve">Капитал и фонды, прибыль, распределение прибыли </w:t>
      </w:r>
    </w:p>
    <w:p w:rsidR="00971231" w:rsidRPr="005A3097" w:rsidRDefault="00971231" w:rsidP="00971231">
      <w:pPr>
        <w:jc w:val="both"/>
        <w:rPr>
          <w:sz w:val="20"/>
          <w:szCs w:val="20"/>
          <w:lang w:val="ru-RU"/>
        </w:rPr>
      </w:pPr>
      <w:r w:rsidRPr="005A3097">
        <w:rPr>
          <w:sz w:val="20"/>
          <w:szCs w:val="20"/>
          <w:lang w:val="ru-RU"/>
        </w:rPr>
        <w:t>Бухгалтерский учет операций связанных с формированием уставного капитала  осуществляется в соответствии с Положением  от 27.02.2017  № 579-П, Инструкцией Банка России от 27.12.2013  № 148-И.</w:t>
      </w:r>
    </w:p>
    <w:p w:rsidR="00971231" w:rsidRPr="005A3097" w:rsidRDefault="00971231" w:rsidP="00971231">
      <w:pPr>
        <w:jc w:val="both"/>
        <w:rPr>
          <w:sz w:val="20"/>
          <w:szCs w:val="20"/>
          <w:lang w:val="ru-RU"/>
        </w:rPr>
      </w:pPr>
      <w:r w:rsidRPr="005A3097">
        <w:rPr>
          <w:sz w:val="20"/>
          <w:szCs w:val="20"/>
          <w:lang w:val="ru-RU"/>
        </w:rPr>
        <w:t>Уставный капитал банка состоит из номинальной стоимости акций, приобретенных акционерами.</w:t>
      </w:r>
    </w:p>
    <w:p w:rsidR="00971231" w:rsidRPr="005A3097" w:rsidRDefault="00971231" w:rsidP="00971231">
      <w:pPr>
        <w:jc w:val="both"/>
        <w:rPr>
          <w:sz w:val="20"/>
          <w:szCs w:val="20"/>
          <w:lang w:val="ru-RU"/>
        </w:rPr>
      </w:pPr>
      <w:r w:rsidRPr="005A3097">
        <w:rPr>
          <w:sz w:val="20"/>
          <w:szCs w:val="20"/>
          <w:lang w:val="ru-RU"/>
        </w:rPr>
        <w:t>Уставом банка определяется  количество, номинальная стоимость акций, категории (типы) акций, права, предоставляемые этими акциями, порядок и условия размещения акций.</w:t>
      </w:r>
    </w:p>
    <w:p w:rsidR="00971231" w:rsidRPr="005A3097" w:rsidRDefault="00971231" w:rsidP="00971231">
      <w:pPr>
        <w:jc w:val="both"/>
        <w:rPr>
          <w:sz w:val="20"/>
          <w:szCs w:val="20"/>
          <w:lang w:val="ru-RU"/>
        </w:rPr>
      </w:pPr>
      <w:r w:rsidRPr="005A3097">
        <w:rPr>
          <w:sz w:val="20"/>
          <w:szCs w:val="20"/>
          <w:lang w:val="ru-RU"/>
        </w:rPr>
        <w:t>Номинальная стоимость акций при формировании уставного капитала отражается в бухгалтерском учете в валюте Российской Федерации.</w:t>
      </w:r>
    </w:p>
    <w:p w:rsidR="00971231" w:rsidRPr="005A3097" w:rsidRDefault="00971231" w:rsidP="00971231">
      <w:pPr>
        <w:jc w:val="both"/>
        <w:rPr>
          <w:sz w:val="20"/>
          <w:szCs w:val="20"/>
          <w:lang w:val="ru-RU"/>
        </w:rPr>
      </w:pPr>
      <w:r w:rsidRPr="005A3097">
        <w:rPr>
          <w:sz w:val="20"/>
          <w:szCs w:val="20"/>
          <w:lang w:val="ru-RU"/>
        </w:rPr>
        <w:t>Держателем реестра акционеров банка является регистратор – профессиональный участник рынка ценных бумаг, осуществляющий деятельность по ведению реестра владельцев именных ценных бумаг и имеющий соответствующую лицензию на осуществление данного вида деятельности.</w:t>
      </w:r>
    </w:p>
    <w:p w:rsidR="00971231" w:rsidRPr="005A3097" w:rsidRDefault="00971231" w:rsidP="00971231">
      <w:pPr>
        <w:jc w:val="both"/>
        <w:rPr>
          <w:sz w:val="20"/>
          <w:szCs w:val="20"/>
          <w:lang w:val="ru-RU"/>
        </w:rPr>
      </w:pPr>
      <w:r w:rsidRPr="005A3097">
        <w:rPr>
          <w:sz w:val="20"/>
          <w:szCs w:val="20"/>
          <w:lang w:val="ru-RU"/>
        </w:rPr>
        <w:t xml:space="preserve">Величина уставного капитала банка может быть увеличена за счет собственных средств </w:t>
      </w:r>
      <w:r w:rsidR="008B1F78">
        <w:rPr>
          <w:sz w:val="20"/>
          <w:szCs w:val="20"/>
          <w:lang w:val="ru-RU"/>
        </w:rPr>
        <w:t>Б</w:t>
      </w:r>
      <w:r w:rsidRPr="005A3097">
        <w:rPr>
          <w:sz w:val="20"/>
          <w:szCs w:val="20"/>
          <w:lang w:val="ru-RU"/>
        </w:rPr>
        <w:t>анка (капитализация) или за счет дополнительных вкладов акционеров (участников).</w:t>
      </w:r>
    </w:p>
    <w:p w:rsidR="00971231" w:rsidRPr="005A3097" w:rsidRDefault="00971231" w:rsidP="00971231">
      <w:pPr>
        <w:jc w:val="both"/>
        <w:rPr>
          <w:sz w:val="20"/>
          <w:szCs w:val="20"/>
          <w:lang w:val="ru-RU"/>
        </w:rPr>
      </w:pPr>
      <w:r w:rsidRPr="005A3097">
        <w:rPr>
          <w:sz w:val="20"/>
          <w:szCs w:val="20"/>
          <w:lang w:val="ru-RU"/>
        </w:rPr>
        <w:t>На капитализацию могут быть направлены:</w:t>
      </w:r>
    </w:p>
    <w:p w:rsidR="00971231" w:rsidRPr="0008119E" w:rsidRDefault="00971231" w:rsidP="00FC5D59">
      <w:pPr>
        <w:pStyle w:val="afd"/>
        <w:numPr>
          <w:ilvl w:val="0"/>
          <w:numId w:val="60"/>
        </w:numPr>
        <w:tabs>
          <w:tab w:val="left" w:pos="851"/>
        </w:tabs>
        <w:ind w:left="0" w:firstLine="567"/>
        <w:jc w:val="both"/>
        <w:rPr>
          <w:sz w:val="20"/>
          <w:szCs w:val="20"/>
          <w:lang w:val="ru-RU"/>
        </w:rPr>
      </w:pPr>
      <w:r w:rsidRPr="0008119E">
        <w:rPr>
          <w:sz w:val="20"/>
          <w:szCs w:val="20"/>
          <w:lang w:val="ru-RU"/>
        </w:rPr>
        <w:t>средства, полученные банком от продажи акций их первым владельцам по цене выше номинальной стоимости (счет 10602 «Эмиссионный доход»);</w:t>
      </w:r>
    </w:p>
    <w:p w:rsidR="00971231" w:rsidRPr="0008119E" w:rsidRDefault="00971231" w:rsidP="00FC5D59">
      <w:pPr>
        <w:pStyle w:val="afd"/>
        <w:numPr>
          <w:ilvl w:val="0"/>
          <w:numId w:val="60"/>
        </w:numPr>
        <w:tabs>
          <w:tab w:val="left" w:pos="851"/>
        </w:tabs>
        <w:ind w:left="0" w:firstLine="567"/>
        <w:jc w:val="both"/>
        <w:rPr>
          <w:sz w:val="20"/>
          <w:szCs w:val="20"/>
          <w:lang w:val="ru-RU"/>
        </w:rPr>
      </w:pPr>
      <w:r w:rsidRPr="0008119E">
        <w:rPr>
          <w:sz w:val="20"/>
          <w:szCs w:val="20"/>
          <w:lang w:val="ru-RU"/>
        </w:rPr>
        <w:lastRenderedPageBreak/>
        <w:t>средства, полученные в результате переоценки основных средств (фонд переоценки), счет 10601 «Прирост стоимости имущества при переоценке»;</w:t>
      </w:r>
    </w:p>
    <w:p w:rsidR="00971231" w:rsidRPr="0008119E" w:rsidRDefault="00971231" w:rsidP="00FC5D59">
      <w:pPr>
        <w:pStyle w:val="afd"/>
        <w:numPr>
          <w:ilvl w:val="0"/>
          <w:numId w:val="60"/>
        </w:numPr>
        <w:tabs>
          <w:tab w:val="left" w:pos="851"/>
        </w:tabs>
        <w:ind w:left="0" w:firstLine="567"/>
        <w:jc w:val="both"/>
        <w:rPr>
          <w:sz w:val="20"/>
          <w:szCs w:val="20"/>
          <w:lang w:val="ru-RU"/>
        </w:rPr>
      </w:pPr>
      <w:r w:rsidRPr="0008119E">
        <w:rPr>
          <w:sz w:val="20"/>
          <w:szCs w:val="20"/>
          <w:lang w:val="ru-RU"/>
        </w:rPr>
        <w:t>нераспределенная прибыль по итогам отчетного года, счет 10801 «Нераспределенная прибыль».</w:t>
      </w:r>
    </w:p>
    <w:p w:rsidR="00971231" w:rsidRPr="005A3097" w:rsidRDefault="00971231" w:rsidP="00971231">
      <w:pPr>
        <w:jc w:val="both"/>
        <w:rPr>
          <w:sz w:val="20"/>
          <w:szCs w:val="20"/>
          <w:lang w:val="ru-RU"/>
        </w:rPr>
      </w:pPr>
      <w:r w:rsidRPr="005A3097">
        <w:rPr>
          <w:sz w:val="20"/>
          <w:szCs w:val="20"/>
          <w:lang w:val="ru-RU"/>
        </w:rPr>
        <w:t>Размещение акций дополнительного выпуска должно быть закончено по истечение одного года с даты начала эмиссии, акции должны быть оплачены в течение срока, определенного в соответствии с решением об их размещении. Акции дополнительного выпуска размещаются по рыночной цене, но не ниже их номинальной стоимости.</w:t>
      </w:r>
    </w:p>
    <w:p w:rsidR="00971231" w:rsidRPr="005A3097" w:rsidRDefault="00971231" w:rsidP="00971231">
      <w:pPr>
        <w:jc w:val="both"/>
        <w:rPr>
          <w:sz w:val="20"/>
          <w:szCs w:val="20"/>
          <w:lang w:val="ru-RU"/>
        </w:rPr>
      </w:pPr>
      <w:r w:rsidRPr="005A3097">
        <w:rPr>
          <w:sz w:val="20"/>
          <w:szCs w:val="20"/>
          <w:lang w:val="ru-RU"/>
        </w:rPr>
        <w:t>В случае размещения дополнительных акций по цене выше номинальной стоимости возникает добавочный капитал, который отражается в бухгалтерском учете на счете 10602 «Эмиссионный доход».</w:t>
      </w:r>
    </w:p>
    <w:p w:rsidR="00971231" w:rsidRPr="005A3097" w:rsidRDefault="00971231" w:rsidP="00971231">
      <w:pPr>
        <w:jc w:val="both"/>
        <w:rPr>
          <w:sz w:val="20"/>
          <w:szCs w:val="20"/>
          <w:lang w:val="ru-RU"/>
        </w:rPr>
      </w:pPr>
      <w:r w:rsidRPr="005A3097">
        <w:rPr>
          <w:sz w:val="20"/>
          <w:szCs w:val="20"/>
          <w:lang w:val="ru-RU"/>
        </w:rPr>
        <w:t>Уменьшение уставного капитала банка может быть произведено либо путем уменьшения количества акций, либо уменьшением их номинальной стоимости. В первом случае осуществляется погашение части собственных акций, выкупленных у акционеров, во втором   уменьшение номинальной стоимости акций.</w:t>
      </w:r>
    </w:p>
    <w:p w:rsidR="00971231" w:rsidRDefault="00971231" w:rsidP="00971231">
      <w:pPr>
        <w:jc w:val="both"/>
        <w:rPr>
          <w:sz w:val="20"/>
          <w:szCs w:val="20"/>
          <w:lang w:val="ru-RU"/>
        </w:rPr>
      </w:pPr>
      <w:r w:rsidRPr="005A3097">
        <w:rPr>
          <w:sz w:val="20"/>
          <w:szCs w:val="20"/>
          <w:lang w:val="ru-RU"/>
        </w:rPr>
        <w:t>Банк может выкупать собственные акции после принятие общим собранием акционеров решения об уменьшении уставного капитала путем сокращения общего количества акций, по требованию акционеров, в других случаях предусмотренных действующим законодательством. Акции выкупаются у акционеров по рыночной стоимости, определяемой решением Совета директоров, в порядке установленном действующим законодательством, но подлежат учету в балансе по цене приобретения. Учет собственных акций, выкупленных у акционеров ведется на активном балансовом счете 10501 «Собственные акции, выкупленные у акционеров». При выкупе акций по цене, отличной от номинала, возникает разница между выкупной и номинальной стоимостью акций, которую следует относить на счета доходов или расходов соответственно в момент реализации выкупленных акций или уменьшение уставного капитала</w:t>
      </w:r>
      <w:r w:rsidRPr="005A3097">
        <w:rPr>
          <w:b/>
          <w:sz w:val="20"/>
          <w:szCs w:val="20"/>
          <w:lang w:val="ru-RU"/>
        </w:rPr>
        <w:t xml:space="preserve">. </w:t>
      </w:r>
      <w:r w:rsidRPr="005A3097">
        <w:rPr>
          <w:sz w:val="20"/>
          <w:szCs w:val="20"/>
          <w:lang w:val="ru-RU"/>
        </w:rPr>
        <w:t xml:space="preserve"> После получении выписки от регистратора об изменении в составе акционеров, данная операция отражается в аналитическом учете по счету 10207 «Уставный капитал кредитных организаций, созданных в форме акционерного общества» путем списания с лицевого счета акционера и зачислением на лицевой счет банка 10207. Акции должны быть реализованы не позднее одного года с даты приобретения, в противном случае общее собрание акционеров должно принять решение об уменьшении уставного капитала. После регистрации изменений, вносимых в устав производится уменьшение уставного капитала.</w:t>
      </w:r>
    </w:p>
    <w:p w:rsidR="00971231" w:rsidRDefault="00971231" w:rsidP="0008119E">
      <w:pPr>
        <w:jc w:val="both"/>
        <w:rPr>
          <w:sz w:val="20"/>
          <w:szCs w:val="20"/>
          <w:lang w:val="ru-RU"/>
        </w:rPr>
      </w:pPr>
      <w:r>
        <w:rPr>
          <w:sz w:val="20"/>
          <w:szCs w:val="20"/>
          <w:lang w:val="ru-RU"/>
        </w:rPr>
        <w:t>Отчетным периодом для определения финансового результата является год.</w:t>
      </w:r>
    </w:p>
    <w:p w:rsidR="00971231" w:rsidRPr="00771A00" w:rsidRDefault="00971231" w:rsidP="0008119E">
      <w:pPr>
        <w:pStyle w:val="a7"/>
        <w:ind w:right="0"/>
        <w:jc w:val="both"/>
        <w:rPr>
          <w:sz w:val="20"/>
          <w:szCs w:val="20"/>
          <w:lang w:val="ru-RU"/>
        </w:rPr>
      </w:pPr>
      <w:r w:rsidRPr="00771A00">
        <w:rPr>
          <w:sz w:val="20"/>
          <w:szCs w:val="20"/>
          <w:lang w:val="ru-RU"/>
        </w:rPr>
        <w:t xml:space="preserve">Учет доходов и расходов ведется нарастающим итогом с начала года. </w:t>
      </w:r>
    </w:p>
    <w:p w:rsidR="00971231" w:rsidRPr="00771A00" w:rsidRDefault="00971231" w:rsidP="0008119E">
      <w:pPr>
        <w:pStyle w:val="a7"/>
        <w:ind w:right="0"/>
        <w:jc w:val="both"/>
        <w:rPr>
          <w:sz w:val="20"/>
          <w:szCs w:val="20"/>
          <w:lang w:val="ru-RU"/>
        </w:rPr>
      </w:pPr>
      <w:r w:rsidRPr="00771A00">
        <w:rPr>
          <w:sz w:val="20"/>
          <w:szCs w:val="20"/>
          <w:lang w:val="ru-RU"/>
        </w:rPr>
        <w:t xml:space="preserve">Филиал в течение отчетного года ведет учет доходов, расходов на своем балансе.  Учет финансового результата текущего года ведется на балансовых счетах второго порядка  № 706 «Финансовый результат текущего года». </w:t>
      </w:r>
    </w:p>
    <w:p w:rsidR="00971231" w:rsidRPr="004D65B5" w:rsidRDefault="00971231" w:rsidP="0008119E">
      <w:pPr>
        <w:pStyle w:val="a7"/>
        <w:ind w:right="0"/>
        <w:jc w:val="both"/>
        <w:rPr>
          <w:sz w:val="20"/>
          <w:szCs w:val="20"/>
          <w:lang w:val="ru-RU"/>
        </w:rPr>
      </w:pPr>
      <w:r w:rsidRPr="00771A00">
        <w:rPr>
          <w:sz w:val="20"/>
          <w:szCs w:val="20"/>
          <w:lang w:val="ru-RU"/>
        </w:rPr>
        <w:t xml:space="preserve">В первый рабочий день нового года после составления бухгалтерского баланса на 1января головной Банк осуществляет перенос остатков, отраженных на счете 706 «Финансовый результат текущего года», на счет 707 «Финансовый результат прошлого года», что является первой записью по отражению событий после отчетной даты в балансе головного Банка. В первый рабочий день нового года после составления ежедневного баланса на 1 января  нового года филиал передает остатки, отраженные на лицевых счетах балансового счета 706 «Финансовый результат текущего года», на баланс головного банка. Указанная операция оформляется проводками, являющимися проводками </w:t>
      </w:r>
      <w:r w:rsidRPr="004D65B5">
        <w:rPr>
          <w:sz w:val="20"/>
          <w:szCs w:val="20"/>
          <w:lang w:val="ru-RU"/>
        </w:rPr>
        <w:t>по отражению событий после отчетной даты у филиала банка.</w:t>
      </w:r>
    </w:p>
    <w:p w:rsidR="00971231" w:rsidRPr="00771A00" w:rsidRDefault="00971231" w:rsidP="0008119E">
      <w:pPr>
        <w:pStyle w:val="a7"/>
        <w:ind w:right="0"/>
        <w:jc w:val="both"/>
        <w:rPr>
          <w:rFonts w:cs="Arial"/>
          <w:sz w:val="20"/>
          <w:szCs w:val="20"/>
          <w:lang w:val="ru-RU"/>
        </w:rPr>
      </w:pPr>
      <w:r w:rsidRPr="00771A00">
        <w:rPr>
          <w:rFonts w:cs="Arial"/>
          <w:sz w:val="20"/>
          <w:szCs w:val="20"/>
          <w:lang w:val="ru-RU"/>
        </w:rPr>
        <w:t xml:space="preserve">События после отчетной даты проводятся и отражаются  в балансе Головного </w:t>
      </w:r>
      <w:r w:rsidR="00D71AA0">
        <w:rPr>
          <w:rFonts w:cs="Arial"/>
          <w:sz w:val="20"/>
          <w:szCs w:val="20"/>
          <w:lang w:val="ru-RU"/>
        </w:rPr>
        <w:t>Б</w:t>
      </w:r>
      <w:r w:rsidRPr="00771A00">
        <w:rPr>
          <w:rFonts w:cs="Arial"/>
          <w:sz w:val="20"/>
          <w:szCs w:val="20"/>
          <w:lang w:val="ru-RU"/>
        </w:rPr>
        <w:t>анка.</w:t>
      </w:r>
    </w:p>
    <w:p w:rsidR="00971231" w:rsidRPr="00771A00" w:rsidRDefault="00971231" w:rsidP="0008119E">
      <w:pPr>
        <w:pStyle w:val="a7"/>
        <w:ind w:right="0"/>
        <w:jc w:val="both"/>
        <w:rPr>
          <w:rFonts w:cs="Arial"/>
          <w:sz w:val="20"/>
          <w:szCs w:val="20"/>
          <w:lang w:val="ru-RU"/>
        </w:rPr>
      </w:pPr>
      <w:r w:rsidRPr="00771A00">
        <w:rPr>
          <w:rFonts w:cs="Arial"/>
          <w:sz w:val="20"/>
          <w:szCs w:val="20"/>
          <w:lang w:val="ru-RU"/>
        </w:rPr>
        <w:t xml:space="preserve">На основании решения годового Собрания акционеров прибыль </w:t>
      </w:r>
      <w:r w:rsidR="00D71AA0">
        <w:rPr>
          <w:rFonts w:cs="Arial"/>
          <w:sz w:val="20"/>
          <w:szCs w:val="20"/>
          <w:lang w:val="ru-RU"/>
        </w:rPr>
        <w:t>Б</w:t>
      </w:r>
      <w:r w:rsidRPr="00771A00">
        <w:rPr>
          <w:rFonts w:cs="Arial"/>
          <w:sz w:val="20"/>
          <w:szCs w:val="20"/>
          <w:lang w:val="ru-RU"/>
        </w:rPr>
        <w:t>анка может быть направлена:</w:t>
      </w:r>
    </w:p>
    <w:p w:rsidR="00971231" w:rsidRPr="00771A00" w:rsidRDefault="00971231" w:rsidP="00FC5D59">
      <w:pPr>
        <w:pStyle w:val="a7"/>
        <w:numPr>
          <w:ilvl w:val="0"/>
          <w:numId w:val="60"/>
        </w:numPr>
        <w:ind w:right="0"/>
        <w:jc w:val="both"/>
        <w:rPr>
          <w:rFonts w:cs="Arial"/>
          <w:sz w:val="20"/>
          <w:szCs w:val="20"/>
          <w:lang w:val="ru-RU"/>
        </w:rPr>
      </w:pPr>
      <w:r w:rsidRPr="00771A00">
        <w:rPr>
          <w:rFonts w:cs="Arial"/>
          <w:sz w:val="20"/>
          <w:szCs w:val="20"/>
          <w:lang w:val="ru-RU"/>
        </w:rPr>
        <w:t xml:space="preserve">на выплату дивидендов акционерам от участия в уставном капитале </w:t>
      </w:r>
      <w:r w:rsidR="00D71AA0">
        <w:rPr>
          <w:rFonts w:cs="Arial"/>
          <w:sz w:val="20"/>
          <w:szCs w:val="20"/>
          <w:lang w:val="ru-RU"/>
        </w:rPr>
        <w:t>Б</w:t>
      </w:r>
      <w:r w:rsidRPr="00771A00">
        <w:rPr>
          <w:rFonts w:cs="Arial"/>
          <w:sz w:val="20"/>
          <w:szCs w:val="20"/>
          <w:lang w:val="ru-RU"/>
        </w:rPr>
        <w:t>анка;</w:t>
      </w:r>
    </w:p>
    <w:p w:rsidR="00971231" w:rsidRPr="00771A00" w:rsidRDefault="00971231" w:rsidP="00FC5D59">
      <w:pPr>
        <w:pStyle w:val="a7"/>
        <w:numPr>
          <w:ilvl w:val="0"/>
          <w:numId w:val="60"/>
        </w:numPr>
        <w:ind w:right="0"/>
        <w:jc w:val="both"/>
        <w:rPr>
          <w:rFonts w:cs="Arial"/>
          <w:sz w:val="20"/>
          <w:szCs w:val="20"/>
          <w:lang w:val="ru-RU"/>
        </w:rPr>
      </w:pPr>
      <w:r w:rsidRPr="00771A00">
        <w:rPr>
          <w:rFonts w:cs="Arial"/>
          <w:sz w:val="20"/>
          <w:szCs w:val="20"/>
          <w:lang w:val="ru-RU"/>
        </w:rPr>
        <w:t xml:space="preserve">на формирование (пополнение) резервного фонда </w:t>
      </w:r>
      <w:r w:rsidR="00D71AA0">
        <w:rPr>
          <w:rFonts w:cs="Arial"/>
          <w:sz w:val="20"/>
          <w:szCs w:val="20"/>
          <w:lang w:val="ru-RU"/>
        </w:rPr>
        <w:t>Б</w:t>
      </w:r>
      <w:r w:rsidRPr="00771A00">
        <w:rPr>
          <w:rFonts w:cs="Arial"/>
          <w:sz w:val="20"/>
          <w:szCs w:val="20"/>
          <w:lang w:val="ru-RU"/>
        </w:rPr>
        <w:t>анка;</w:t>
      </w:r>
    </w:p>
    <w:p w:rsidR="00971231" w:rsidRPr="00771A00" w:rsidRDefault="00971231" w:rsidP="00FC5D59">
      <w:pPr>
        <w:pStyle w:val="a7"/>
        <w:numPr>
          <w:ilvl w:val="0"/>
          <w:numId w:val="60"/>
        </w:numPr>
        <w:ind w:right="0"/>
        <w:jc w:val="both"/>
        <w:rPr>
          <w:rFonts w:cs="Arial"/>
          <w:sz w:val="20"/>
          <w:szCs w:val="20"/>
          <w:lang w:val="ru-RU"/>
        </w:rPr>
      </w:pPr>
      <w:r w:rsidRPr="00771A00">
        <w:rPr>
          <w:rFonts w:cs="Arial"/>
          <w:sz w:val="20"/>
          <w:szCs w:val="20"/>
          <w:lang w:val="ru-RU"/>
        </w:rPr>
        <w:t>на погашение непокрытых убытков прошлых лет;</w:t>
      </w:r>
    </w:p>
    <w:p w:rsidR="00971231" w:rsidRPr="00771A00" w:rsidRDefault="00971231" w:rsidP="00FC5D59">
      <w:pPr>
        <w:pStyle w:val="a7"/>
        <w:numPr>
          <w:ilvl w:val="0"/>
          <w:numId w:val="60"/>
        </w:numPr>
        <w:ind w:right="0"/>
        <w:jc w:val="both"/>
        <w:rPr>
          <w:rFonts w:cs="Arial"/>
          <w:sz w:val="20"/>
          <w:szCs w:val="20"/>
          <w:lang w:val="ru-RU"/>
        </w:rPr>
      </w:pPr>
      <w:r w:rsidRPr="00771A00">
        <w:rPr>
          <w:rFonts w:cs="Arial"/>
          <w:sz w:val="20"/>
          <w:szCs w:val="20"/>
          <w:lang w:val="ru-RU"/>
        </w:rPr>
        <w:t>на иные выплаты целевого назначения.</w:t>
      </w:r>
    </w:p>
    <w:p w:rsidR="00971231" w:rsidRDefault="00971231" w:rsidP="0008119E">
      <w:pPr>
        <w:pStyle w:val="a7"/>
        <w:ind w:right="0"/>
        <w:jc w:val="both"/>
        <w:rPr>
          <w:rFonts w:cs="Arial"/>
          <w:sz w:val="20"/>
          <w:szCs w:val="20"/>
          <w:lang w:val="ru-RU"/>
        </w:rPr>
      </w:pPr>
      <w:r w:rsidRPr="00771A00">
        <w:rPr>
          <w:rFonts w:cs="Arial"/>
          <w:sz w:val="20"/>
          <w:szCs w:val="20"/>
          <w:lang w:val="ru-RU"/>
        </w:rPr>
        <w:t xml:space="preserve">В случае, если по решению годового собрания акционеров прибыль </w:t>
      </w:r>
      <w:r w:rsidR="00D71AA0">
        <w:rPr>
          <w:rFonts w:cs="Arial"/>
          <w:sz w:val="20"/>
          <w:szCs w:val="20"/>
          <w:lang w:val="ru-RU"/>
        </w:rPr>
        <w:t>Б</w:t>
      </w:r>
      <w:r w:rsidRPr="00771A00">
        <w:rPr>
          <w:rFonts w:cs="Arial"/>
          <w:sz w:val="20"/>
          <w:szCs w:val="20"/>
          <w:lang w:val="ru-RU"/>
        </w:rPr>
        <w:t xml:space="preserve">анка за прошлый год полностью или частично остается в распоряжении </w:t>
      </w:r>
      <w:r w:rsidR="00D71AA0">
        <w:rPr>
          <w:rFonts w:cs="Arial"/>
          <w:sz w:val="20"/>
          <w:szCs w:val="20"/>
          <w:lang w:val="ru-RU"/>
        </w:rPr>
        <w:t>Б</w:t>
      </w:r>
      <w:r w:rsidRPr="00771A00">
        <w:rPr>
          <w:rFonts w:cs="Arial"/>
          <w:sz w:val="20"/>
          <w:szCs w:val="20"/>
          <w:lang w:val="ru-RU"/>
        </w:rPr>
        <w:t>анка, то сумма прибыли (ее часть</w:t>
      </w:r>
      <w:r>
        <w:rPr>
          <w:rFonts w:cs="Arial"/>
          <w:sz w:val="20"/>
          <w:szCs w:val="20"/>
          <w:lang w:val="ru-RU"/>
        </w:rPr>
        <w:t>)</w:t>
      </w:r>
      <w:r w:rsidRPr="00771A00">
        <w:rPr>
          <w:rFonts w:cs="Arial"/>
          <w:sz w:val="20"/>
          <w:szCs w:val="20"/>
          <w:lang w:val="ru-RU"/>
        </w:rPr>
        <w:t xml:space="preserve"> переносится на свет по учету нераспределенной прибыли.</w:t>
      </w:r>
    </w:p>
    <w:p w:rsidR="00971231" w:rsidRDefault="00971231" w:rsidP="00971231">
      <w:pPr>
        <w:pStyle w:val="a7"/>
        <w:jc w:val="both"/>
        <w:rPr>
          <w:rFonts w:cs="Arial"/>
          <w:sz w:val="20"/>
          <w:szCs w:val="20"/>
          <w:lang w:val="ru-RU"/>
        </w:rPr>
      </w:pPr>
    </w:p>
    <w:p w:rsidR="00971231" w:rsidRPr="00D71AA0" w:rsidRDefault="00971231" w:rsidP="00971231">
      <w:pPr>
        <w:pStyle w:val="a7"/>
        <w:jc w:val="both"/>
        <w:rPr>
          <w:rFonts w:cs="Arial"/>
          <w:b/>
          <w:sz w:val="20"/>
          <w:szCs w:val="20"/>
          <w:lang w:val="ru-RU"/>
        </w:rPr>
      </w:pPr>
      <w:r w:rsidRPr="00D71AA0">
        <w:rPr>
          <w:rFonts w:cs="Arial"/>
          <w:b/>
          <w:sz w:val="20"/>
          <w:szCs w:val="20"/>
          <w:lang w:val="ru-RU"/>
        </w:rPr>
        <w:t xml:space="preserve">Оценочные, условные обязательства некредитного характера </w:t>
      </w:r>
    </w:p>
    <w:p w:rsidR="00971231" w:rsidRPr="00D23408" w:rsidRDefault="00971231" w:rsidP="00D23408">
      <w:pPr>
        <w:pStyle w:val="a7"/>
        <w:ind w:right="1"/>
        <w:jc w:val="both"/>
        <w:rPr>
          <w:sz w:val="20"/>
          <w:szCs w:val="20"/>
          <w:lang w:val="ru-RU"/>
        </w:rPr>
      </w:pPr>
      <w:r w:rsidRPr="00D23408">
        <w:rPr>
          <w:sz w:val="20"/>
          <w:szCs w:val="20"/>
          <w:lang w:val="ru-RU"/>
        </w:rPr>
        <w:t xml:space="preserve">Условное обязательство некредитного характера возникает у </w:t>
      </w:r>
      <w:r w:rsidR="00D71AA0">
        <w:rPr>
          <w:sz w:val="20"/>
          <w:szCs w:val="20"/>
          <w:lang w:val="ru-RU"/>
        </w:rPr>
        <w:t>Б</w:t>
      </w:r>
      <w:r w:rsidRPr="00D23408">
        <w:rPr>
          <w:sz w:val="20"/>
          <w:szCs w:val="20"/>
          <w:lang w:val="ru-RU"/>
        </w:rPr>
        <w:t xml:space="preserve">анка вследствие прошлых событий  финансово–хозяйственной деятельности, когда существование у банка обязательства на ежемесячную отчетную дату зависит от наступления (ненаступления) одного или нескольких будущих неопределенных событий, не контролируемых </w:t>
      </w:r>
      <w:r w:rsidR="00D71AA0">
        <w:rPr>
          <w:sz w:val="20"/>
          <w:szCs w:val="20"/>
          <w:lang w:val="ru-RU"/>
        </w:rPr>
        <w:t>Б</w:t>
      </w:r>
      <w:r w:rsidRPr="00D23408">
        <w:rPr>
          <w:sz w:val="20"/>
          <w:szCs w:val="20"/>
          <w:lang w:val="ru-RU"/>
        </w:rPr>
        <w:t>анком</w:t>
      </w:r>
    </w:p>
    <w:p w:rsidR="00971231" w:rsidRPr="00D23408" w:rsidRDefault="00971231" w:rsidP="00D23408">
      <w:pPr>
        <w:pStyle w:val="a7"/>
        <w:ind w:right="1"/>
        <w:jc w:val="both"/>
        <w:rPr>
          <w:sz w:val="20"/>
          <w:szCs w:val="20"/>
          <w:lang w:val="ru-RU"/>
        </w:rPr>
      </w:pPr>
      <w:r w:rsidRPr="00D23408">
        <w:rPr>
          <w:sz w:val="20"/>
          <w:szCs w:val="20"/>
          <w:lang w:val="ru-RU"/>
        </w:rPr>
        <w:t>Бухгалтерский учет резервов — оценочных обязательств некредитного характера и условных обязательств ведется в соответствии с Положением Банка России от 27 февраля 2017 г. № 579</w:t>
      </w:r>
      <w:r w:rsidR="00D23408">
        <w:rPr>
          <w:sz w:val="20"/>
          <w:szCs w:val="20"/>
          <w:lang w:val="ru-RU"/>
        </w:rPr>
        <w:t>-</w:t>
      </w:r>
      <w:r w:rsidRPr="00D23408">
        <w:rPr>
          <w:sz w:val="20"/>
          <w:szCs w:val="20"/>
          <w:lang w:val="ru-RU"/>
        </w:rPr>
        <w:t>П.</w:t>
      </w:r>
    </w:p>
    <w:p w:rsidR="00971231" w:rsidRPr="0065704D" w:rsidRDefault="00971231" w:rsidP="00971231">
      <w:pPr>
        <w:spacing w:line="288" w:lineRule="auto"/>
        <w:jc w:val="both"/>
        <w:rPr>
          <w:rFonts w:eastAsia="Calibri" w:cs="Arial"/>
          <w:sz w:val="20"/>
          <w:szCs w:val="20"/>
          <w:lang w:val="ru-RU"/>
        </w:rPr>
      </w:pPr>
      <w:r w:rsidRPr="0065704D">
        <w:rPr>
          <w:rFonts w:eastAsia="Calibri" w:cs="Arial"/>
          <w:sz w:val="20"/>
          <w:szCs w:val="20"/>
          <w:lang w:val="ru-RU"/>
        </w:rPr>
        <w:t>Оценочное обязательство может возникнуть:</w:t>
      </w:r>
    </w:p>
    <w:p w:rsidR="00971231" w:rsidRPr="00D23408" w:rsidRDefault="00971231" w:rsidP="00FC5D59">
      <w:pPr>
        <w:pStyle w:val="a7"/>
        <w:numPr>
          <w:ilvl w:val="0"/>
          <w:numId w:val="60"/>
        </w:numPr>
        <w:ind w:right="1"/>
        <w:jc w:val="both"/>
        <w:rPr>
          <w:sz w:val="20"/>
          <w:szCs w:val="20"/>
          <w:lang w:val="ru-RU"/>
        </w:rPr>
      </w:pPr>
      <w:r w:rsidRPr="00D23408">
        <w:rPr>
          <w:sz w:val="20"/>
          <w:szCs w:val="20"/>
          <w:lang w:val="ru-RU"/>
        </w:rPr>
        <w:lastRenderedPageBreak/>
        <w:t>из норм законодательных и иных нормативных правовых актов, судебных решений, договоров;</w:t>
      </w:r>
    </w:p>
    <w:p w:rsidR="00971231" w:rsidRPr="00D23408" w:rsidRDefault="00971231" w:rsidP="00FC5D59">
      <w:pPr>
        <w:pStyle w:val="a7"/>
        <w:numPr>
          <w:ilvl w:val="0"/>
          <w:numId w:val="60"/>
        </w:numPr>
        <w:ind w:right="1"/>
        <w:jc w:val="both"/>
        <w:rPr>
          <w:sz w:val="20"/>
          <w:szCs w:val="20"/>
          <w:lang w:val="ru-RU"/>
        </w:rPr>
      </w:pPr>
      <w:r w:rsidRPr="00D23408">
        <w:rPr>
          <w:sz w:val="20"/>
          <w:szCs w:val="20"/>
          <w:lang w:val="ru-RU"/>
        </w:rPr>
        <w:t>в результате действий банка, которые вследствие установившейся прошлой практики или заявлений банка указывают другим лицам, что банк принимает на себя определенные обязанности, и, как следствие, у таких лиц возникают обоснованные ожидания, что банк выполнит такие обязанности.</w:t>
      </w:r>
    </w:p>
    <w:p w:rsidR="00971231" w:rsidRPr="00D23408" w:rsidRDefault="00971231" w:rsidP="00D23408">
      <w:pPr>
        <w:pStyle w:val="a7"/>
        <w:ind w:right="1"/>
        <w:jc w:val="both"/>
        <w:rPr>
          <w:sz w:val="20"/>
          <w:szCs w:val="20"/>
          <w:lang w:val="ru-RU"/>
        </w:rPr>
      </w:pPr>
      <w:r w:rsidRPr="00D23408">
        <w:rPr>
          <w:sz w:val="20"/>
          <w:szCs w:val="20"/>
          <w:lang w:val="ru-RU"/>
        </w:rPr>
        <w:t>Оценочное обязательство признается в бухгалтерском учете при одновременном соблюдении следующих условий:</w:t>
      </w:r>
    </w:p>
    <w:p w:rsidR="00971231" w:rsidRPr="00D23408" w:rsidRDefault="00971231" w:rsidP="00FC5D59">
      <w:pPr>
        <w:pStyle w:val="a7"/>
        <w:numPr>
          <w:ilvl w:val="0"/>
          <w:numId w:val="60"/>
        </w:numPr>
        <w:ind w:right="1"/>
        <w:jc w:val="both"/>
        <w:rPr>
          <w:sz w:val="20"/>
          <w:szCs w:val="20"/>
          <w:lang w:val="ru-RU"/>
        </w:rPr>
      </w:pPr>
      <w:r w:rsidRPr="00D23408">
        <w:rPr>
          <w:sz w:val="20"/>
          <w:szCs w:val="20"/>
          <w:lang w:val="ru-RU"/>
        </w:rPr>
        <w:t xml:space="preserve">у </w:t>
      </w:r>
      <w:r w:rsidR="00D71AA0">
        <w:rPr>
          <w:sz w:val="20"/>
          <w:szCs w:val="20"/>
          <w:lang w:val="ru-RU"/>
        </w:rPr>
        <w:t>Б</w:t>
      </w:r>
      <w:r w:rsidRPr="00D23408">
        <w:rPr>
          <w:sz w:val="20"/>
          <w:szCs w:val="20"/>
          <w:lang w:val="ru-RU"/>
        </w:rPr>
        <w:t>анка существует обязанность, явившаяся следствием прошлых событий ее финансово–хозяйственной деятельности, исполнения которой банк не может избежать. В случае, когда у банка возникают сомнения в наличии такой обязанности, банк признает оценочное обязательство, если в результате анализа всех обстоятельств и условий, включая мнения экспертов, более вероятно, чем нет, что обязанность существует;</w:t>
      </w:r>
    </w:p>
    <w:p w:rsidR="00971231" w:rsidRPr="00D23408" w:rsidRDefault="00971231" w:rsidP="00FC5D59">
      <w:pPr>
        <w:pStyle w:val="a7"/>
        <w:numPr>
          <w:ilvl w:val="0"/>
          <w:numId w:val="60"/>
        </w:numPr>
        <w:ind w:right="1"/>
        <w:jc w:val="both"/>
        <w:rPr>
          <w:sz w:val="20"/>
          <w:szCs w:val="20"/>
          <w:lang w:val="ru-RU"/>
        </w:rPr>
      </w:pPr>
      <w:r w:rsidRPr="00D23408">
        <w:rPr>
          <w:sz w:val="20"/>
          <w:szCs w:val="20"/>
          <w:lang w:val="ru-RU"/>
        </w:rPr>
        <w:t xml:space="preserve">уменьшение экономических выгод </w:t>
      </w:r>
      <w:r w:rsidR="00D71AA0">
        <w:rPr>
          <w:sz w:val="20"/>
          <w:szCs w:val="20"/>
          <w:lang w:val="ru-RU"/>
        </w:rPr>
        <w:t>Б</w:t>
      </w:r>
      <w:r w:rsidRPr="00D23408">
        <w:rPr>
          <w:sz w:val="20"/>
          <w:szCs w:val="20"/>
          <w:lang w:val="ru-RU"/>
        </w:rPr>
        <w:t>анка, необходимое для исполнения оценочного обязательства, вероятно и составляет более 50% самого обязательства;</w:t>
      </w:r>
    </w:p>
    <w:p w:rsidR="00971231" w:rsidRPr="00D23408" w:rsidRDefault="00971231" w:rsidP="00FC5D59">
      <w:pPr>
        <w:pStyle w:val="a7"/>
        <w:numPr>
          <w:ilvl w:val="0"/>
          <w:numId w:val="60"/>
        </w:numPr>
        <w:ind w:right="1"/>
        <w:jc w:val="both"/>
        <w:rPr>
          <w:sz w:val="20"/>
          <w:szCs w:val="20"/>
          <w:lang w:val="ru-RU"/>
        </w:rPr>
      </w:pPr>
      <w:r w:rsidRPr="00D23408">
        <w:rPr>
          <w:sz w:val="20"/>
          <w:szCs w:val="20"/>
          <w:lang w:val="ru-RU"/>
        </w:rPr>
        <w:t>величина оценочного обязательства может быть обоснованно оценена.</w:t>
      </w:r>
    </w:p>
    <w:p w:rsidR="00971231" w:rsidRDefault="00971231" w:rsidP="00D23408">
      <w:pPr>
        <w:pStyle w:val="a7"/>
        <w:ind w:right="1"/>
        <w:jc w:val="both"/>
        <w:rPr>
          <w:sz w:val="20"/>
          <w:szCs w:val="20"/>
          <w:lang w:val="ru-RU"/>
        </w:rPr>
      </w:pPr>
      <w:r w:rsidRPr="00D23408">
        <w:rPr>
          <w:sz w:val="20"/>
          <w:szCs w:val="20"/>
          <w:lang w:val="ru-RU"/>
        </w:rPr>
        <w:t>Условные обязательства некредитного характера подлежат резервированию в соответствии с Положением Банка России № 611-П.</w:t>
      </w:r>
    </w:p>
    <w:p w:rsidR="00D23408" w:rsidRDefault="00D23408" w:rsidP="00D23408">
      <w:pPr>
        <w:jc w:val="both"/>
        <w:rPr>
          <w:rFonts w:cs="Arial"/>
          <w:b/>
          <w:sz w:val="20"/>
          <w:szCs w:val="20"/>
          <w:lang w:val="ru-RU"/>
        </w:rPr>
      </w:pPr>
    </w:p>
    <w:p w:rsidR="00D23408" w:rsidRDefault="00D23408" w:rsidP="00D23408">
      <w:pPr>
        <w:jc w:val="both"/>
        <w:rPr>
          <w:rFonts w:cs="Arial"/>
          <w:b/>
          <w:sz w:val="20"/>
          <w:szCs w:val="20"/>
          <w:lang w:val="ru-RU"/>
        </w:rPr>
      </w:pPr>
      <w:r w:rsidRPr="008A16BE">
        <w:rPr>
          <w:rFonts w:cs="Arial"/>
          <w:b/>
          <w:sz w:val="20"/>
          <w:szCs w:val="20"/>
          <w:lang w:val="ru-RU"/>
        </w:rPr>
        <w:t xml:space="preserve">Базы оценки, используемые при подготовке годовой отчетности, и иные положения </w:t>
      </w:r>
      <w:r w:rsidR="00D71AA0">
        <w:rPr>
          <w:rFonts w:cs="Arial"/>
          <w:b/>
          <w:sz w:val="20"/>
          <w:szCs w:val="20"/>
          <w:lang w:val="ru-RU"/>
        </w:rPr>
        <w:t>У</w:t>
      </w:r>
      <w:r w:rsidRPr="008A16BE">
        <w:rPr>
          <w:rFonts w:cs="Arial"/>
          <w:b/>
          <w:sz w:val="20"/>
          <w:szCs w:val="20"/>
          <w:lang w:val="ru-RU"/>
        </w:rPr>
        <w:t xml:space="preserve">четной </w:t>
      </w:r>
      <w:r w:rsidR="00D71AA0">
        <w:rPr>
          <w:rFonts w:cs="Arial"/>
          <w:b/>
          <w:sz w:val="20"/>
          <w:szCs w:val="20"/>
          <w:lang w:val="ru-RU"/>
        </w:rPr>
        <w:t>П</w:t>
      </w:r>
      <w:r w:rsidRPr="008A16BE">
        <w:rPr>
          <w:rFonts w:cs="Arial"/>
          <w:b/>
          <w:sz w:val="20"/>
          <w:szCs w:val="20"/>
          <w:lang w:val="ru-RU"/>
        </w:rPr>
        <w:t>олитики, необходимые для понимания годовой отчетности</w:t>
      </w:r>
    </w:p>
    <w:p w:rsidR="00D23408" w:rsidRDefault="00D23408" w:rsidP="00D23408">
      <w:pPr>
        <w:jc w:val="both"/>
        <w:rPr>
          <w:rFonts w:cs="Arial"/>
          <w:sz w:val="20"/>
          <w:szCs w:val="20"/>
          <w:lang w:val="ru-RU"/>
        </w:rPr>
      </w:pPr>
      <w:r>
        <w:rPr>
          <w:rFonts w:cs="Arial"/>
          <w:sz w:val="20"/>
          <w:szCs w:val="20"/>
          <w:lang w:val="ru-RU"/>
        </w:rPr>
        <w:t>Датой первоначального признания финансовых активов в бухгалтерском учете является дата заключения договора, приобретение права собственности. Датой прекращения признания в бухгалтерском учете финансовых активов является дата прекращения в соответствии с договором требований и обязате</w:t>
      </w:r>
      <w:r w:rsidR="002D1DB0">
        <w:rPr>
          <w:rFonts w:cs="Arial"/>
          <w:sz w:val="20"/>
          <w:szCs w:val="20"/>
          <w:lang w:val="ru-RU"/>
        </w:rPr>
        <w:t xml:space="preserve">льств, утратой прав на актив.  </w:t>
      </w:r>
    </w:p>
    <w:p w:rsidR="00D23408" w:rsidRDefault="00D23408" w:rsidP="00D23408">
      <w:pPr>
        <w:jc w:val="both"/>
        <w:rPr>
          <w:rFonts w:cs="Arial"/>
          <w:sz w:val="20"/>
          <w:szCs w:val="20"/>
          <w:lang w:val="ru-RU"/>
        </w:rPr>
      </w:pPr>
      <w:r>
        <w:rPr>
          <w:rFonts w:cs="Arial"/>
          <w:sz w:val="20"/>
          <w:szCs w:val="20"/>
          <w:lang w:val="ru-RU"/>
        </w:rPr>
        <w:t>Под финансовые активы резервы на возможные потери формируются в случае невозможного определения справедливой стоимости, либо</w:t>
      </w:r>
      <w:r w:rsidR="002D1DB0">
        <w:rPr>
          <w:rFonts w:cs="Arial"/>
          <w:sz w:val="20"/>
          <w:szCs w:val="20"/>
          <w:lang w:val="ru-RU"/>
        </w:rPr>
        <w:t xml:space="preserve"> наличия признаков обесценения.</w:t>
      </w:r>
    </w:p>
    <w:p w:rsidR="00D23408" w:rsidRDefault="00D23408" w:rsidP="00D23408">
      <w:pPr>
        <w:jc w:val="both"/>
        <w:rPr>
          <w:rFonts w:cs="Arial"/>
          <w:sz w:val="20"/>
          <w:szCs w:val="20"/>
          <w:lang w:val="ru-RU"/>
        </w:rPr>
      </w:pPr>
      <w:r>
        <w:rPr>
          <w:rFonts w:cs="Arial"/>
          <w:sz w:val="20"/>
          <w:szCs w:val="20"/>
          <w:lang w:val="ru-RU"/>
        </w:rPr>
        <w:t xml:space="preserve">Задолженность признанная безнадежной или нереальной для взыскания по решению уполномоченного органа </w:t>
      </w:r>
      <w:r w:rsidR="002D1DB0">
        <w:rPr>
          <w:rFonts w:cs="Arial"/>
          <w:sz w:val="20"/>
          <w:szCs w:val="20"/>
          <w:lang w:val="ru-RU"/>
        </w:rPr>
        <w:t>Б</w:t>
      </w:r>
      <w:r>
        <w:rPr>
          <w:rFonts w:cs="Arial"/>
          <w:sz w:val="20"/>
          <w:szCs w:val="20"/>
          <w:lang w:val="ru-RU"/>
        </w:rPr>
        <w:t xml:space="preserve">анка списывается с баланса </w:t>
      </w:r>
      <w:r w:rsidR="002D1DB0">
        <w:rPr>
          <w:rFonts w:cs="Arial"/>
          <w:sz w:val="20"/>
          <w:szCs w:val="20"/>
          <w:lang w:val="ru-RU"/>
        </w:rPr>
        <w:t>Б</w:t>
      </w:r>
      <w:r>
        <w:rPr>
          <w:rFonts w:cs="Arial"/>
          <w:sz w:val="20"/>
          <w:szCs w:val="20"/>
          <w:lang w:val="ru-RU"/>
        </w:rPr>
        <w:t>анка за счет резерва на возможные потери по ссудам, а при его недостатке списывается на убытки отчетного года – с отнесением на балансовый счет № 70606 «Расходы». Нереальный для взыскания признается задолженность, по которой меры, предпринятые по взысканию, носят полный характер (включая реализацию залога) и свидетельствуют о невозможности проведения дальнейших действий по возвращению ссуды.</w:t>
      </w:r>
    </w:p>
    <w:p w:rsidR="00D23408" w:rsidRDefault="00D23408" w:rsidP="00D23408">
      <w:pPr>
        <w:jc w:val="both"/>
        <w:rPr>
          <w:rFonts w:cs="Arial"/>
          <w:sz w:val="20"/>
          <w:szCs w:val="20"/>
          <w:lang w:val="ru-RU"/>
        </w:rPr>
      </w:pPr>
      <w:r>
        <w:rPr>
          <w:rFonts w:cs="Arial"/>
          <w:sz w:val="20"/>
          <w:szCs w:val="20"/>
          <w:lang w:val="ru-RU"/>
        </w:rPr>
        <w:t xml:space="preserve">Списание с баланса </w:t>
      </w:r>
      <w:r w:rsidR="002D1DB0">
        <w:rPr>
          <w:rFonts w:cs="Arial"/>
          <w:sz w:val="20"/>
          <w:szCs w:val="20"/>
          <w:lang w:val="ru-RU"/>
        </w:rPr>
        <w:t>Б</w:t>
      </w:r>
      <w:r>
        <w:rPr>
          <w:rFonts w:cs="Arial"/>
          <w:sz w:val="20"/>
          <w:szCs w:val="20"/>
          <w:lang w:val="ru-RU"/>
        </w:rPr>
        <w:t xml:space="preserve">анка безнадежной или нереальной для взыскания задолженности и перенесение указанной задолженности на соответствующие внебалансовые счета, а также списание этой задолженности с внебалансовых счетов производится в порядке, изложенном в Положении </w:t>
      </w:r>
      <w:r w:rsidR="002D1DB0">
        <w:rPr>
          <w:rFonts w:cs="Arial"/>
          <w:sz w:val="20"/>
          <w:szCs w:val="20"/>
          <w:lang w:val="ru-RU"/>
        </w:rPr>
        <w:t>Банка России</w:t>
      </w:r>
      <w:r>
        <w:rPr>
          <w:rFonts w:cs="Arial"/>
          <w:sz w:val="20"/>
          <w:szCs w:val="20"/>
          <w:lang w:val="ru-RU"/>
        </w:rPr>
        <w:t xml:space="preserve"> «О порядке формирования кредитными организациями резервов на возможные потери по ссудам, по ссудной и приравненной к ней задолженности» от 28.06.2017г. № 590-П, Положении </w:t>
      </w:r>
      <w:r w:rsidR="002D1DB0">
        <w:rPr>
          <w:rFonts w:cs="Arial"/>
          <w:sz w:val="20"/>
          <w:szCs w:val="20"/>
          <w:lang w:val="ru-RU"/>
        </w:rPr>
        <w:t>Банка России</w:t>
      </w:r>
      <w:r>
        <w:rPr>
          <w:rFonts w:cs="Arial"/>
          <w:sz w:val="20"/>
          <w:szCs w:val="20"/>
          <w:lang w:val="ru-RU"/>
        </w:rPr>
        <w:t xml:space="preserve"> «О порядке формирования кредитными организациями резервов на возможные потери» от 23.10.</w:t>
      </w:r>
      <w:r w:rsidR="002D1DB0">
        <w:rPr>
          <w:rFonts w:cs="Arial"/>
          <w:sz w:val="20"/>
          <w:szCs w:val="20"/>
          <w:lang w:val="ru-RU"/>
        </w:rPr>
        <w:t>20</w:t>
      </w:r>
      <w:r>
        <w:rPr>
          <w:rFonts w:cs="Arial"/>
          <w:sz w:val="20"/>
          <w:szCs w:val="20"/>
          <w:lang w:val="ru-RU"/>
        </w:rPr>
        <w:t xml:space="preserve">17г. № 611-П.  </w:t>
      </w:r>
    </w:p>
    <w:p w:rsidR="00D23408" w:rsidRPr="00831C92" w:rsidRDefault="00D23408" w:rsidP="00D23408">
      <w:pPr>
        <w:jc w:val="both"/>
        <w:rPr>
          <w:rFonts w:cs="Arial"/>
          <w:sz w:val="20"/>
          <w:szCs w:val="20"/>
          <w:lang w:val="ru-RU"/>
        </w:rPr>
      </w:pPr>
    </w:p>
    <w:p w:rsidR="00D23408" w:rsidRPr="00831C92" w:rsidRDefault="00D23408" w:rsidP="00D23408">
      <w:pPr>
        <w:jc w:val="both"/>
        <w:rPr>
          <w:rFonts w:cs="Arial"/>
          <w:b/>
          <w:sz w:val="20"/>
          <w:szCs w:val="20"/>
          <w:lang w:val="ru-RU"/>
        </w:rPr>
      </w:pPr>
      <w:r w:rsidRPr="00831C92">
        <w:rPr>
          <w:rFonts w:cs="Arial"/>
          <w:b/>
          <w:sz w:val="20"/>
          <w:szCs w:val="20"/>
          <w:lang w:val="ru-RU"/>
        </w:rPr>
        <w:t>Информация о характере и величине корректировок, связанных с изменением учетной политики и расчетных оценок, влияющих на сопоставимость отдельных</w:t>
      </w:r>
      <w:r w:rsidR="002D1DB0">
        <w:rPr>
          <w:rFonts w:cs="Arial"/>
          <w:b/>
          <w:sz w:val="20"/>
          <w:szCs w:val="20"/>
          <w:lang w:val="ru-RU"/>
        </w:rPr>
        <w:t xml:space="preserve"> показателей деятельности Банка</w:t>
      </w:r>
    </w:p>
    <w:p w:rsidR="00D23408" w:rsidRPr="00831C92" w:rsidRDefault="00D23408" w:rsidP="00D23408">
      <w:pPr>
        <w:jc w:val="both"/>
        <w:rPr>
          <w:rFonts w:cs="Arial"/>
          <w:sz w:val="20"/>
          <w:szCs w:val="20"/>
          <w:lang w:val="ru-RU"/>
        </w:rPr>
      </w:pPr>
      <w:r>
        <w:rPr>
          <w:rFonts w:cs="Arial"/>
          <w:sz w:val="20"/>
          <w:szCs w:val="20"/>
          <w:lang w:val="ru-RU"/>
        </w:rPr>
        <w:t xml:space="preserve">В </w:t>
      </w:r>
      <w:r w:rsidR="00525602">
        <w:rPr>
          <w:rFonts w:cs="Arial"/>
          <w:sz w:val="20"/>
          <w:szCs w:val="20"/>
          <w:lang w:val="ru-RU"/>
        </w:rPr>
        <w:t>У</w:t>
      </w:r>
      <w:r>
        <w:rPr>
          <w:rFonts w:cs="Arial"/>
          <w:sz w:val="20"/>
          <w:szCs w:val="20"/>
          <w:lang w:val="ru-RU"/>
        </w:rPr>
        <w:t xml:space="preserve">четную </w:t>
      </w:r>
      <w:r w:rsidR="00525602">
        <w:rPr>
          <w:rFonts w:cs="Arial"/>
          <w:sz w:val="20"/>
          <w:szCs w:val="20"/>
          <w:lang w:val="ru-RU"/>
        </w:rPr>
        <w:t>П</w:t>
      </w:r>
      <w:r>
        <w:rPr>
          <w:rFonts w:cs="Arial"/>
          <w:sz w:val="20"/>
          <w:szCs w:val="20"/>
          <w:lang w:val="ru-RU"/>
        </w:rPr>
        <w:t xml:space="preserve">олитику в 2018 году не вносились изменения, влияющие на расчетные оценки, в связи с этим корректировки, влияющие на отдельные показатели деятельности </w:t>
      </w:r>
      <w:r w:rsidR="002D1DB0">
        <w:rPr>
          <w:rFonts w:cs="Arial"/>
          <w:sz w:val="20"/>
          <w:szCs w:val="20"/>
          <w:lang w:val="ru-RU"/>
        </w:rPr>
        <w:t>Б</w:t>
      </w:r>
      <w:r>
        <w:rPr>
          <w:rFonts w:cs="Arial"/>
          <w:sz w:val="20"/>
          <w:szCs w:val="20"/>
          <w:lang w:val="ru-RU"/>
        </w:rPr>
        <w:t xml:space="preserve">анка, отсутствуют. </w:t>
      </w:r>
    </w:p>
    <w:p w:rsidR="00D23408" w:rsidRPr="00831C92" w:rsidRDefault="00D23408" w:rsidP="00D23408">
      <w:pPr>
        <w:jc w:val="both"/>
        <w:rPr>
          <w:rFonts w:cs="Arial"/>
          <w:sz w:val="20"/>
          <w:szCs w:val="20"/>
          <w:lang w:val="ru-RU"/>
        </w:rPr>
      </w:pPr>
    </w:p>
    <w:p w:rsidR="00D23408" w:rsidRPr="00831C92" w:rsidRDefault="00D23408" w:rsidP="00D23408">
      <w:pPr>
        <w:jc w:val="both"/>
        <w:rPr>
          <w:rFonts w:cs="Arial"/>
          <w:b/>
          <w:sz w:val="20"/>
          <w:szCs w:val="20"/>
          <w:lang w:val="ru-RU"/>
        </w:rPr>
      </w:pPr>
      <w:r w:rsidRPr="00831C92">
        <w:rPr>
          <w:rFonts w:cs="Arial"/>
          <w:b/>
          <w:sz w:val="20"/>
          <w:szCs w:val="20"/>
          <w:lang w:val="ru-RU"/>
        </w:rPr>
        <w:t xml:space="preserve">Информация о характере допущений </w:t>
      </w:r>
      <w:r>
        <w:rPr>
          <w:rFonts w:cs="Arial"/>
          <w:b/>
          <w:sz w:val="20"/>
          <w:szCs w:val="20"/>
          <w:lang w:val="ru-RU"/>
        </w:rPr>
        <w:t>в отношении основных источников неопределенности, связанной с расчетными оценками по состоянию на конец отчетного периода, которые могут привести к необходимости корректировки балансовой стоимости активов и обязательств, предусмотренную пунктом 125 МСФО (</w:t>
      </w:r>
      <w:r>
        <w:rPr>
          <w:rFonts w:cs="Arial"/>
          <w:b/>
          <w:sz w:val="20"/>
          <w:szCs w:val="20"/>
          <w:lang w:val="en-US"/>
        </w:rPr>
        <w:t>IAS</w:t>
      </w:r>
      <w:r w:rsidR="002D1DB0">
        <w:rPr>
          <w:rFonts w:cs="Arial"/>
          <w:b/>
          <w:sz w:val="20"/>
          <w:szCs w:val="20"/>
          <w:lang w:val="ru-RU"/>
        </w:rPr>
        <w:t>) 1</w:t>
      </w:r>
    </w:p>
    <w:p w:rsidR="00D23408" w:rsidRDefault="00D23408" w:rsidP="00D23408">
      <w:pPr>
        <w:jc w:val="both"/>
        <w:rPr>
          <w:rFonts w:cs="Arial"/>
          <w:sz w:val="20"/>
          <w:szCs w:val="20"/>
          <w:lang w:val="ru-RU"/>
        </w:rPr>
      </w:pPr>
      <w:r>
        <w:rPr>
          <w:rFonts w:cs="Arial"/>
          <w:sz w:val="20"/>
          <w:szCs w:val="20"/>
          <w:lang w:val="ru-RU"/>
        </w:rPr>
        <w:t xml:space="preserve">В процессе применения </w:t>
      </w:r>
      <w:r w:rsidR="002D1DB0">
        <w:rPr>
          <w:rFonts w:cs="Arial"/>
          <w:sz w:val="20"/>
          <w:szCs w:val="20"/>
          <w:lang w:val="ru-RU"/>
        </w:rPr>
        <w:t>У</w:t>
      </w:r>
      <w:r>
        <w:rPr>
          <w:rFonts w:cs="Arial"/>
          <w:sz w:val="20"/>
          <w:szCs w:val="20"/>
          <w:lang w:val="ru-RU"/>
        </w:rPr>
        <w:t xml:space="preserve">четной </w:t>
      </w:r>
      <w:r w:rsidR="002D1DB0">
        <w:rPr>
          <w:rFonts w:cs="Arial"/>
          <w:sz w:val="20"/>
          <w:szCs w:val="20"/>
          <w:lang w:val="ru-RU"/>
        </w:rPr>
        <w:t>П</w:t>
      </w:r>
      <w:r>
        <w:rPr>
          <w:rFonts w:cs="Arial"/>
          <w:sz w:val="20"/>
          <w:szCs w:val="20"/>
          <w:lang w:val="ru-RU"/>
        </w:rPr>
        <w:t>олитики руководство должно делать оценки и допущения в отношении балансовой стоимости активов и обязательств, которые не являются очевидными из других источников. Оценочные значения и лежащие в их основе допущения формируются исходя из прошлого опыта и прочих факторов, которые считаются уместными в конкретных обстоятельствах. Фактические результаты могут отличаться от данных оценок.</w:t>
      </w:r>
    </w:p>
    <w:p w:rsidR="00D23408" w:rsidRDefault="00D23408" w:rsidP="00D23408">
      <w:pPr>
        <w:jc w:val="both"/>
        <w:rPr>
          <w:rFonts w:cs="Arial"/>
          <w:sz w:val="20"/>
          <w:szCs w:val="20"/>
          <w:lang w:val="ru-RU"/>
        </w:rPr>
      </w:pPr>
      <w:r>
        <w:rPr>
          <w:rFonts w:cs="Arial"/>
          <w:sz w:val="20"/>
          <w:szCs w:val="20"/>
          <w:lang w:val="ru-RU"/>
        </w:rPr>
        <w:t xml:space="preserve">Оценки и связанные с ними допущения регулярно пересматриваются. Изменения в оценках отражаются в том периоде, в котором оценка была пересмотрена, если изменение влияет только на этот период, либо в том периоде, к которому относится изменение, и в будущих  периодах, если изменение влияет как на текущие, так и на будущие периоды. </w:t>
      </w:r>
    </w:p>
    <w:p w:rsidR="00D23408" w:rsidRDefault="00D23408" w:rsidP="00D23408">
      <w:pPr>
        <w:jc w:val="both"/>
        <w:rPr>
          <w:rFonts w:cs="Arial"/>
          <w:sz w:val="20"/>
          <w:szCs w:val="20"/>
          <w:lang w:val="ru-RU"/>
        </w:rPr>
      </w:pPr>
      <w:r>
        <w:rPr>
          <w:rFonts w:cs="Arial"/>
          <w:sz w:val="20"/>
          <w:szCs w:val="20"/>
          <w:lang w:val="ru-RU"/>
        </w:rPr>
        <w:t xml:space="preserve">Банк регулярно проводит оценку имеющейся задолженности по ссудам и дебиторской задолженности на предмет обесценения. Резервы на возможные потери по ссудам создаются для признания понесенных убытков от обесценения в портфеле ссуд и дебиторской задолженности. </w:t>
      </w:r>
      <w:r>
        <w:rPr>
          <w:rFonts w:cs="Arial"/>
          <w:sz w:val="20"/>
          <w:szCs w:val="20"/>
          <w:lang w:val="ru-RU"/>
        </w:rPr>
        <w:lastRenderedPageBreak/>
        <w:t xml:space="preserve">Банк считает учетные оценки, связанные с резервов на возможные потери по ссудам и дебиторской задолженности, ключевым источником неопределенности в оценках в связи с тем, что </w:t>
      </w:r>
    </w:p>
    <w:p w:rsidR="00D23408" w:rsidRPr="00D23408" w:rsidRDefault="00D23408" w:rsidP="00FC5D59">
      <w:pPr>
        <w:pStyle w:val="afd"/>
        <w:numPr>
          <w:ilvl w:val="0"/>
          <w:numId w:val="61"/>
        </w:numPr>
        <w:tabs>
          <w:tab w:val="left" w:pos="851"/>
        </w:tabs>
        <w:ind w:left="0" w:firstLine="567"/>
        <w:jc w:val="both"/>
        <w:rPr>
          <w:rFonts w:cs="Arial"/>
          <w:sz w:val="20"/>
          <w:szCs w:val="20"/>
          <w:lang w:val="ru-RU"/>
        </w:rPr>
      </w:pPr>
      <w:r w:rsidRPr="00D23408">
        <w:rPr>
          <w:rFonts w:cs="Arial"/>
          <w:sz w:val="20"/>
          <w:szCs w:val="20"/>
          <w:lang w:val="ru-RU"/>
        </w:rPr>
        <w:t>они сильно подвержены изменениям из периода в период, поскольку предложения о будущих нормах потерь и оценка потенциальных убытков по обесцененным ссудам и дебиторской задолженности основаны на фактических показателях, имеющихся на текущую дату,</w:t>
      </w:r>
    </w:p>
    <w:p w:rsidR="00D23408" w:rsidRPr="00D23408" w:rsidRDefault="00D23408" w:rsidP="00FC5D59">
      <w:pPr>
        <w:pStyle w:val="afd"/>
        <w:numPr>
          <w:ilvl w:val="0"/>
          <w:numId w:val="61"/>
        </w:numPr>
        <w:tabs>
          <w:tab w:val="left" w:pos="851"/>
        </w:tabs>
        <w:ind w:left="0" w:firstLine="567"/>
        <w:jc w:val="both"/>
        <w:rPr>
          <w:rFonts w:cs="Arial"/>
          <w:sz w:val="20"/>
          <w:szCs w:val="20"/>
          <w:lang w:val="ru-RU"/>
        </w:rPr>
      </w:pPr>
      <w:r w:rsidRPr="00D23408">
        <w:rPr>
          <w:rFonts w:cs="Arial"/>
          <w:sz w:val="20"/>
          <w:szCs w:val="20"/>
          <w:lang w:val="ru-RU"/>
        </w:rPr>
        <w:t xml:space="preserve">и при наличии существенной разницы между оценочными значениями убытка и фактически понесенными банком убытками потребуется формирование резервов, которые могут оказать существенное влияние на годовую отчетность банка в последующие периоды.  </w:t>
      </w:r>
    </w:p>
    <w:p w:rsidR="00D23408" w:rsidRDefault="00D23408" w:rsidP="00D23408">
      <w:pPr>
        <w:jc w:val="both"/>
        <w:rPr>
          <w:rFonts w:cs="Arial"/>
          <w:sz w:val="20"/>
          <w:szCs w:val="20"/>
          <w:lang w:val="ru-RU"/>
        </w:rPr>
      </w:pPr>
      <w:r>
        <w:rPr>
          <w:rFonts w:cs="Arial"/>
          <w:sz w:val="20"/>
          <w:szCs w:val="20"/>
          <w:lang w:val="ru-RU"/>
        </w:rPr>
        <w:t xml:space="preserve">Исходя из имеющегося опыта, банк использует свое субъективное суждение при оценке убытков от обесценения в ситуациях, когда заемщик испытывает финансовые затруднения и отсутствует достаточный объем фактических данных об аналогичных заемщиках. Банк аналогичным образом оценивает изменения будущих денежных потоков на основе наблюдаемых данных, указывающих на неблагоприятное изменение в статусе погашения обязательств заемщиками в составе группы или изменение государственных либо местных экономических условий, которые соотносятся со случаями невыполнения обязательств по активам в составе группы. </w:t>
      </w:r>
    </w:p>
    <w:p w:rsidR="00D23408" w:rsidRDefault="00D23408" w:rsidP="00D23408">
      <w:pPr>
        <w:jc w:val="both"/>
        <w:rPr>
          <w:rFonts w:cs="Arial"/>
          <w:sz w:val="20"/>
          <w:szCs w:val="20"/>
          <w:lang w:val="ru-RU"/>
        </w:rPr>
      </w:pPr>
      <w:r>
        <w:rPr>
          <w:rFonts w:cs="Arial"/>
          <w:sz w:val="20"/>
          <w:szCs w:val="20"/>
          <w:lang w:val="ru-RU"/>
        </w:rPr>
        <w:t>Банк использует оценки, основанные на исторических данных о структуре убытков в отношении активов с аналогичными характеристиками кредитного риска и объективными признаками обесценения по группам кредитов и дебиторской задолженности. Исходя из имеющегося опыта, банк использует свое субъективное суждение при корректировке наблюдаемых данных применительно к группе кредитов и дебиторской задолженности для отражения текущих обстоятельств.</w:t>
      </w:r>
    </w:p>
    <w:p w:rsidR="00D23408" w:rsidRDefault="00D23408" w:rsidP="00D23408">
      <w:pPr>
        <w:jc w:val="both"/>
        <w:rPr>
          <w:rFonts w:cs="Arial"/>
          <w:sz w:val="20"/>
          <w:szCs w:val="20"/>
          <w:lang w:val="ru-RU"/>
        </w:rPr>
      </w:pPr>
      <w:r>
        <w:rPr>
          <w:rFonts w:cs="Arial"/>
          <w:sz w:val="20"/>
          <w:szCs w:val="20"/>
          <w:lang w:val="ru-RU"/>
        </w:rPr>
        <w:t>Резервы на возможные потери по финансовым активам в годовой отчетности определяются на основе существующих экономических и политических условий. Банк не в состоянии предсказать, какие изменения произойдут в Российской Федерации, и какое влияние эти изменения могут иметь на адекватность резервов на возможные потери по финансовым активам в будущем.</w:t>
      </w:r>
    </w:p>
    <w:p w:rsidR="00D23408" w:rsidRDefault="00D23408" w:rsidP="00D23408">
      <w:pPr>
        <w:pStyle w:val="aff5"/>
        <w:rPr>
          <w:b w:val="0"/>
          <w:i w:val="0"/>
          <w:sz w:val="20"/>
          <w:szCs w:val="20"/>
        </w:rPr>
      </w:pPr>
      <w:r w:rsidRPr="00940788">
        <w:rPr>
          <w:b w:val="0"/>
          <w:i w:val="0"/>
          <w:sz w:val="20"/>
          <w:szCs w:val="20"/>
        </w:rPr>
        <w:t>Порядок определения банком справедливой стоимости финансовых инструментов, в том числе, характеристики рынка, признаваемого активным, методы и периодичность проведения оценки справедливой стоимости указан в разделе «Учет операций с ценными бумагами, метод оценки</w:t>
      </w:r>
      <w:r>
        <w:rPr>
          <w:b w:val="0"/>
          <w:i w:val="0"/>
          <w:sz w:val="20"/>
          <w:szCs w:val="20"/>
        </w:rPr>
        <w:t>», а также в стандартах банка</w:t>
      </w:r>
    </w:p>
    <w:p w:rsidR="00D23408" w:rsidRPr="00940788" w:rsidRDefault="00D23408" w:rsidP="00D23408">
      <w:pPr>
        <w:pStyle w:val="aff5"/>
        <w:rPr>
          <w:b w:val="0"/>
          <w:i w:val="0"/>
          <w:sz w:val="20"/>
          <w:szCs w:val="20"/>
        </w:rPr>
      </w:pPr>
      <w:r>
        <w:rPr>
          <w:b w:val="0"/>
          <w:i w:val="0"/>
          <w:sz w:val="20"/>
          <w:szCs w:val="20"/>
        </w:rPr>
        <w:t>Срок полезного использования, способ начисления амортизации для основных средств и нематериальных активов, расчетная ликвидационная стоимость для основных средств пересматриваются банком в конце каждого отчетного года</w:t>
      </w:r>
      <w:r w:rsidRPr="00940788">
        <w:rPr>
          <w:b w:val="0"/>
          <w:i w:val="0"/>
          <w:sz w:val="20"/>
          <w:szCs w:val="20"/>
        </w:rPr>
        <w:t xml:space="preserve">.  </w:t>
      </w:r>
    </w:p>
    <w:p w:rsidR="00D23408" w:rsidRPr="00831C92" w:rsidRDefault="00D23408" w:rsidP="00D23408">
      <w:pPr>
        <w:jc w:val="both"/>
        <w:rPr>
          <w:rFonts w:cs="Arial"/>
          <w:sz w:val="20"/>
          <w:szCs w:val="20"/>
          <w:lang w:val="ru-RU"/>
        </w:rPr>
      </w:pPr>
    </w:p>
    <w:p w:rsidR="00D23408" w:rsidRPr="00831C92" w:rsidRDefault="00D23408" w:rsidP="00D23408">
      <w:pPr>
        <w:jc w:val="both"/>
        <w:rPr>
          <w:rFonts w:cs="Arial"/>
          <w:b/>
          <w:sz w:val="20"/>
          <w:szCs w:val="20"/>
          <w:lang w:val="ru-RU"/>
        </w:rPr>
      </w:pPr>
      <w:r w:rsidRPr="00831C92">
        <w:rPr>
          <w:rFonts w:cs="Arial"/>
          <w:b/>
          <w:sz w:val="20"/>
          <w:szCs w:val="20"/>
          <w:lang w:val="ru-RU"/>
        </w:rPr>
        <w:t xml:space="preserve">Сведения о корректирующих событиях после отчетной даты </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перенос остатков, отраженных на счете 706 «Финансовый результат текущего года» на счет 707 «Финансовый результат прошлого года»;</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исправления несущественных ошибок отчетного года, выявленных в период составления год</w:t>
      </w:r>
      <w:r>
        <w:rPr>
          <w:sz w:val="20"/>
          <w:szCs w:val="20"/>
          <w:lang w:val="ru-RU"/>
        </w:rPr>
        <w:t>овой (бухгалтерской) отчетности;</w:t>
      </w:r>
    </w:p>
    <w:p w:rsidR="00D23408" w:rsidRPr="00B016B7"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исполнение соглашения об отступном от 21.12.2018</w:t>
      </w:r>
      <w:r w:rsidR="002D1DB0">
        <w:rPr>
          <w:sz w:val="20"/>
          <w:szCs w:val="20"/>
          <w:lang w:val="ru-RU"/>
        </w:rPr>
        <w:t>г.</w:t>
      </w:r>
      <w:r w:rsidR="00525602">
        <w:rPr>
          <w:sz w:val="20"/>
          <w:szCs w:val="20"/>
          <w:lang w:val="ru-RU"/>
        </w:rPr>
        <w:t>,</w:t>
      </w:r>
      <w:r w:rsidRPr="00023BA9">
        <w:rPr>
          <w:sz w:val="20"/>
          <w:szCs w:val="20"/>
          <w:lang w:val="ru-RU"/>
        </w:rPr>
        <w:t xml:space="preserve"> гашение задолженности по кредитному договору на сумму 44</w:t>
      </w:r>
      <w:r>
        <w:rPr>
          <w:sz w:val="20"/>
          <w:szCs w:val="20"/>
        </w:rPr>
        <w:t> </w:t>
      </w:r>
      <w:r w:rsidR="002D1DB0">
        <w:rPr>
          <w:sz w:val="20"/>
          <w:szCs w:val="20"/>
          <w:lang w:val="ru-RU"/>
        </w:rPr>
        <w:t>000,00 тыс.</w:t>
      </w:r>
      <w:r w:rsidR="00F84A17">
        <w:rPr>
          <w:sz w:val="20"/>
          <w:szCs w:val="20"/>
          <w:lang w:val="ru-RU"/>
        </w:rPr>
        <w:t xml:space="preserve"> </w:t>
      </w:r>
      <w:r w:rsidRPr="00023BA9">
        <w:rPr>
          <w:sz w:val="20"/>
          <w:szCs w:val="20"/>
          <w:lang w:val="ru-RU"/>
        </w:rPr>
        <w:t xml:space="preserve">руб. и отражение принимаемых на баланс Банка долгосрочных активов общей стоимостью </w:t>
      </w:r>
      <w:r w:rsidRPr="00B016B7">
        <w:rPr>
          <w:sz w:val="20"/>
          <w:szCs w:val="20"/>
          <w:lang w:val="ru-RU"/>
        </w:rPr>
        <w:t>44</w:t>
      </w:r>
      <w:r>
        <w:rPr>
          <w:sz w:val="20"/>
          <w:szCs w:val="20"/>
        </w:rPr>
        <w:t> </w:t>
      </w:r>
      <w:r w:rsidR="002D1DB0">
        <w:rPr>
          <w:sz w:val="20"/>
          <w:szCs w:val="20"/>
          <w:lang w:val="ru-RU"/>
        </w:rPr>
        <w:t>000,00 тыс.</w:t>
      </w:r>
      <w:r w:rsidR="00F84A17">
        <w:rPr>
          <w:sz w:val="20"/>
          <w:szCs w:val="20"/>
          <w:lang w:val="ru-RU"/>
        </w:rPr>
        <w:t xml:space="preserve"> </w:t>
      </w:r>
      <w:r>
        <w:rPr>
          <w:sz w:val="20"/>
          <w:szCs w:val="20"/>
          <w:lang w:val="ru-RU"/>
        </w:rPr>
        <w:t>руб.;</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исполнение соглашения о передаче недв</w:t>
      </w:r>
      <w:r w:rsidR="00525602">
        <w:rPr>
          <w:sz w:val="20"/>
          <w:szCs w:val="20"/>
          <w:lang w:val="ru-RU"/>
        </w:rPr>
        <w:t>ижимого имущества от 29.12.2018</w:t>
      </w:r>
      <w:r w:rsidR="002D1DB0">
        <w:rPr>
          <w:sz w:val="20"/>
          <w:szCs w:val="20"/>
          <w:lang w:val="ru-RU"/>
        </w:rPr>
        <w:t>г.</w:t>
      </w:r>
      <w:r w:rsidR="00525602">
        <w:rPr>
          <w:sz w:val="20"/>
          <w:szCs w:val="20"/>
          <w:lang w:val="ru-RU"/>
        </w:rPr>
        <w:t>,</w:t>
      </w:r>
      <w:r w:rsidRPr="00023BA9">
        <w:rPr>
          <w:sz w:val="20"/>
          <w:szCs w:val="20"/>
          <w:lang w:val="ru-RU"/>
        </w:rPr>
        <w:t xml:space="preserve"> га</w:t>
      </w:r>
      <w:r w:rsidR="00525602">
        <w:rPr>
          <w:sz w:val="20"/>
          <w:szCs w:val="20"/>
          <w:lang w:val="ru-RU"/>
        </w:rPr>
        <w:t>шение задолженности по кредитам</w:t>
      </w:r>
      <w:r w:rsidRPr="00023BA9">
        <w:rPr>
          <w:sz w:val="20"/>
          <w:szCs w:val="20"/>
          <w:lang w:val="ru-RU"/>
        </w:rPr>
        <w:t xml:space="preserve"> на сумму 24</w:t>
      </w:r>
      <w:r>
        <w:rPr>
          <w:sz w:val="20"/>
          <w:szCs w:val="20"/>
        </w:rPr>
        <w:t> </w:t>
      </w:r>
      <w:r w:rsidR="002D1DB0">
        <w:rPr>
          <w:sz w:val="20"/>
          <w:szCs w:val="20"/>
          <w:lang w:val="ru-RU"/>
        </w:rPr>
        <w:t>040,8 тыс.</w:t>
      </w:r>
      <w:r w:rsidR="00F84A17">
        <w:rPr>
          <w:sz w:val="20"/>
          <w:szCs w:val="20"/>
          <w:lang w:val="ru-RU"/>
        </w:rPr>
        <w:t xml:space="preserve"> </w:t>
      </w:r>
      <w:r w:rsidRPr="00023BA9">
        <w:rPr>
          <w:sz w:val="20"/>
          <w:szCs w:val="20"/>
          <w:lang w:val="ru-RU"/>
        </w:rPr>
        <w:t>руб., отражение обязательств по уплате финансовому управляющему в сумме 6</w:t>
      </w:r>
      <w:r>
        <w:rPr>
          <w:sz w:val="20"/>
          <w:szCs w:val="20"/>
        </w:rPr>
        <w:t> </w:t>
      </w:r>
      <w:r w:rsidR="002D1DB0">
        <w:rPr>
          <w:sz w:val="20"/>
          <w:szCs w:val="20"/>
          <w:lang w:val="ru-RU"/>
        </w:rPr>
        <w:t>010,2 тыс.</w:t>
      </w:r>
      <w:r w:rsidR="00F84A17">
        <w:rPr>
          <w:sz w:val="20"/>
          <w:szCs w:val="20"/>
          <w:lang w:val="ru-RU"/>
        </w:rPr>
        <w:t xml:space="preserve"> </w:t>
      </w:r>
      <w:r w:rsidRPr="00023BA9">
        <w:rPr>
          <w:sz w:val="20"/>
          <w:szCs w:val="20"/>
          <w:lang w:val="ru-RU"/>
        </w:rPr>
        <w:t xml:space="preserve">руб. </w:t>
      </w:r>
      <w:r>
        <w:rPr>
          <w:sz w:val="20"/>
          <w:szCs w:val="20"/>
        </w:rPr>
        <w:t> </w:t>
      </w:r>
      <w:r w:rsidRPr="00023BA9">
        <w:rPr>
          <w:sz w:val="20"/>
          <w:szCs w:val="20"/>
          <w:lang w:val="ru-RU"/>
        </w:rPr>
        <w:t>и отражение принимаемых на баланс Банка долгосрочных активов общей стоимостью 30</w:t>
      </w:r>
      <w:r>
        <w:rPr>
          <w:sz w:val="20"/>
          <w:szCs w:val="20"/>
        </w:rPr>
        <w:t> </w:t>
      </w:r>
      <w:r w:rsidR="002D1DB0">
        <w:rPr>
          <w:sz w:val="20"/>
          <w:szCs w:val="20"/>
          <w:lang w:val="ru-RU"/>
        </w:rPr>
        <w:t>051 тыс.</w:t>
      </w:r>
      <w:r w:rsidR="00F84A17">
        <w:rPr>
          <w:sz w:val="20"/>
          <w:szCs w:val="20"/>
          <w:lang w:val="ru-RU"/>
        </w:rPr>
        <w:t xml:space="preserve"> </w:t>
      </w:r>
      <w:r w:rsidRPr="00023BA9">
        <w:rPr>
          <w:sz w:val="20"/>
          <w:szCs w:val="20"/>
          <w:lang w:val="ru-RU"/>
        </w:rPr>
        <w:t>руб.</w:t>
      </w:r>
    </w:p>
    <w:p w:rsidR="00D23408" w:rsidRPr="00405FE6"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 xml:space="preserve">корректировки </w:t>
      </w:r>
      <w:r w:rsidRPr="00405FE6">
        <w:rPr>
          <w:sz w:val="20"/>
          <w:szCs w:val="20"/>
          <w:lang w:val="ru-RU"/>
        </w:rPr>
        <w:t>резервов на возможные потери:</w:t>
      </w:r>
    </w:p>
    <w:p w:rsidR="00D23408" w:rsidRPr="00023BA9" w:rsidRDefault="00D23408" w:rsidP="00FC5D59">
      <w:pPr>
        <w:pStyle w:val="afd"/>
        <w:numPr>
          <w:ilvl w:val="0"/>
          <w:numId w:val="62"/>
        </w:numPr>
        <w:tabs>
          <w:tab w:val="left" w:pos="1134"/>
        </w:tabs>
        <w:ind w:left="851" w:firstLine="0"/>
        <w:jc w:val="both"/>
        <w:rPr>
          <w:sz w:val="20"/>
          <w:szCs w:val="20"/>
          <w:lang w:val="ru-RU"/>
        </w:rPr>
      </w:pPr>
      <w:r w:rsidRPr="00405FE6">
        <w:rPr>
          <w:sz w:val="20"/>
          <w:szCs w:val="20"/>
          <w:lang w:val="ru-RU"/>
        </w:rPr>
        <w:t xml:space="preserve">в 2018 году уменьшение резервов по кредитам </w:t>
      </w:r>
      <w:r w:rsidR="00525602">
        <w:rPr>
          <w:sz w:val="20"/>
          <w:szCs w:val="20"/>
          <w:lang w:val="ru-RU"/>
        </w:rPr>
        <w:t>-</w:t>
      </w:r>
      <w:r w:rsidRPr="00405FE6">
        <w:rPr>
          <w:sz w:val="20"/>
          <w:szCs w:val="20"/>
          <w:lang w:val="ru-RU"/>
        </w:rPr>
        <w:t xml:space="preserve"> 25</w:t>
      </w:r>
      <w:r w:rsidRPr="00405FE6">
        <w:rPr>
          <w:sz w:val="20"/>
          <w:szCs w:val="20"/>
        </w:rPr>
        <w:t> </w:t>
      </w:r>
      <w:r w:rsidR="002D1DB0">
        <w:rPr>
          <w:sz w:val="20"/>
          <w:szCs w:val="20"/>
          <w:lang w:val="ru-RU"/>
        </w:rPr>
        <w:t>204,8 тыс.</w:t>
      </w:r>
      <w:r w:rsidR="00F84A17">
        <w:rPr>
          <w:sz w:val="20"/>
          <w:szCs w:val="20"/>
          <w:lang w:val="ru-RU"/>
        </w:rPr>
        <w:t xml:space="preserve"> </w:t>
      </w:r>
      <w:r w:rsidRPr="00405FE6">
        <w:rPr>
          <w:sz w:val="20"/>
          <w:szCs w:val="20"/>
          <w:lang w:val="ru-RU"/>
        </w:rPr>
        <w:t>руб.,</w:t>
      </w:r>
      <w:r w:rsidRPr="00023BA9">
        <w:rPr>
          <w:sz w:val="20"/>
          <w:szCs w:val="20"/>
          <w:lang w:val="ru-RU"/>
        </w:rPr>
        <w:t xml:space="preserve"> уменьшение резерва по прочим активам </w:t>
      </w:r>
      <w:r w:rsidR="00525602">
        <w:rPr>
          <w:sz w:val="20"/>
          <w:szCs w:val="20"/>
          <w:lang w:val="ru-RU"/>
        </w:rPr>
        <w:t>-</w:t>
      </w:r>
      <w:r w:rsidR="002D1DB0">
        <w:rPr>
          <w:sz w:val="20"/>
          <w:szCs w:val="20"/>
          <w:lang w:val="ru-RU"/>
        </w:rPr>
        <w:t xml:space="preserve"> 34,6 тыс.</w:t>
      </w:r>
      <w:r w:rsidR="00F84A17">
        <w:rPr>
          <w:sz w:val="20"/>
          <w:szCs w:val="20"/>
          <w:lang w:val="ru-RU"/>
        </w:rPr>
        <w:t xml:space="preserve"> </w:t>
      </w:r>
      <w:r w:rsidRPr="00023BA9">
        <w:rPr>
          <w:sz w:val="20"/>
          <w:szCs w:val="20"/>
          <w:lang w:val="ru-RU"/>
        </w:rPr>
        <w:t xml:space="preserve">руб., увеличение резервов по долгосрочным активам </w:t>
      </w:r>
      <w:r w:rsidR="00525602">
        <w:rPr>
          <w:sz w:val="20"/>
          <w:szCs w:val="20"/>
          <w:lang w:val="ru-RU"/>
        </w:rPr>
        <w:t>-</w:t>
      </w:r>
      <w:r w:rsidR="002D1DB0">
        <w:rPr>
          <w:sz w:val="20"/>
          <w:szCs w:val="20"/>
          <w:lang w:val="ru-RU"/>
        </w:rPr>
        <w:t xml:space="preserve"> 920,8 тыс.</w:t>
      </w:r>
      <w:r w:rsidR="00F84A17">
        <w:rPr>
          <w:sz w:val="20"/>
          <w:szCs w:val="20"/>
          <w:lang w:val="ru-RU"/>
        </w:rPr>
        <w:t xml:space="preserve"> </w:t>
      </w:r>
      <w:r w:rsidRPr="00023BA9">
        <w:rPr>
          <w:sz w:val="20"/>
          <w:szCs w:val="20"/>
          <w:lang w:val="ru-RU"/>
        </w:rPr>
        <w:t xml:space="preserve">руб., увеличение резервов по НВНОД </w:t>
      </w:r>
      <w:r w:rsidR="00525602">
        <w:rPr>
          <w:sz w:val="20"/>
          <w:szCs w:val="20"/>
          <w:lang w:val="ru-RU"/>
        </w:rPr>
        <w:t>-</w:t>
      </w:r>
      <w:r w:rsidR="002D1DB0">
        <w:rPr>
          <w:sz w:val="20"/>
          <w:szCs w:val="20"/>
          <w:lang w:val="ru-RU"/>
        </w:rPr>
        <w:t xml:space="preserve"> 61 тыс.</w:t>
      </w:r>
      <w:r w:rsidR="00F84A17">
        <w:rPr>
          <w:sz w:val="20"/>
          <w:szCs w:val="20"/>
          <w:lang w:val="ru-RU"/>
        </w:rPr>
        <w:t xml:space="preserve"> </w:t>
      </w:r>
      <w:r w:rsidRPr="00023BA9">
        <w:rPr>
          <w:sz w:val="20"/>
          <w:szCs w:val="20"/>
          <w:lang w:val="ru-RU"/>
        </w:rPr>
        <w:t>руб.,</w:t>
      </w:r>
    </w:p>
    <w:p w:rsidR="00D23408" w:rsidRPr="00023BA9" w:rsidRDefault="00D23408" w:rsidP="00FC5D59">
      <w:pPr>
        <w:pStyle w:val="afd"/>
        <w:numPr>
          <w:ilvl w:val="0"/>
          <w:numId w:val="62"/>
        </w:numPr>
        <w:tabs>
          <w:tab w:val="left" w:pos="1134"/>
        </w:tabs>
        <w:ind w:left="851" w:firstLine="0"/>
        <w:jc w:val="both"/>
        <w:rPr>
          <w:sz w:val="20"/>
          <w:szCs w:val="20"/>
          <w:lang w:val="ru-RU"/>
        </w:rPr>
      </w:pPr>
      <w:r w:rsidRPr="00023BA9">
        <w:rPr>
          <w:sz w:val="20"/>
          <w:szCs w:val="20"/>
          <w:lang w:val="ru-RU"/>
        </w:rPr>
        <w:t xml:space="preserve">в 2017 году уменьшение резерва по прочим активам </w:t>
      </w:r>
      <w:r w:rsidR="00525602">
        <w:rPr>
          <w:sz w:val="20"/>
          <w:szCs w:val="20"/>
          <w:lang w:val="ru-RU"/>
        </w:rPr>
        <w:t>-</w:t>
      </w:r>
      <w:r w:rsidR="002D1DB0">
        <w:rPr>
          <w:sz w:val="20"/>
          <w:szCs w:val="20"/>
          <w:lang w:val="ru-RU"/>
        </w:rPr>
        <w:t xml:space="preserve"> 14,5 тыс.</w:t>
      </w:r>
      <w:r w:rsidR="00F84A17">
        <w:rPr>
          <w:sz w:val="20"/>
          <w:szCs w:val="20"/>
          <w:lang w:val="ru-RU"/>
        </w:rPr>
        <w:t xml:space="preserve"> </w:t>
      </w:r>
      <w:r w:rsidRPr="00023BA9">
        <w:rPr>
          <w:sz w:val="20"/>
          <w:szCs w:val="20"/>
          <w:lang w:val="ru-RU"/>
        </w:rPr>
        <w:t xml:space="preserve">руб. уменьшение резервов по долгосрочным активам </w:t>
      </w:r>
      <w:r w:rsidR="00525602">
        <w:rPr>
          <w:sz w:val="20"/>
          <w:szCs w:val="20"/>
          <w:lang w:val="ru-RU"/>
        </w:rPr>
        <w:t>-</w:t>
      </w:r>
      <w:r w:rsidRPr="00023BA9">
        <w:rPr>
          <w:sz w:val="20"/>
          <w:szCs w:val="20"/>
          <w:lang w:val="ru-RU"/>
        </w:rPr>
        <w:t xml:space="preserve"> 29</w:t>
      </w:r>
      <w:r>
        <w:rPr>
          <w:sz w:val="20"/>
          <w:szCs w:val="20"/>
        </w:rPr>
        <w:t> </w:t>
      </w:r>
      <w:r w:rsidR="002D1DB0">
        <w:rPr>
          <w:sz w:val="20"/>
          <w:szCs w:val="20"/>
          <w:lang w:val="ru-RU"/>
        </w:rPr>
        <w:t>841,2 тыс.</w:t>
      </w:r>
      <w:r w:rsidR="00F84A17">
        <w:rPr>
          <w:sz w:val="20"/>
          <w:szCs w:val="20"/>
          <w:lang w:val="ru-RU"/>
        </w:rPr>
        <w:t xml:space="preserve"> </w:t>
      </w:r>
      <w:r w:rsidRPr="00023BA9">
        <w:rPr>
          <w:sz w:val="20"/>
          <w:szCs w:val="20"/>
          <w:lang w:val="ru-RU"/>
        </w:rPr>
        <w:t xml:space="preserve">руб., увеличение резервов по НВНОД </w:t>
      </w:r>
      <w:r w:rsidR="00525602">
        <w:rPr>
          <w:sz w:val="20"/>
          <w:szCs w:val="20"/>
          <w:lang w:val="ru-RU"/>
        </w:rPr>
        <w:t>-</w:t>
      </w:r>
      <w:r w:rsidR="002D1DB0">
        <w:rPr>
          <w:sz w:val="20"/>
          <w:szCs w:val="20"/>
          <w:lang w:val="ru-RU"/>
        </w:rPr>
        <w:t xml:space="preserve"> 294,6 тыс.</w:t>
      </w:r>
      <w:r w:rsidR="00F84A17">
        <w:rPr>
          <w:sz w:val="20"/>
          <w:szCs w:val="20"/>
          <w:lang w:val="ru-RU"/>
        </w:rPr>
        <w:t xml:space="preserve"> </w:t>
      </w:r>
      <w:r w:rsidRPr="00023BA9">
        <w:rPr>
          <w:sz w:val="20"/>
          <w:szCs w:val="20"/>
          <w:lang w:val="ru-RU"/>
        </w:rPr>
        <w:t>руб.</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отражение результатов переоценки имущества Банка:</w:t>
      </w:r>
    </w:p>
    <w:p w:rsidR="00D23408" w:rsidRPr="00023BA9" w:rsidRDefault="00525602" w:rsidP="00FC5D59">
      <w:pPr>
        <w:pStyle w:val="afd"/>
        <w:numPr>
          <w:ilvl w:val="0"/>
          <w:numId w:val="63"/>
        </w:numPr>
        <w:tabs>
          <w:tab w:val="left" w:pos="1134"/>
        </w:tabs>
        <w:ind w:left="851" w:firstLine="0"/>
        <w:jc w:val="both"/>
        <w:rPr>
          <w:sz w:val="20"/>
          <w:szCs w:val="20"/>
          <w:lang w:val="ru-RU"/>
        </w:rPr>
      </w:pPr>
      <w:r>
        <w:rPr>
          <w:sz w:val="20"/>
          <w:szCs w:val="20"/>
          <w:lang w:val="ru-RU"/>
        </w:rPr>
        <w:t xml:space="preserve">в </w:t>
      </w:r>
      <w:r w:rsidR="00D23408" w:rsidRPr="00023BA9">
        <w:rPr>
          <w:sz w:val="20"/>
          <w:szCs w:val="20"/>
          <w:lang w:val="ru-RU"/>
        </w:rPr>
        <w:t>2018 году отражение расходов от последующего уменьшения справедливой стоимости долгосрочных активов в сумме 2</w:t>
      </w:r>
      <w:r w:rsidR="00D23408">
        <w:rPr>
          <w:sz w:val="20"/>
          <w:szCs w:val="20"/>
        </w:rPr>
        <w:t> </w:t>
      </w:r>
      <w:r w:rsidR="00D23408" w:rsidRPr="00023BA9">
        <w:rPr>
          <w:sz w:val="20"/>
          <w:szCs w:val="20"/>
          <w:lang w:val="ru-RU"/>
        </w:rPr>
        <w:t>983,1 тыс.</w:t>
      </w:r>
      <w:r w:rsidR="00F84A17">
        <w:rPr>
          <w:sz w:val="20"/>
          <w:szCs w:val="20"/>
          <w:lang w:val="ru-RU"/>
        </w:rPr>
        <w:t xml:space="preserve"> </w:t>
      </w:r>
      <w:r w:rsidR="00D23408" w:rsidRPr="00023BA9">
        <w:rPr>
          <w:sz w:val="20"/>
          <w:szCs w:val="20"/>
          <w:lang w:val="ru-RU"/>
        </w:rPr>
        <w:t>руб., доход от восстановления убытков от обесценения НВНОД в сумме 81,4 тыс.</w:t>
      </w:r>
      <w:r w:rsidR="00F84A17">
        <w:rPr>
          <w:sz w:val="20"/>
          <w:szCs w:val="20"/>
          <w:lang w:val="ru-RU"/>
        </w:rPr>
        <w:t xml:space="preserve"> </w:t>
      </w:r>
      <w:r w:rsidR="00D23408" w:rsidRPr="00023BA9">
        <w:rPr>
          <w:sz w:val="20"/>
          <w:szCs w:val="20"/>
          <w:lang w:val="ru-RU"/>
        </w:rPr>
        <w:t>руб.,</w:t>
      </w:r>
    </w:p>
    <w:p w:rsidR="00D23408" w:rsidRPr="00023BA9" w:rsidRDefault="00525602" w:rsidP="00FC5D59">
      <w:pPr>
        <w:pStyle w:val="afd"/>
        <w:numPr>
          <w:ilvl w:val="0"/>
          <w:numId w:val="63"/>
        </w:numPr>
        <w:tabs>
          <w:tab w:val="left" w:pos="1134"/>
        </w:tabs>
        <w:ind w:left="851" w:firstLine="0"/>
        <w:jc w:val="both"/>
        <w:rPr>
          <w:sz w:val="20"/>
          <w:szCs w:val="20"/>
          <w:lang w:val="ru-RU"/>
        </w:rPr>
      </w:pPr>
      <w:r>
        <w:rPr>
          <w:sz w:val="20"/>
          <w:szCs w:val="20"/>
          <w:lang w:val="ru-RU"/>
        </w:rPr>
        <w:t xml:space="preserve">в </w:t>
      </w:r>
      <w:r w:rsidR="00D23408" w:rsidRPr="00023BA9">
        <w:rPr>
          <w:sz w:val="20"/>
          <w:szCs w:val="20"/>
          <w:lang w:val="ru-RU"/>
        </w:rPr>
        <w:t>2017 году увеличение добавочного капитала по итогам переоценки основных средств 5</w:t>
      </w:r>
      <w:r w:rsidR="00D23408">
        <w:rPr>
          <w:sz w:val="20"/>
          <w:szCs w:val="20"/>
        </w:rPr>
        <w:t> </w:t>
      </w:r>
      <w:r w:rsidR="00D23408" w:rsidRPr="00023BA9">
        <w:rPr>
          <w:sz w:val="20"/>
          <w:szCs w:val="20"/>
          <w:lang w:val="ru-RU"/>
        </w:rPr>
        <w:t>833,8 тыс.</w:t>
      </w:r>
      <w:r w:rsidR="00F84A17">
        <w:rPr>
          <w:sz w:val="20"/>
          <w:szCs w:val="20"/>
          <w:lang w:val="ru-RU"/>
        </w:rPr>
        <w:t xml:space="preserve"> </w:t>
      </w:r>
      <w:r w:rsidR="00D23408" w:rsidRPr="00023BA9">
        <w:rPr>
          <w:sz w:val="20"/>
          <w:szCs w:val="20"/>
          <w:lang w:val="ru-RU"/>
        </w:rPr>
        <w:t>руб., отражение расходов от последующего уменьшения справедливой стоимости долгосрочных активов 1</w:t>
      </w:r>
      <w:r w:rsidR="00D23408">
        <w:rPr>
          <w:sz w:val="20"/>
          <w:szCs w:val="20"/>
        </w:rPr>
        <w:t> </w:t>
      </w:r>
      <w:r w:rsidR="00D23408" w:rsidRPr="00023BA9">
        <w:rPr>
          <w:sz w:val="20"/>
          <w:szCs w:val="20"/>
          <w:lang w:val="ru-RU"/>
        </w:rPr>
        <w:t>608,8 тыс.</w:t>
      </w:r>
      <w:r w:rsidR="00F84A17">
        <w:rPr>
          <w:sz w:val="20"/>
          <w:szCs w:val="20"/>
          <w:lang w:val="ru-RU"/>
        </w:rPr>
        <w:t xml:space="preserve"> </w:t>
      </w:r>
      <w:r w:rsidR="00D23408" w:rsidRPr="00023BA9">
        <w:rPr>
          <w:sz w:val="20"/>
          <w:szCs w:val="20"/>
          <w:lang w:val="ru-RU"/>
        </w:rPr>
        <w:t>руб., расходы от уценки основных средств 1057,2 тыс.</w:t>
      </w:r>
      <w:r w:rsidR="00F84A17">
        <w:rPr>
          <w:sz w:val="20"/>
          <w:szCs w:val="20"/>
          <w:lang w:val="ru-RU"/>
        </w:rPr>
        <w:t xml:space="preserve"> </w:t>
      </w:r>
      <w:r w:rsidR="00D23408" w:rsidRPr="00023BA9">
        <w:rPr>
          <w:sz w:val="20"/>
          <w:szCs w:val="20"/>
          <w:lang w:val="ru-RU"/>
        </w:rPr>
        <w:t>руб., доходы от дооценки основных средств после их уценки 613,4 тыс.</w:t>
      </w:r>
      <w:r w:rsidR="00F84A17">
        <w:rPr>
          <w:sz w:val="20"/>
          <w:szCs w:val="20"/>
          <w:lang w:val="ru-RU"/>
        </w:rPr>
        <w:t xml:space="preserve"> </w:t>
      </w:r>
      <w:r w:rsidR="00D23408" w:rsidRPr="00023BA9">
        <w:rPr>
          <w:sz w:val="20"/>
          <w:szCs w:val="20"/>
          <w:lang w:val="ru-RU"/>
        </w:rPr>
        <w:t>руб., доход от восстановления убытков от обесценения НВНОД 392,9 тыс.</w:t>
      </w:r>
      <w:r w:rsidR="00F84A17">
        <w:rPr>
          <w:sz w:val="20"/>
          <w:szCs w:val="20"/>
          <w:lang w:val="ru-RU"/>
        </w:rPr>
        <w:t xml:space="preserve"> </w:t>
      </w:r>
      <w:r w:rsidR="00D23408" w:rsidRPr="00023BA9">
        <w:rPr>
          <w:sz w:val="20"/>
          <w:szCs w:val="20"/>
          <w:lang w:val="ru-RU"/>
        </w:rPr>
        <w:t>руб.;</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 xml:space="preserve">начисление налога на прибыль с доходов в виде процентов по российским организациям </w:t>
      </w:r>
      <w:r>
        <w:rPr>
          <w:sz w:val="20"/>
          <w:szCs w:val="20"/>
        </w:rPr>
        <w:t> </w:t>
      </w:r>
      <w:r w:rsidRPr="00023BA9">
        <w:rPr>
          <w:sz w:val="20"/>
          <w:szCs w:val="20"/>
          <w:lang w:val="ru-RU"/>
        </w:rPr>
        <w:t>за декабрь 2018 года – 19</w:t>
      </w:r>
      <w:r>
        <w:rPr>
          <w:sz w:val="20"/>
          <w:szCs w:val="20"/>
        </w:rPr>
        <w:t> </w:t>
      </w:r>
      <w:r w:rsidRPr="00023BA9">
        <w:rPr>
          <w:sz w:val="20"/>
          <w:szCs w:val="20"/>
          <w:lang w:val="ru-RU"/>
        </w:rPr>
        <w:t>379,4 тыс.</w:t>
      </w:r>
      <w:r w:rsidR="00F84A17">
        <w:rPr>
          <w:sz w:val="20"/>
          <w:szCs w:val="20"/>
          <w:lang w:val="ru-RU"/>
        </w:rPr>
        <w:t xml:space="preserve"> </w:t>
      </w:r>
      <w:r w:rsidRPr="00023BA9">
        <w:rPr>
          <w:sz w:val="20"/>
          <w:szCs w:val="20"/>
          <w:lang w:val="ru-RU"/>
        </w:rPr>
        <w:t>руб., начисление налога на прибыль за декабрь 2017 года - 8</w:t>
      </w:r>
      <w:r>
        <w:rPr>
          <w:sz w:val="20"/>
          <w:szCs w:val="20"/>
        </w:rPr>
        <w:t> </w:t>
      </w:r>
      <w:r w:rsidRPr="00023BA9">
        <w:rPr>
          <w:sz w:val="20"/>
          <w:szCs w:val="20"/>
          <w:lang w:val="ru-RU"/>
        </w:rPr>
        <w:t>395,5 тыс.</w:t>
      </w:r>
      <w:r w:rsidR="00F84A17">
        <w:rPr>
          <w:sz w:val="20"/>
          <w:szCs w:val="20"/>
          <w:lang w:val="ru-RU"/>
        </w:rPr>
        <w:t xml:space="preserve"> </w:t>
      </w:r>
      <w:r w:rsidRPr="00023BA9">
        <w:rPr>
          <w:sz w:val="20"/>
          <w:szCs w:val="20"/>
          <w:lang w:val="ru-RU"/>
        </w:rPr>
        <w:t>руб.;</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lastRenderedPageBreak/>
        <w:t>начисление отложенного налога на прибыль:</w:t>
      </w:r>
    </w:p>
    <w:p w:rsidR="00D23408" w:rsidRPr="00023BA9" w:rsidRDefault="00D23408" w:rsidP="00FC5D59">
      <w:pPr>
        <w:pStyle w:val="afd"/>
        <w:numPr>
          <w:ilvl w:val="0"/>
          <w:numId w:val="64"/>
        </w:numPr>
        <w:tabs>
          <w:tab w:val="left" w:pos="1134"/>
        </w:tabs>
        <w:ind w:left="851" w:firstLine="0"/>
        <w:jc w:val="both"/>
        <w:rPr>
          <w:sz w:val="20"/>
          <w:szCs w:val="20"/>
          <w:lang w:val="ru-RU"/>
        </w:rPr>
      </w:pPr>
      <w:r w:rsidRPr="00023BA9">
        <w:rPr>
          <w:sz w:val="20"/>
          <w:szCs w:val="20"/>
          <w:lang w:val="ru-RU"/>
        </w:rPr>
        <w:t xml:space="preserve">за 2018 год увеличение добавочного капитала на налог на прибыль </w:t>
      </w:r>
      <w:r>
        <w:rPr>
          <w:sz w:val="20"/>
          <w:szCs w:val="20"/>
          <w:lang w:val="ru-RU"/>
        </w:rPr>
        <w:t xml:space="preserve">на </w:t>
      </w:r>
      <w:r w:rsidRPr="00023BA9">
        <w:rPr>
          <w:sz w:val="20"/>
          <w:szCs w:val="20"/>
          <w:lang w:val="ru-RU"/>
        </w:rPr>
        <w:t>12</w:t>
      </w:r>
      <w:r>
        <w:rPr>
          <w:sz w:val="20"/>
          <w:szCs w:val="20"/>
        </w:rPr>
        <w:t> </w:t>
      </w:r>
      <w:r w:rsidRPr="00023BA9">
        <w:rPr>
          <w:sz w:val="20"/>
          <w:szCs w:val="20"/>
          <w:lang w:val="ru-RU"/>
        </w:rPr>
        <w:t>022,5 тыс.</w:t>
      </w:r>
      <w:r w:rsidR="00F84A17">
        <w:rPr>
          <w:sz w:val="20"/>
          <w:szCs w:val="20"/>
          <w:lang w:val="ru-RU"/>
        </w:rPr>
        <w:t xml:space="preserve"> </w:t>
      </w:r>
      <w:r w:rsidRPr="00023BA9">
        <w:rPr>
          <w:sz w:val="20"/>
          <w:szCs w:val="20"/>
          <w:lang w:val="ru-RU"/>
        </w:rPr>
        <w:t xml:space="preserve">руб., уменьшение отложенного налогового актива </w:t>
      </w:r>
      <w:r>
        <w:rPr>
          <w:sz w:val="20"/>
          <w:szCs w:val="20"/>
          <w:lang w:val="ru-RU"/>
        </w:rPr>
        <w:t xml:space="preserve">на </w:t>
      </w:r>
      <w:r w:rsidRPr="00023BA9">
        <w:rPr>
          <w:sz w:val="20"/>
          <w:szCs w:val="20"/>
          <w:lang w:val="ru-RU"/>
        </w:rPr>
        <w:t>7</w:t>
      </w:r>
      <w:r>
        <w:rPr>
          <w:sz w:val="20"/>
          <w:szCs w:val="20"/>
        </w:rPr>
        <w:t> </w:t>
      </w:r>
      <w:r w:rsidRPr="00023BA9">
        <w:rPr>
          <w:sz w:val="20"/>
          <w:szCs w:val="20"/>
          <w:lang w:val="ru-RU"/>
        </w:rPr>
        <w:t>036,6 тыс.</w:t>
      </w:r>
      <w:r w:rsidR="00F84A17">
        <w:rPr>
          <w:sz w:val="20"/>
          <w:szCs w:val="20"/>
          <w:lang w:val="ru-RU"/>
        </w:rPr>
        <w:t xml:space="preserve"> </w:t>
      </w:r>
      <w:r w:rsidRPr="00023BA9">
        <w:rPr>
          <w:sz w:val="20"/>
          <w:szCs w:val="20"/>
          <w:lang w:val="ru-RU"/>
        </w:rPr>
        <w:t>руб.,</w:t>
      </w:r>
    </w:p>
    <w:p w:rsidR="00D23408" w:rsidRPr="00023BA9" w:rsidRDefault="00D23408" w:rsidP="00FC5D59">
      <w:pPr>
        <w:pStyle w:val="afd"/>
        <w:numPr>
          <w:ilvl w:val="0"/>
          <w:numId w:val="64"/>
        </w:numPr>
        <w:tabs>
          <w:tab w:val="left" w:pos="1134"/>
        </w:tabs>
        <w:ind w:left="851" w:firstLine="0"/>
        <w:jc w:val="both"/>
        <w:rPr>
          <w:sz w:val="20"/>
          <w:szCs w:val="20"/>
          <w:lang w:val="ru-RU"/>
        </w:rPr>
      </w:pPr>
      <w:r w:rsidRPr="00023BA9">
        <w:rPr>
          <w:sz w:val="20"/>
          <w:szCs w:val="20"/>
          <w:lang w:val="ru-RU"/>
        </w:rPr>
        <w:t>за 2017 год увеличение добавочного капитала на отложенный налог на прибыль на 1</w:t>
      </w:r>
      <w:r>
        <w:rPr>
          <w:sz w:val="20"/>
          <w:szCs w:val="20"/>
        </w:rPr>
        <w:t> </w:t>
      </w:r>
      <w:r w:rsidRPr="00023BA9">
        <w:rPr>
          <w:sz w:val="20"/>
          <w:szCs w:val="20"/>
          <w:lang w:val="ru-RU"/>
        </w:rPr>
        <w:t>166,8 тыс.</w:t>
      </w:r>
      <w:r w:rsidR="00F84A17">
        <w:rPr>
          <w:sz w:val="20"/>
          <w:szCs w:val="20"/>
          <w:lang w:val="ru-RU"/>
        </w:rPr>
        <w:t xml:space="preserve"> </w:t>
      </w:r>
      <w:r w:rsidRPr="00023BA9">
        <w:rPr>
          <w:sz w:val="20"/>
          <w:szCs w:val="20"/>
          <w:lang w:val="ru-RU"/>
        </w:rPr>
        <w:t>руб., уменьшение отложенного налогового актива на 16</w:t>
      </w:r>
      <w:r>
        <w:rPr>
          <w:sz w:val="20"/>
          <w:szCs w:val="20"/>
        </w:rPr>
        <w:t> </w:t>
      </w:r>
      <w:r w:rsidRPr="00023BA9">
        <w:rPr>
          <w:sz w:val="20"/>
          <w:szCs w:val="20"/>
          <w:lang w:val="ru-RU"/>
        </w:rPr>
        <w:t>749,8 тыс.</w:t>
      </w:r>
      <w:r w:rsidR="00F84A17">
        <w:rPr>
          <w:sz w:val="20"/>
          <w:szCs w:val="20"/>
          <w:lang w:val="ru-RU"/>
        </w:rPr>
        <w:t xml:space="preserve"> </w:t>
      </w:r>
      <w:r w:rsidRPr="00023BA9">
        <w:rPr>
          <w:sz w:val="20"/>
          <w:szCs w:val="20"/>
          <w:lang w:val="ru-RU"/>
        </w:rPr>
        <w:t>руб.;</w:t>
      </w:r>
    </w:p>
    <w:p w:rsidR="00D23408" w:rsidRPr="00023BA9" w:rsidRDefault="00D23408" w:rsidP="00FC5D59">
      <w:pPr>
        <w:pStyle w:val="afd"/>
        <w:numPr>
          <w:ilvl w:val="0"/>
          <w:numId w:val="45"/>
        </w:numPr>
        <w:tabs>
          <w:tab w:val="left" w:pos="851"/>
        </w:tabs>
        <w:adjustRightInd/>
        <w:ind w:left="0" w:firstLine="567"/>
        <w:jc w:val="both"/>
        <w:textAlignment w:val="auto"/>
        <w:rPr>
          <w:sz w:val="20"/>
          <w:szCs w:val="20"/>
          <w:lang w:val="ru-RU"/>
        </w:rPr>
      </w:pPr>
      <w:r w:rsidRPr="00023BA9">
        <w:rPr>
          <w:sz w:val="20"/>
          <w:szCs w:val="20"/>
          <w:lang w:val="ru-RU"/>
        </w:rPr>
        <w:t>перенос остатков, отражаемых на счете 707 «Финансовый результат прошлого года» на счет 70802 «Убыток прошлого года».</w:t>
      </w:r>
    </w:p>
    <w:p w:rsidR="00D23408" w:rsidRPr="00023BA9" w:rsidRDefault="00D23408" w:rsidP="00D23408">
      <w:pPr>
        <w:jc w:val="both"/>
        <w:rPr>
          <w:rFonts w:cs="Arial"/>
          <w:sz w:val="20"/>
          <w:szCs w:val="20"/>
          <w:lang w:val="ru-RU"/>
        </w:rPr>
      </w:pPr>
      <w:r w:rsidRPr="00023BA9">
        <w:rPr>
          <w:rFonts w:cs="Arial"/>
          <w:sz w:val="20"/>
          <w:szCs w:val="20"/>
          <w:lang w:val="ru-RU"/>
        </w:rPr>
        <w:t xml:space="preserve">Операции СПОД были завершены Банком за 2018 год </w:t>
      </w:r>
      <w:r>
        <w:rPr>
          <w:rFonts w:cs="Arial"/>
          <w:sz w:val="20"/>
          <w:szCs w:val="20"/>
          <w:lang w:val="ru-RU"/>
        </w:rPr>
        <w:t>19</w:t>
      </w:r>
      <w:r w:rsidRPr="00023BA9">
        <w:rPr>
          <w:rFonts w:cs="Arial"/>
          <w:sz w:val="20"/>
          <w:szCs w:val="20"/>
          <w:lang w:val="ru-RU"/>
        </w:rPr>
        <w:t xml:space="preserve"> марта </w:t>
      </w:r>
      <w:r>
        <w:rPr>
          <w:rFonts w:cs="Arial"/>
          <w:sz w:val="20"/>
          <w:szCs w:val="20"/>
        </w:rPr>
        <w:t> </w:t>
      </w:r>
      <w:r w:rsidRPr="00023BA9">
        <w:rPr>
          <w:rFonts w:cs="Arial"/>
          <w:sz w:val="20"/>
          <w:szCs w:val="20"/>
          <w:lang w:val="ru-RU"/>
        </w:rPr>
        <w:t xml:space="preserve">2019 года, за 2017 год 24 января 2018 года и проводились в соответствии с требованиями Положения </w:t>
      </w:r>
      <w:r w:rsidR="002F26BD">
        <w:rPr>
          <w:rFonts w:cs="Arial"/>
          <w:sz w:val="20"/>
          <w:szCs w:val="20"/>
          <w:lang w:val="ru-RU"/>
        </w:rPr>
        <w:t xml:space="preserve">Банка России </w:t>
      </w:r>
      <w:r w:rsidRPr="00023BA9">
        <w:rPr>
          <w:rFonts w:cs="Arial"/>
          <w:sz w:val="20"/>
          <w:szCs w:val="20"/>
          <w:lang w:val="ru-RU"/>
        </w:rPr>
        <w:t xml:space="preserve">№ 579-П и Указаниями </w:t>
      </w:r>
      <w:r w:rsidR="002F26BD">
        <w:rPr>
          <w:rFonts w:cs="Arial"/>
          <w:sz w:val="20"/>
          <w:szCs w:val="20"/>
          <w:lang w:val="ru-RU"/>
        </w:rPr>
        <w:t xml:space="preserve">Банка России </w:t>
      </w:r>
      <w:r w:rsidRPr="00023BA9">
        <w:rPr>
          <w:rFonts w:cs="Arial"/>
          <w:sz w:val="20"/>
          <w:szCs w:val="20"/>
          <w:lang w:val="ru-RU"/>
        </w:rPr>
        <w:t>№ 3054-У и внутренними распорядительными документами Банка.</w:t>
      </w:r>
    </w:p>
    <w:p w:rsidR="00D23408" w:rsidRDefault="00D23408" w:rsidP="00D23408">
      <w:pPr>
        <w:jc w:val="both"/>
        <w:rPr>
          <w:rFonts w:cs="Arial"/>
          <w:sz w:val="20"/>
          <w:szCs w:val="20"/>
          <w:lang w:val="ru-RU"/>
        </w:rPr>
      </w:pPr>
    </w:p>
    <w:p w:rsidR="00D23408" w:rsidRPr="00831C92" w:rsidRDefault="00D23408" w:rsidP="00D23408">
      <w:pPr>
        <w:jc w:val="both"/>
        <w:rPr>
          <w:rFonts w:cs="Arial"/>
          <w:b/>
          <w:sz w:val="20"/>
          <w:szCs w:val="20"/>
          <w:lang w:val="ru-RU"/>
        </w:rPr>
      </w:pPr>
      <w:r w:rsidRPr="00831C92">
        <w:rPr>
          <w:rFonts w:cs="Arial"/>
          <w:b/>
          <w:sz w:val="20"/>
          <w:szCs w:val="20"/>
          <w:lang w:val="ru-RU"/>
        </w:rPr>
        <w:t xml:space="preserve">Информация об изменениях в </w:t>
      </w:r>
      <w:r w:rsidR="00525602">
        <w:rPr>
          <w:rFonts w:cs="Arial"/>
          <w:b/>
          <w:sz w:val="20"/>
          <w:szCs w:val="20"/>
          <w:lang w:val="ru-RU"/>
        </w:rPr>
        <w:t>У</w:t>
      </w:r>
      <w:r w:rsidRPr="00831C92">
        <w:rPr>
          <w:rFonts w:cs="Arial"/>
          <w:b/>
          <w:sz w:val="20"/>
          <w:szCs w:val="20"/>
          <w:lang w:val="ru-RU"/>
        </w:rPr>
        <w:t xml:space="preserve">четной </w:t>
      </w:r>
      <w:r w:rsidR="00525602">
        <w:rPr>
          <w:rFonts w:cs="Arial"/>
          <w:b/>
          <w:sz w:val="20"/>
          <w:szCs w:val="20"/>
          <w:lang w:val="ru-RU"/>
        </w:rPr>
        <w:t>П</w:t>
      </w:r>
      <w:r w:rsidR="002F26BD">
        <w:rPr>
          <w:rFonts w:cs="Arial"/>
          <w:b/>
          <w:sz w:val="20"/>
          <w:szCs w:val="20"/>
          <w:lang w:val="ru-RU"/>
        </w:rPr>
        <w:t>олитике Банка на 2018 год</w:t>
      </w:r>
    </w:p>
    <w:p w:rsidR="00D23408" w:rsidRDefault="00D23408" w:rsidP="00D23408">
      <w:pPr>
        <w:jc w:val="both"/>
        <w:rPr>
          <w:rFonts w:cs="Arial"/>
          <w:sz w:val="20"/>
          <w:szCs w:val="20"/>
          <w:lang w:val="ru-RU"/>
        </w:rPr>
      </w:pPr>
      <w:r w:rsidRPr="00831C92">
        <w:rPr>
          <w:rFonts w:cs="Arial"/>
          <w:sz w:val="20"/>
          <w:szCs w:val="20"/>
          <w:lang w:val="ru-RU"/>
        </w:rPr>
        <w:t>Банк применяет в своей деятельности принцип «непрерывность деятельности», предполагающий продолжать свою деятельность в обозримом будущем и у банка отсутствуют намерения и необходимость ликвидации.</w:t>
      </w:r>
      <w:r>
        <w:rPr>
          <w:rFonts w:cs="Arial"/>
          <w:sz w:val="20"/>
          <w:szCs w:val="20"/>
          <w:lang w:val="ru-RU"/>
        </w:rPr>
        <w:t xml:space="preserve"> В </w:t>
      </w:r>
      <w:r w:rsidR="00525602">
        <w:rPr>
          <w:rFonts w:cs="Arial"/>
          <w:sz w:val="20"/>
          <w:szCs w:val="20"/>
          <w:lang w:val="ru-RU"/>
        </w:rPr>
        <w:t>У</w:t>
      </w:r>
      <w:r>
        <w:rPr>
          <w:rFonts w:cs="Arial"/>
          <w:sz w:val="20"/>
          <w:szCs w:val="20"/>
          <w:lang w:val="ru-RU"/>
        </w:rPr>
        <w:t xml:space="preserve">четной </w:t>
      </w:r>
      <w:r w:rsidR="00525602">
        <w:rPr>
          <w:rFonts w:cs="Arial"/>
          <w:sz w:val="20"/>
          <w:szCs w:val="20"/>
          <w:lang w:val="ru-RU"/>
        </w:rPr>
        <w:t>П</w:t>
      </w:r>
      <w:r>
        <w:rPr>
          <w:rFonts w:cs="Arial"/>
          <w:sz w:val="20"/>
          <w:szCs w:val="20"/>
          <w:lang w:val="ru-RU"/>
        </w:rPr>
        <w:t xml:space="preserve">олитике Банка на 2019 год сохранены принципы (в том числе принцип «непрерывность деятельности») и методы бухгалтерского учета, применяемые </w:t>
      </w:r>
      <w:r w:rsidR="00525602">
        <w:rPr>
          <w:rFonts w:cs="Arial"/>
          <w:sz w:val="20"/>
          <w:szCs w:val="20"/>
          <w:lang w:val="ru-RU"/>
        </w:rPr>
        <w:t>Б</w:t>
      </w:r>
      <w:r>
        <w:rPr>
          <w:rFonts w:cs="Arial"/>
          <w:sz w:val="20"/>
          <w:szCs w:val="20"/>
          <w:lang w:val="ru-RU"/>
        </w:rPr>
        <w:t xml:space="preserve">анком в 2018 году. </w:t>
      </w:r>
    </w:p>
    <w:p w:rsidR="00D23408" w:rsidRDefault="00D23408" w:rsidP="00D23408">
      <w:pPr>
        <w:jc w:val="both"/>
        <w:rPr>
          <w:rFonts w:cs="Arial"/>
          <w:sz w:val="20"/>
          <w:szCs w:val="20"/>
          <w:lang w:val="ru-RU"/>
        </w:rPr>
      </w:pPr>
      <w:r>
        <w:rPr>
          <w:rFonts w:cs="Arial"/>
          <w:sz w:val="20"/>
          <w:szCs w:val="20"/>
          <w:lang w:val="ru-RU"/>
        </w:rPr>
        <w:t xml:space="preserve">По состоянию на 1 января 2019 года в Учетную </w:t>
      </w:r>
      <w:r w:rsidR="002F26BD">
        <w:rPr>
          <w:rFonts w:cs="Arial"/>
          <w:sz w:val="20"/>
          <w:szCs w:val="20"/>
          <w:lang w:val="ru-RU"/>
        </w:rPr>
        <w:t>П</w:t>
      </w:r>
      <w:r>
        <w:rPr>
          <w:rFonts w:cs="Arial"/>
          <w:sz w:val="20"/>
          <w:szCs w:val="20"/>
          <w:lang w:val="ru-RU"/>
        </w:rPr>
        <w:t>олитику внесены изменения по бухгалтерскому учету финансовых инструментов, связанных с началом применения с 1 января 2019 года Положений Банка России от 02.10.2017 года:</w:t>
      </w:r>
    </w:p>
    <w:p w:rsidR="00D23408" w:rsidRPr="00405FE6" w:rsidRDefault="00D23408" w:rsidP="00FC5D59">
      <w:pPr>
        <w:pStyle w:val="afd"/>
        <w:numPr>
          <w:ilvl w:val="0"/>
          <w:numId w:val="65"/>
        </w:numPr>
        <w:tabs>
          <w:tab w:val="left" w:pos="851"/>
        </w:tabs>
        <w:ind w:left="0" w:firstLine="567"/>
        <w:jc w:val="both"/>
        <w:rPr>
          <w:rFonts w:cs="Arial"/>
          <w:sz w:val="20"/>
          <w:szCs w:val="20"/>
          <w:lang w:val="ru-RU"/>
        </w:rPr>
      </w:pPr>
      <w:r w:rsidRPr="00405FE6">
        <w:rPr>
          <w:rFonts w:cs="Arial"/>
          <w:sz w:val="20"/>
          <w:szCs w:val="20"/>
          <w:lang w:val="ru-RU"/>
        </w:rPr>
        <w:t>№ 604–П «О порядке отражения на счетах бухгалтерского учета кредитными организациями операций по привлечению денежных средств по договорам вклада (депозита), кредитным договорам, операциям по выпуску и погашению (оплате) облигаций, векселей, депозитных и сберегательных сертификатов»;</w:t>
      </w:r>
    </w:p>
    <w:p w:rsidR="00D23408" w:rsidRPr="00405FE6" w:rsidRDefault="00D23408" w:rsidP="00FC5D59">
      <w:pPr>
        <w:pStyle w:val="afd"/>
        <w:numPr>
          <w:ilvl w:val="0"/>
          <w:numId w:val="65"/>
        </w:numPr>
        <w:tabs>
          <w:tab w:val="left" w:pos="851"/>
        </w:tabs>
        <w:ind w:left="0" w:firstLine="567"/>
        <w:jc w:val="both"/>
        <w:rPr>
          <w:rFonts w:cs="Arial"/>
          <w:sz w:val="20"/>
          <w:szCs w:val="20"/>
          <w:lang w:val="ru-RU"/>
        </w:rPr>
      </w:pPr>
      <w:r w:rsidRPr="00405FE6">
        <w:rPr>
          <w:rFonts w:cs="Arial"/>
          <w:sz w:val="20"/>
          <w:szCs w:val="20"/>
          <w:lang w:val="ru-RU"/>
        </w:rPr>
        <w:t>№ 605-П «О порядке отражения на счетах бухгалтерского учета кредитными организациями операций по размещению денежных средств по кредитным договорам, операций,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предоставлению денежных средств»;</w:t>
      </w:r>
    </w:p>
    <w:p w:rsidR="00D23408" w:rsidRPr="00405FE6" w:rsidRDefault="00D23408" w:rsidP="00FC5D59">
      <w:pPr>
        <w:pStyle w:val="afd"/>
        <w:numPr>
          <w:ilvl w:val="0"/>
          <w:numId w:val="65"/>
        </w:numPr>
        <w:tabs>
          <w:tab w:val="left" w:pos="851"/>
        </w:tabs>
        <w:ind w:left="0" w:firstLine="567"/>
        <w:jc w:val="both"/>
        <w:rPr>
          <w:rFonts w:cs="Arial"/>
          <w:sz w:val="20"/>
          <w:szCs w:val="20"/>
          <w:lang w:val="ru-RU"/>
        </w:rPr>
      </w:pPr>
      <w:r w:rsidRPr="00405FE6">
        <w:rPr>
          <w:rFonts w:cs="Arial"/>
          <w:sz w:val="20"/>
          <w:szCs w:val="20"/>
          <w:lang w:val="ru-RU"/>
        </w:rPr>
        <w:t>№ 606-П «О порядке отражения на счетах бухгалтерского учета кредитными организациями операций с ценными бумагами».</w:t>
      </w:r>
    </w:p>
    <w:p w:rsidR="00D23408" w:rsidRDefault="00D23408" w:rsidP="00D23408">
      <w:pPr>
        <w:jc w:val="both"/>
        <w:rPr>
          <w:rFonts w:cs="Arial"/>
          <w:sz w:val="20"/>
          <w:szCs w:val="20"/>
          <w:lang w:val="ru-RU"/>
        </w:rPr>
      </w:pPr>
      <w:r>
        <w:rPr>
          <w:rFonts w:cs="Arial"/>
          <w:sz w:val="20"/>
          <w:szCs w:val="20"/>
          <w:lang w:val="ru-RU"/>
        </w:rPr>
        <w:t>Банк произвел оценку  эффекта от применения вышеуказанных документов Банка России по состоянию на 1 января 2019 года, по результатам которой оценочный резерв под ожидаемые кредитные убытки меньше резерва на возможные потери по ссудам, ссудной и приравненной к ней задолженности на 18 255,8 тыс. руб.</w:t>
      </w:r>
    </w:p>
    <w:p w:rsidR="00D23408" w:rsidRPr="00831C92" w:rsidRDefault="00D23408" w:rsidP="00D23408">
      <w:pPr>
        <w:jc w:val="both"/>
        <w:rPr>
          <w:rFonts w:cs="Arial"/>
          <w:sz w:val="20"/>
          <w:szCs w:val="20"/>
          <w:lang w:val="ru-RU"/>
        </w:rPr>
      </w:pPr>
      <w:r>
        <w:rPr>
          <w:rFonts w:cs="Arial"/>
          <w:sz w:val="20"/>
          <w:szCs w:val="20"/>
          <w:lang w:val="ru-RU"/>
        </w:rPr>
        <w:t xml:space="preserve">При этом, указанный результат не окажет влияния на регуляторный капитал Банка в связи с сохранением Банком России действующих в 2018 году пруденциальных подходов к его расчету.      </w:t>
      </w:r>
    </w:p>
    <w:p w:rsidR="00D23408" w:rsidRPr="00831C92" w:rsidRDefault="00D23408" w:rsidP="00D23408">
      <w:pPr>
        <w:jc w:val="both"/>
        <w:rPr>
          <w:rFonts w:cs="Arial"/>
          <w:sz w:val="20"/>
          <w:szCs w:val="20"/>
          <w:lang w:val="ru-RU"/>
        </w:rPr>
      </w:pPr>
    </w:p>
    <w:p w:rsidR="00D23408" w:rsidRPr="00831C92" w:rsidRDefault="00D23408" w:rsidP="00D23408">
      <w:pPr>
        <w:jc w:val="both"/>
        <w:rPr>
          <w:rFonts w:cs="Arial"/>
          <w:b/>
          <w:sz w:val="20"/>
          <w:szCs w:val="20"/>
          <w:lang w:val="ru-RU"/>
        </w:rPr>
      </w:pPr>
      <w:r w:rsidRPr="00831C92">
        <w:rPr>
          <w:rFonts w:cs="Arial"/>
          <w:b/>
          <w:sz w:val="20"/>
          <w:szCs w:val="20"/>
          <w:lang w:val="ru-RU"/>
        </w:rPr>
        <w:t xml:space="preserve">Информация о характере и величине существенных ошибок по каждой статье годовой отчетности за каждый предшествующий период </w:t>
      </w:r>
    </w:p>
    <w:p w:rsidR="00D23408" w:rsidRPr="00831C92" w:rsidRDefault="00D23408" w:rsidP="00D23408">
      <w:pPr>
        <w:jc w:val="both"/>
        <w:rPr>
          <w:rFonts w:cs="Arial"/>
          <w:b/>
          <w:sz w:val="20"/>
          <w:szCs w:val="20"/>
          <w:lang w:val="ru-RU"/>
        </w:rPr>
      </w:pPr>
      <w:r w:rsidRPr="00831C92">
        <w:rPr>
          <w:rFonts w:cs="Arial"/>
          <w:sz w:val="20"/>
          <w:szCs w:val="20"/>
          <w:lang w:val="ru-RU"/>
        </w:rPr>
        <w:t>У Банка не было существенных ошибок в 201</w:t>
      </w:r>
      <w:r>
        <w:rPr>
          <w:rFonts w:cs="Arial"/>
          <w:sz w:val="20"/>
          <w:szCs w:val="20"/>
          <w:lang w:val="ru-RU"/>
        </w:rPr>
        <w:t>7</w:t>
      </w:r>
      <w:r w:rsidRPr="00831C92">
        <w:rPr>
          <w:rFonts w:cs="Arial"/>
          <w:sz w:val="20"/>
          <w:szCs w:val="20"/>
          <w:lang w:val="ru-RU"/>
        </w:rPr>
        <w:t xml:space="preserve"> и 201</w:t>
      </w:r>
      <w:r>
        <w:rPr>
          <w:rFonts w:cs="Arial"/>
          <w:sz w:val="20"/>
          <w:szCs w:val="20"/>
          <w:lang w:val="ru-RU"/>
        </w:rPr>
        <w:t>8</w:t>
      </w:r>
      <w:r w:rsidRPr="00831C92">
        <w:rPr>
          <w:rFonts w:cs="Arial"/>
          <w:sz w:val="20"/>
          <w:szCs w:val="20"/>
          <w:lang w:val="ru-RU"/>
        </w:rPr>
        <w:t xml:space="preserve"> годах.</w:t>
      </w:r>
      <w:r w:rsidRPr="00831C92">
        <w:rPr>
          <w:rFonts w:cs="Arial"/>
          <w:b/>
          <w:sz w:val="20"/>
          <w:szCs w:val="20"/>
          <w:lang w:val="ru-RU"/>
        </w:rPr>
        <w:t xml:space="preserve"> </w:t>
      </w:r>
    </w:p>
    <w:p w:rsidR="00D23408" w:rsidRPr="00831C92" w:rsidRDefault="00D23408" w:rsidP="002A4CA4">
      <w:pPr>
        <w:jc w:val="both"/>
        <w:rPr>
          <w:b/>
          <w:bCs/>
          <w:sz w:val="20"/>
          <w:szCs w:val="20"/>
          <w:lang w:val="ru-RU"/>
        </w:rPr>
      </w:pPr>
    </w:p>
    <w:p w:rsidR="00D23408" w:rsidRDefault="00D23408" w:rsidP="002A4CA4">
      <w:pPr>
        <w:pStyle w:val="a"/>
        <w:ind w:left="0" w:firstLine="0"/>
      </w:pPr>
      <w:r>
        <w:rPr>
          <w:bCs/>
        </w:rPr>
        <w:t>Н</w:t>
      </w:r>
      <w:r w:rsidRPr="00831C92">
        <w:t>екорректирующ</w:t>
      </w:r>
      <w:r>
        <w:t>ие</w:t>
      </w:r>
      <w:r w:rsidRPr="00831C92">
        <w:t xml:space="preserve"> события после отчетной даты</w:t>
      </w:r>
    </w:p>
    <w:p w:rsidR="002A4CA4" w:rsidRPr="002F26BD" w:rsidRDefault="002A4CA4" w:rsidP="002A4CA4">
      <w:pPr>
        <w:pStyle w:val="2"/>
        <w:numPr>
          <w:ilvl w:val="0"/>
          <w:numId w:val="0"/>
        </w:numPr>
        <w:ind w:left="360"/>
        <w:rPr>
          <w:sz w:val="20"/>
        </w:rPr>
      </w:pPr>
    </w:p>
    <w:p w:rsidR="00D23408" w:rsidRPr="00BF75CA" w:rsidRDefault="00D23408" w:rsidP="00D23408">
      <w:pPr>
        <w:jc w:val="both"/>
        <w:rPr>
          <w:rFonts w:cs="Arial"/>
          <w:sz w:val="20"/>
          <w:szCs w:val="20"/>
          <w:lang w:val="ru-RU"/>
        </w:rPr>
      </w:pPr>
      <w:r w:rsidRPr="00BF75CA">
        <w:rPr>
          <w:rFonts w:cs="Arial"/>
          <w:sz w:val="20"/>
          <w:szCs w:val="20"/>
          <w:lang w:val="ru-RU"/>
        </w:rPr>
        <w:t xml:space="preserve">Некорректирующие события после отчетной даты описываются в пояснительной записке, если они существенно влияют на финансовое состояние, состояние активов и обязательств, финансовый результат  Банка. Некорректирующие СПОД в бухгалтерском учете не отражаются. </w:t>
      </w:r>
    </w:p>
    <w:p w:rsidR="00D23408" w:rsidRPr="00BF75CA" w:rsidRDefault="00D23408" w:rsidP="00D23408">
      <w:pPr>
        <w:jc w:val="both"/>
        <w:rPr>
          <w:rFonts w:cs="Arial"/>
          <w:sz w:val="20"/>
          <w:szCs w:val="20"/>
          <w:lang w:val="ru-RU"/>
        </w:rPr>
      </w:pPr>
      <w:r w:rsidRPr="00BF75CA">
        <w:rPr>
          <w:rFonts w:cs="Arial"/>
          <w:sz w:val="20"/>
          <w:szCs w:val="20"/>
          <w:lang w:val="ru-RU"/>
        </w:rPr>
        <w:t>К некорректирующим СПОД относится:</w:t>
      </w:r>
    </w:p>
    <w:p w:rsidR="00D23408" w:rsidRPr="00BF75CA" w:rsidRDefault="00D23408" w:rsidP="00FC5D59">
      <w:pPr>
        <w:pStyle w:val="ConsPlusNormal"/>
        <w:widowControl/>
        <w:numPr>
          <w:ilvl w:val="0"/>
          <w:numId w:val="66"/>
        </w:numPr>
        <w:tabs>
          <w:tab w:val="left" w:pos="851"/>
        </w:tabs>
        <w:ind w:left="0" w:firstLine="567"/>
        <w:jc w:val="both"/>
      </w:pPr>
      <w:r w:rsidRPr="00BF75CA">
        <w:t>принятие решения о реорганизации кредитной организации или начало ее реализации;</w:t>
      </w:r>
    </w:p>
    <w:p w:rsidR="00D23408" w:rsidRPr="00BF75CA" w:rsidRDefault="00D23408" w:rsidP="00FC5D59">
      <w:pPr>
        <w:pStyle w:val="ConsPlusNormal"/>
        <w:widowControl/>
        <w:numPr>
          <w:ilvl w:val="0"/>
          <w:numId w:val="66"/>
        </w:numPr>
        <w:tabs>
          <w:tab w:val="left" w:pos="851"/>
        </w:tabs>
        <w:ind w:left="0" w:firstLine="567"/>
        <w:jc w:val="both"/>
      </w:pPr>
      <w:r w:rsidRPr="00BF75CA">
        <w:t>приобретение или выбытие дочерней, зависимой организации;</w:t>
      </w:r>
    </w:p>
    <w:p w:rsidR="00D23408" w:rsidRPr="00BF75CA" w:rsidRDefault="00D23408" w:rsidP="00FC5D59">
      <w:pPr>
        <w:pStyle w:val="ConsPlusNormal"/>
        <w:widowControl/>
        <w:numPr>
          <w:ilvl w:val="0"/>
          <w:numId w:val="66"/>
        </w:numPr>
        <w:tabs>
          <w:tab w:val="left" w:pos="851"/>
        </w:tabs>
        <w:ind w:left="0" w:firstLine="567"/>
        <w:jc w:val="both"/>
      </w:pPr>
      <w:r w:rsidRPr="00BF75CA">
        <w:t>принятие решения об эмиссии акций и иных ценных бумаг;</w:t>
      </w:r>
    </w:p>
    <w:p w:rsidR="00D23408" w:rsidRPr="00BF75CA" w:rsidRDefault="00D23408" w:rsidP="00FC5D59">
      <w:pPr>
        <w:pStyle w:val="ConsPlusNormal"/>
        <w:widowControl/>
        <w:numPr>
          <w:ilvl w:val="0"/>
          <w:numId w:val="66"/>
        </w:numPr>
        <w:tabs>
          <w:tab w:val="left" w:pos="851"/>
        </w:tabs>
        <w:ind w:left="0" w:firstLine="567"/>
        <w:jc w:val="both"/>
      </w:pPr>
      <w:r w:rsidRPr="00BF75CA">
        <w:t>существенное снижение рыночной стоимости инвестиций;</w:t>
      </w:r>
    </w:p>
    <w:p w:rsidR="00D23408" w:rsidRPr="00BF75CA" w:rsidRDefault="00D23408" w:rsidP="00FC5D59">
      <w:pPr>
        <w:pStyle w:val="ConsPlusNormal"/>
        <w:widowControl/>
        <w:numPr>
          <w:ilvl w:val="0"/>
          <w:numId w:val="66"/>
        </w:numPr>
        <w:tabs>
          <w:tab w:val="left" w:pos="851"/>
        </w:tabs>
        <w:ind w:left="0" w:firstLine="567"/>
        <w:jc w:val="both"/>
      </w:pPr>
      <w:r w:rsidRPr="00BF75CA">
        <w:t>крупная сделка, связанная с приобретением и выбытием основных средств и финансовых активов;</w:t>
      </w:r>
    </w:p>
    <w:p w:rsidR="00D23408" w:rsidRPr="00BF75CA" w:rsidRDefault="00D23408" w:rsidP="00FC5D59">
      <w:pPr>
        <w:pStyle w:val="ConsPlusNormal"/>
        <w:widowControl/>
        <w:numPr>
          <w:ilvl w:val="0"/>
          <w:numId w:val="66"/>
        </w:numPr>
        <w:tabs>
          <w:tab w:val="left" w:pos="851"/>
        </w:tabs>
        <w:ind w:left="0" w:firstLine="567"/>
        <w:jc w:val="both"/>
      </w:pPr>
      <w:r w:rsidRPr="00BF75CA">
        <w:t>существенное снижение стоимости основных средств, если это снижение имело место после отчетной даты и не отражено при переоценке основных средств на отчетную дату;</w:t>
      </w:r>
    </w:p>
    <w:p w:rsidR="00D23408" w:rsidRPr="00BF75CA" w:rsidRDefault="00D23408" w:rsidP="00FC5D59">
      <w:pPr>
        <w:pStyle w:val="ConsPlusNormal"/>
        <w:widowControl/>
        <w:numPr>
          <w:ilvl w:val="0"/>
          <w:numId w:val="66"/>
        </w:numPr>
        <w:tabs>
          <w:tab w:val="left" w:pos="851"/>
        </w:tabs>
        <w:ind w:left="0" w:firstLine="567"/>
        <w:jc w:val="both"/>
      </w:pPr>
      <w:r w:rsidRPr="00BF75CA">
        <w:t>прекращение существенной части основной деятельности кредитной организации, если это нельзя было предвидеть по состоянию на отчетную дату;</w:t>
      </w:r>
    </w:p>
    <w:p w:rsidR="00D23408" w:rsidRPr="00BF75CA" w:rsidRDefault="00D23408" w:rsidP="00FC5D59">
      <w:pPr>
        <w:pStyle w:val="ConsPlusNormal"/>
        <w:widowControl/>
        <w:numPr>
          <w:ilvl w:val="0"/>
          <w:numId w:val="66"/>
        </w:numPr>
        <w:tabs>
          <w:tab w:val="left" w:pos="851"/>
        </w:tabs>
        <w:ind w:left="0" w:firstLine="567"/>
        <w:jc w:val="both"/>
      </w:pPr>
      <w:r w:rsidRPr="00BF75CA">
        <w:t>принятие решения о выплате дивидендов;</w:t>
      </w:r>
    </w:p>
    <w:p w:rsidR="00D23408" w:rsidRPr="00BF75CA" w:rsidRDefault="00D23408" w:rsidP="00FC5D59">
      <w:pPr>
        <w:pStyle w:val="ConsPlusNormal"/>
        <w:widowControl/>
        <w:numPr>
          <w:ilvl w:val="0"/>
          <w:numId w:val="66"/>
        </w:numPr>
        <w:tabs>
          <w:tab w:val="left" w:pos="851"/>
        </w:tabs>
        <w:ind w:left="0" w:firstLine="567"/>
        <w:jc w:val="both"/>
      </w:pPr>
      <w:r w:rsidRPr="00BF75CA">
        <w:t>существенные сделки с собственными акциями;</w:t>
      </w:r>
    </w:p>
    <w:p w:rsidR="00D23408" w:rsidRPr="00BF75CA" w:rsidRDefault="00D23408" w:rsidP="00FC5D59">
      <w:pPr>
        <w:pStyle w:val="ConsPlusNormal"/>
        <w:widowControl/>
        <w:numPr>
          <w:ilvl w:val="0"/>
          <w:numId w:val="66"/>
        </w:numPr>
        <w:tabs>
          <w:tab w:val="left" w:pos="851"/>
        </w:tabs>
        <w:ind w:left="0" w:firstLine="567"/>
        <w:jc w:val="both"/>
      </w:pPr>
      <w:r w:rsidRPr="00BF75CA">
        <w:t>изменения законодательства Российской Федерации о налогах и сборах, вступивших в силу после отчетной даты;</w:t>
      </w:r>
    </w:p>
    <w:p w:rsidR="00D23408" w:rsidRPr="00BF75CA" w:rsidRDefault="00D23408" w:rsidP="00FC5D59">
      <w:pPr>
        <w:pStyle w:val="ConsPlusNormal"/>
        <w:widowControl/>
        <w:numPr>
          <w:ilvl w:val="0"/>
          <w:numId w:val="66"/>
        </w:numPr>
        <w:tabs>
          <w:tab w:val="left" w:pos="851"/>
        </w:tabs>
        <w:ind w:left="0" w:firstLine="567"/>
        <w:jc w:val="both"/>
      </w:pPr>
      <w:r w:rsidRPr="00BF75CA">
        <w:t>принятие существенных договорных и условных обязательств, например, при предоставлении крупных гарантий;</w:t>
      </w:r>
    </w:p>
    <w:p w:rsidR="00D23408" w:rsidRPr="00BF75CA" w:rsidRDefault="00D23408" w:rsidP="00FC5D59">
      <w:pPr>
        <w:pStyle w:val="ConsPlusNormal"/>
        <w:widowControl/>
        <w:numPr>
          <w:ilvl w:val="0"/>
          <w:numId w:val="66"/>
        </w:numPr>
        <w:tabs>
          <w:tab w:val="left" w:pos="851"/>
        </w:tabs>
        <w:ind w:left="0" w:firstLine="567"/>
        <w:jc w:val="both"/>
      </w:pPr>
      <w:r w:rsidRPr="00BF75CA">
        <w:lastRenderedPageBreak/>
        <w:t>начало судебного разбирательства, проистекающего исключительно из событий, произошедших после отчетной даты;</w:t>
      </w:r>
    </w:p>
    <w:p w:rsidR="00D23408" w:rsidRPr="00BF75CA" w:rsidRDefault="00D23408" w:rsidP="00FC5D59">
      <w:pPr>
        <w:pStyle w:val="ConsPlusNormal"/>
        <w:widowControl/>
        <w:numPr>
          <w:ilvl w:val="0"/>
          <w:numId w:val="66"/>
        </w:numPr>
        <w:tabs>
          <w:tab w:val="left" w:pos="851"/>
        </w:tabs>
        <w:ind w:left="0" w:firstLine="567"/>
        <w:jc w:val="both"/>
      </w:pPr>
      <w:r w:rsidRPr="00BF75CA">
        <w:t>пожар, авария, стихийное бедствие или другая чрезвычайная ситуация, в результате которой уничтожена значительная часть активов кредитной организации;</w:t>
      </w:r>
    </w:p>
    <w:p w:rsidR="00D23408" w:rsidRPr="00BF75CA" w:rsidRDefault="00D23408" w:rsidP="00FC5D59">
      <w:pPr>
        <w:pStyle w:val="ConsPlusNormal"/>
        <w:widowControl/>
        <w:numPr>
          <w:ilvl w:val="0"/>
          <w:numId w:val="66"/>
        </w:numPr>
        <w:tabs>
          <w:tab w:val="left" w:pos="851"/>
        </w:tabs>
        <w:ind w:left="0" w:firstLine="567"/>
        <w:jc w:val="both"/>
      </w:pPr>
      <w:r w:rsidRPr="00BF75CA">
        <w:t>непрогнозируемое изменение курсов иностранных валют и рыночных котировок финансовых активов после отчетной даты;</w:t>
      </w:r>
    </w:p>
    <w:p w:rsidR="00D23408" w:rsidRDefault="00D23408" w:rsidP="00FC5D59">
      <w:pPr>
        <w:pStyle w:val="ConsPlusNormal"/>
        <w:widowControl/>
        <w:numPr>
          <w:ilvl w:val="0"/>
          <w:numId w:val="66"/>
        </w:numPr>
        <w:tabs>
          <w:tab w:val="left" w:pos="851"/>
        </w:tabs>
        <w:ind w:left="0" w:firstLine="567"/>
        <w:jc w:val="both"/>
      </w:pPr>
      <w:r w:rsidRPr="00BF75CA">
        <w:t>действия органов государственной власти.</w:t>
      </w:r>
    </w:p>
    <w:p w:rsidR="00D23408" w:rsidRPr="00BF75CA" w:rsidRDefault="00D23408" w:rsidP="00D23408">
      <w:pPr>
        <w:pStyle w:val="ConsPlusNormal"/>
        <w:widowControl/>
        <w:ind w:firstLine="0"/>
        <w:jc w:val="both"/>
      </w:pPr>
      <w:r>
        <w:t>В период после отчетной даты 1 января 2019 года до даты составления годового отчета у Банка отсутствовали нек</w:t>
      </w:r>
      <w:r w:rsidR="002A4CA4">
        <w:t>о</w:t>
      </w:r>
      <w:r>
        <w:t xml:space="preserve">рректирующие СПОД. </w:t>
      </w:r>
    </w:p>
    <w:p w:rsidR="00D23408" w:rsidRPr="00831C92" w:rsidRDefault="00D23408" w:rsidP="00D23408">
      <w:pPr>
        <w:jc w:val="both"/>
        <w:rPr>
          <w:rFonts w:cs="Arial"/>
          <w:sz w:val="20"/>
          <w:szCs w:val="20"/>
          <w:lang w:val="ru-RU"/>
        </w:rPr>
      </w:pPr>
    </w:p>
    <w:p w:rsidR="00970300" w:rsidRPr="002A4CA4" w:rsidRDefault="00970300" w:rsidP="006F5EF5">
      <w:pPr>
        <w:pStyle w:val="a"/>
        <w:ind w:left="0" w:firstLine="0"/>
      </w:pPr>
      <w:r w:rsidRPr="002A4CA4">
        <w:t>Сопроводительная инфо</w:t>
      </w:r>
      <w:r w:rsidR="00925DDA" w:rsidRPr="002A4CA4">
        <w:t xml:space="preserve">рмация к формам </w:t>
      </w:r>
      <w:r w:rsidR="00A550D7" w:rsidRPr="002A4CA4">
        <w:t>годовой бухгалтерской (финансовой) отчетности</w:t>
      </w:r>
    </w:p>
    <w:p w:rsidR="00970300" w:rsidRPr="002A4CA4" w:rsidRDefault="00970300" w:rsidP="006F5EF5">
      <w:pPr>
        <w:jc w:val="both"/>
        <w:rPr>
          <w:rFonts w:cs="Arial"/>
          <w:sz w:val="20"/>
          <w:szCs w:val="20"/>
          <w:lang w:val="ru-RU"/>
        </w:rPr>
      </w:pPr>
    </w:p>
    <w:p w:rsidR="00970300" w:rsidRPr="002A4CA4" w:rsidRDefault="002A4CA4" w:rsidP="00E62B4D">
      <w:pPr>
        <w:pStyle w:val="1"/>
      </w:pPr>
      <w:r w:rsidRPr="002A4CA4">
        <w:t>6</w:t>
      </w:r>
      <w:r w:rsidR="00E62B4D" w:rsidRPr="002A4CA4">
        <w:t xml:space="preserve">.1. </w:t>
      </w:r>
      <w:r w:rsidR="00970300" w:rsidRPr="002A4CA4">
        <w:t xml:space="preserve">Сопроводительная информация к </w:t>
      </w:r>
      <w:r w:rsidR="00362C84" w:rsidRPr="002A4CA4">
        <w:t xml:space="preserve">статьям </w:t>
      </w:r>
      <w:r w:rsidR="00970300" w:rsidRPr="002A4CA4">
        <w:t>бухгалтерско</w:t>
      </w:r>
      <w:r w:rsidR="0011361C" w:rsidRPr="002A4CA4">
        <w:t>го</w:t>
      </w:r>
      <w:r w:rsidR="00970300" w:rsidRPr="002A4CA4">
        <w:t xml:space="preserve"> баланс</w:t>
      </w:r>
      <w:r w:rsidR="0011361C" w:rsidRPr="002A4CA4">
        <w:t>а</w:t>
      </w:r>
      <w:r w:rsidR="00970300" w:rsidRPr="002A4CA4">
        <w:t xml:space="preserve"> </w:t>
      </w:r>
    </w:p>
    <w:p w:rsidR="003A0B64" w:rsidRDefault="003A0B64" w:rsidP="00AD5225">
      <w:pPr>
        <w:jc w:val="both"/>
        <w:rPr>
          <w:rFonts w:cs="Arial"/>
          <w:b/>
          <w:sz w:val="20"/>
          <w:szCs w:val="20"/>
          <w:highlight w:val="yellow"/>
          <w:lang w:val="ru-RU"/>
        </w:rPr>
      </w:pPr>
    </w:p>
    <w:p w:rsidR="002A4CA4" w:rsidRDefault="002A4CA4" w:rsidP="002A4CA4">
      <w:pPr>
        <w:pStyle w:val="4"/>
      </w:pPr>
      <w:r>
        <w:t>6</w:t>
      </w:r>
      <w:r w:rsidRPr="003E01EA">
        <w:t xml:space="preserve">.1.1. </w:t>
      </w:r>
      <w:r>
        <w:t>Информация об об</w:t>
      </w:r>
      <w:r w:rsidRPr="003E01EA">
        <w:t>ъем</w:t>
      </w:r>
      <w:r>
        <w:t>е</w:t>
      </w:r>
      <w:r w:rsidRPr="003E01EA">
        <w:t xml:space="preserve"> и структур</w:t>
      </w:r>
      <w:r>
        <w:t>е</w:t>
      </w:r>
      <w:r w:rsidRPr="003E01EA">
        <w:t xml:space="preserve"> денежных средств и их эквивалентов:</w:t>
      </w:r>
    </w:p>
    <w:p w:rsidR="002A4CA4" w:rsidRPr="003E01EA" w:rsidRDefault="002A4CA4" w:rsidP="002A4CA4">
      <w:pPr>
        <w:rPr>
          <w:lang w:val="ru-RU"/>
        </w:rPr>
      </w:pPr>
    </w:p>
    <w:tbl>
      <w:tblPr>
        <w:tblW w:w="9371" w:type="dxa"/>
        <w:tblInd w:w="93" w:type="dxa"/>
        <w:tblLook w:val="04A0" w:firstRow="1" w:lastRow="0" w:firstColumn="1" w:lastColumn="0" w:noHBand="0" w:noVBand="1"/>
      </w:tblPr>
      <w:tblGrid>
        <w:gridCol w:w="4410"/>
        <w:gridCol w:w="2693"/>
        <w:gridCol w:w="2268"/>
      </w:tblGrid>
      <w:tr w:rsidR="002A4CA4" w:rsidRPr="00F23C1F" w:rsidTr="001E0477">
        <w:trPr>
          <w:trHeight w:val="240"/>
          <w:tblHeader/>
        </w:trPr>
        <w:tc>
          <w:tcPr>
            <w:tcW w:w="4410" w:type="dxa"/>
            <w:tcBorders>
              <w:top w:val="single" w:sz="4" w:space="0" w:color="auto"/>
              <w:left w:val="nil"/>
              <w:right w:val="nil"/>
            </w:tcBorders>
            <w:shd w:val="clear" w:color="auto" w:fill="auto"/>
            <w:noWrap/>
            <w:vAlign w:val="bottom"/>
            <w:hideMark/>
          </w:tcPr>
          <w:p w:rsidR="002A4CA4" w:rsidRPr="003E01EA" w:rsidRDefault="002A4CA4" w:rsidP="001E0477">
            <w:pPr>
              <w:rPr>
                <w:rFonts w:cs="Arial"/>
                <w:b/>
                <w:bCs/>
                <w:sz w:val="16"/>
                <w:szCs w:val="16"/>
                <w:lang w:val="ru-RU"/>
              </w:rPr>
            </w:pPr>
            <w:r w:rsidRPr="003E01EA">
              <w:rPr>
                <w:rFonts w:cs="Arial"/>
                <w:b/>
                <w:bCs/>
                <w:sz w:val="16"/>
                <w:szCs w:val="16"/>
              </w:rPr>
              <w:t> </w:t>
            </w:r>
          </w:p>
        </w:tc>
        <w:tc>
          <w:tcPr>
            <w:tcW w:w="2693" w:type="dxa"/>
            <w:tcBorders>
              <w:top w:val="single" w:sz="4" w:space="0" w:color="auto"/>
              <w:left w:val="nil"/>
              <w:bottom w:val="single" w:sz="8" w:space="0" w:color="auto"/>
              <w:right w:val="nil"/>
            </w:tcBorders>
            <w:shd w:val="clear" w:color="auto" w:fill="auto"/>
            <w:noWrap/>
            <w:vAlign w:val="bottom"/>
            <w:hideMark/>
          </w:tcPr>
          <w:p w:rsidR="002A4CA4" w:rsidRPr="003E01EA" w:rsidRDefault="002A4CA4" w:rsidP="001E0477">
            <w:pPr>
              <w:jc w:val="center"/>
              <w:rPr>
                <w:rFonts w:cs="Arial"/>
                <w:b/>
                <w:bCs/>
                <w:sz w:val="16"/>
                <w:szCs w:val="16"/>
                <w:lang w:val="ru-RU"/>
              </w:rPr>
            </w:pPr>
            <w:r w:rsidRPr="003E01EA">
              <w:rPr>
                <w:rFonts w:cs="Arial"/>
                <w:b/>
                <w:bCs/>
                <w:sz w:val="16"/>
                <w:szCs w:val="16"/>
                <w:lang w:val="ru-RU"/>
              </w:rPr>
              <w:t>31.12.2018</w:t>
            </w:r>
          </w:p>
        </w:tc>
        <w:tc>
          <w:tcPr>
            <w:tcW w:w="2268" w:type="dxa"/>
            <w:tcBorders>
              <w:top w:val="single" w:sz="4" w:space="0" w:color="auto"/>
              <w:left w:val="nil"/>
              <w:bottom w:val="single" w:sz="8" w:space="0" w:color="auto"/>
              <w:right w:val="nil"/>
            </w:tcBorders>
            <w:vAlign w:val="bottom"/>
          </w:tcPr>
          <w:p w:rsidR="002A4CA4" w:rsidRPr="003E01EA" w:rsidRDefault="002A4CA4" w:rsidP="001E0477">
            <w:pPr>
              <w:jc w:val="center"/>
              <w:rPr>
                <w:rFonts w:cs="Arial"/>
                <w:b/>
                <w:bCs/>
                <w:sz w:val="16"/>
                <w:szCs w:val="16"/>
                <w:lang w:val="ru-RU"/>
              </w:rPr>
            </w:pPr>
            <w:r w:rsidRPr="003E01EA">
              <w:rPr>
                <w:rFonts w:cs="Arial"/>
                <w:b/>
                <w:bCs/>
                <w:sz w:val="16"/>
                <w:szCs w:val="16"/>
                <w:lang w:val="ru-RU"/>
              </w:rPr>
              <w:t>31.12.2017</w:t>
            </w:r>
          </w:p>
        </w:tc>
      </w:tr>
      <w:tr w:rsidR="002A4CA4" w:rsidRPr="00F23C1F" w:rsidTr="001E0477">
        <w:trPr>
          <w:trHeight w:val="225"/>
        </w:trPr>
        <w:tc>
          <w:tcPr>
            <w:tcW w:w="4410" w:type="dxa"/>
            <w:tcBorders>
              <w:left w:val="nil"/>
              <w:bottom w:val="nil"/>
              <w:right w:val="nil"/>
            </w:tcBorders>
            <w:shd w:val="clear" w:color="auto" w:fill="auto"/>
            <w:noWrap/>
            <w:vAlign w:val="bottom"/>
            <w:hideMark/>
          </w:tcPr>
          <w:p w:rsidR="002A4CA4" w:rsidRPr="003E01EA" w:rsidRDefault="002A4CA4" w:rsidP="001E0477">
            <w:pPr>
              <w:rPr>
                <w:rFonts w:cs="Arial"/>
                <w:b/>
                <w:bCs/>
                <w:sz w:val="16"/>
                <w:szCs w:val="16"/>
                <w:lang w:val="ru-RU"/>
              </w:rPr>
            </w:pPr>
            <w:r>
              <w:rPr>
                <w:rFonts w:cs="Arial"/>
                <w:b/>
                <w:bCs/>
                <w:sz w:val="16"/>
                <w:szCs w:val="16"/>
                <w:lang w:val="ru-RU"/>
              </w:rPr>
              <w:t>Денежные</w:t>
            </w:r>
            <w:r w:rsidRPr="003E01EA">
              <w:rPr>
                <w:rFonts w:cs="Arial"/>
                <w:b/>
                <w:bCs/>
                <w:sz w:val="16"/>
                <w:szCs w:val="16"/>
                <w:lang w:val="ru-RU"/>
              </w:rPr>
              <w:t xml:space="preserve"> средства</w:t>
            </w:r>
          </w:p>
        </w:tc>
        <w:tc>
          <w:tcPr>
            <w:tcW w:w="2693" w:type="dxa"/>
            <w:tcBorders>
              <w:top w:val="nil"/>
              <w:left w:val="nil"/>
              <w:bottom w:val="nil"/>
              <w:right w:val="nil"/>
            </w:tcBorders>
            <w:shd w:val="clear" w:color="auto" w:fill="auto"/>
            <w:noWrap/>
            <w:vAlign w:val="bottom"/>
          </w:tcPr>
          <w:p w:rsidR="002A4CA4" w:rsidRPr="003E01EA" w:rsidRDefault="002A4CA4" w:rsidP="001E0477">
            <w:pPr>
              <w:jc w:val="center"/>
              <w:rPr>
                <w:rFonts w:cs="Arial"/>
                <w:b/>
                <w:bCs/>
                <w:sz w:val="16"/>
                <w:szCs w:val="16"/>
                <w:lang w:val="ru-RU"/>
              </w:rPr>
            </w:pPr>
            <w:r>
              <w:rPr>
                <w:rFonts w:cs="Arial"/>
                <w:b/>
                <w:bCs/>
                <w:sz w:val="16"/>
                <w:szCs w:val="16"/>
                <w:lang w:val="ru-RU"/>
              </w:rPr>
              <w:t>675 870</w:t>
            </w:r>
          </w:p>
        </w:tc>
        <w:tc>
          <w:tcPr>
            <w:tcW w:w="2268" w:type="dxa"/>
            <w:tcBorders>
              <w:top w:val="nil"/>
              <w:left w:val="nil"/>
              <w:bottom w:val="nil"/>
              <w:right w:val="nil"/>
            </w:tcBorders>
            <w:vAlign w:val="bottom"/>
          </w:tcPr>
          <w:p w:rsidR="002A4CA4" w:rsidRPr="003E01EA" w:rsidRDefault="002A4CA4" w:rsidP="001E0477">
            <w:pPr>
              <w:jc w:val="center"/>
              <w:rPr>
                <w:rFonts w:cs="Arial"/>
                <w:b/>
                <w:bCs/>
                <w:sz w:val="16"/>
                <w:szCs w:val="16"/>
                <w:lang w:val="ru-RU"/>
              </w:rPr>
            </w:pPr>
            <w:r w:rsidRPr="003E01EA">
              <w:rPr>
                <w:rFonts w:cs="Arial"/>
                <w:b/>
                <w:bCs/>
                <w:sz w:val="16"/>
                <w:szCs w:val="16"/>
                <w:lang w:val="ru-RU"/>
              </w:rPr>
              <w:t>436 880</w:t>
            </w:r>
          </w:p>
        </w:tc>
      </w:tr>
      <w:tr w:rsidR="002A4CA4" w:rsidRPr="00F23C1F" w:rsidTr="001E0477">
        <w:trPr>
          <w:trHeight w:val="225"/>
        </w:trPr>
        <w:tc>
          <w:tcPr>
            <w:tcW w:w="4410" w:type="dxa"/>
            <w:tcBorders>
              <w:top w:val="nil"/>
              <w:left w:val="nil"/>
              <w:bottom w:val="nil"/>
              <w:right w:val="nil"/>
            </w:tcBorders>
            <w:shd w:val="clear" w:color="auto" w:fill="auto"/>
            <w:noWrap/>
            <w:vAlign w:val="bottom"/>
            <w:hideMark/>
          </w:tcPr>
          <w:p w:rsidR="002A4CA4" w:rsidRPr="003E01EA" w:rsidRDefault="002A4CA4" w:rsidP="001E0477">
            <w:pPr>
              <w:rPr>
                <w:rFonts w:cs="Arial"/>
                <w:b/>
                <w:bCs/>
                <w:sz w:val="16"/>
                <w:szCs w:val="16"/>
                <w:lang w:val="ru-RU"/>
              </w:rPr>
            </w:pPr>
          </w:p>
          <w:p w:rsidR="002A4CA4" w:rsidRPr="003E01EA" w:rsidRDefault="002A4CA4" w:rsidP="001E0477">
            <w:pPr>
              <w:rPr>
                <w:rFonts w:cs="Arial"/>
                <w:b/>
                <w:bCs/>
                <w:sz w:val="16"/>
                <w:szCs w:val="16"/>
                <w:lang w:val="ru-RU"/>
              </w:rPr>
            </w:pPr>
            <w:r w:rsidRPr="003E01EA">
              <w:rPr>
                <w:rFonts w:cs="Arial"/>
                <w:b/>
                <w:bCs/>
                <w:sz w:val="16"/>
                <w:szCs w:val="16"/>
                <w:lang w:val="ru-RU"/>
              </w:rPr>
              <w:t>Остатки денежных средств на счетах в Банке России</w:t>
            </w:r>
            <w:r>
              <w:rPr>
                <w:rFonts w:cs="Arial"/>
                <w:b/>
                <w:bCs/>
                <w:sz w:val="16"/>
                <w:szCs w:val="16"/>
                <w:lang w:val="ru-RU"/>
              </w:rPr>
              <w:t xml:space="preserve"> (кроме обязательных резервов)</w:t>
            </w:r>
          </w:p>
        </w:tc>
        <w:tc>
          <w:tcPr>
            <w:tcW w:w="2693" w:type="dxa"/>
            <w:tcBorders>
              <w:top w:val="nil"/>
              <w:left w:val="nil"/>
              <w:bottom w:val="nil"/>
              <w:right w:val="nil"/>
            </w:tcBorders>
            <w:shd w:val="clear" w:color="auto" w:fill="auto"/>
            <w:noWrap/>
            <w:vAlign w:val="bottom"/>
          </w:tcPr>
          <w:p w:rsidR="002A4CA4" w:rsidRPr="003E01EA" w:rsidRDefault="002A4CA4" w:rsidP="001E0477">
            <w:pPr>
              <w:jc w:val="center"/>
              <w:rPr>
                <w:rFonts w:cs="Arial"/>
                <w:b/>
                <w:bCs/>
                <w:sz w:val="16"/>
                <w:szCs w:val="16"/>
                <w:lang w:val="ru-RU"/>
              </w:rPr>
            </w:pPr>
            <w:r>
              <w:rPr>
                <w:rFonts w:cs="Arial"/>
                <w:b/>
                <w:bCs/>
                <w:sz w:val="16"/>
                <w:szCs w:val="16"/>
                <w:lang w:val="ru-RU"/>
              </w:rPr>
              <w:t>291 050</w:t>
            </w:r>
          </w:p>
        </w:tc>
        <w:tc>
          <w:tcPr>
            <w:tcW w:w="2268" w:type="dxa"/>
            <w:tcBorders>
              <w:top w:val="nil"/>
              <w:left w:val="nil"/>
              <w:bottom w:val="nil"/>
              <w:right w:val="nil"/>
            </w:tcBorders>
            <w:vAlign w:val="bottom"/>
          </w:tcPr>
          <w:p w:rsidR="002A4CA4" w:rsidRPr="003E01EA" w:rsidRDefault="002A4CA4" w:rsidP="001E0477">
            <w:pPr>
              <w:jc w:val="center"/>
              <w:rPr>
                <w:rFonts w:cs="Arial"/>
                <w:b/>
                <w:bCs/>
                <w:sz w:val="16"/>
                <w:szCs w:val="16"/>
                <w:lang w:val="ru-RU"/>
              </w:rPr>
            </w:pPr>
            <w:r>
              <w:rPr>
                <w:rFonts w:cs="Arial"/>
                <w:b/>
                <w:bCs/>
                <w:sz w:val="16"/>
                <w:szCs w:val="16"/>
                <w:lang w:val="ru-RU"/>
              </w:rPr>
              <w:t>255 232</w:t>
            </w:r>
          </w:p>
        </w:tc>
      </w:tr>
      <w:tr w:rsidR="002A4CA4" w:rsidRPr="00F23C1F" w:rsidTr="001E0477">
        <w:trPr>
          <w:trHeight w:val="385"/>
        </w:trPr>
        <w:tc>
          <w:tcPr>
            <w:tcW w:w="4410" w:type="dxa"/>
            <w:tcBorders>
              <w:top w:val="nil"/>
              <w:left w:val="nil"/>
              <w:bottom w:val="nil"/>
              <w:right w:val="nil"/>
            </w:tcBorders>
            <w:shd w:val="clear" w:color="auto" w:fill="auto"/>
            <w:noWrap/>
            <w:vAlign w:val="bottom"/>
            <w:hideMark/>
          </w:tcPr>
          <w:p w:rsidR="002A4CA4" w:rsidRPr="003E01EA" w:rsidRDefault="002A4CA4" w:rsidP="001E0477">
            <w:pPr>
              <w:rPr>
                <w:rFonts w:cs="Arial"/>
                <w:b/>
                <w:bCs/>
                <w:sz w:val="16"/>
                <w:szCs w:val="16"/>
                <w:lang w:val="ru-RU"/>
              </w:rPr>
            </w:pPr>
            <w:r w:rsidRPr="003E01EA">
              <w:rPr>
                <w:rFonts w:cs="Arial"/>
                <w:b/>
                <w:bCs/>
                <w:sz w:val="16"/>
                <w:szCs w:val="16"/>
                <w:lang w:val="ru-RU"/>
              </w:rPr>
              <w:t>Средства в кредитных организациях, в т. ч.:</w:t>
            </w:r>
          </w:p>
        </w:tc>
        <w:tc>
          <w:tcPr>
            <w:tcW w:w="2693" w:type="dxa"/>
            <w:tcBorders>
              <w:top w:val="nil"/>
              <w:left w:val="nil"/>
              <w:bottom w:val="nil"/>
              <w:right w:val="nil"/>
            </w:tcBorders>
            <w:shd w:val="clear" w:color="auto" w:fill="auto"/>
            <w:noWrap/>
            <w:vAlign w:val="bottom"/>
          </w:tcPr>
          <w:p w:rsidR="002A4CA4" w:rsidRPr="00341180" w:rsidRDefault="002A4CA4" w:rsidP="001E0477">
            <w:pPr>
              <w:jc w:val="center"/>
              <w:rPr>
                <w:rFonts w:cs="Arial"/>
                <w:b/>
                <w:bCs/>
                <w:sz w:val="16"/>
                <w:szCs w:val="16"/>
                <w:lang w:val="ru-RU"/>
              </w:rPr>
            </w:pPr>
            <w:r>
              <w:rPr>
                <w:rFonts w:cs="Arial"/>
                <w:b/>
                <w:bCs/>
                <w:sz w:val="16"/>
                <w:szCs w:val="16"/>
                <w:lang w:val="ru-RU"/>
              </w:rPr>
              <w:t>124 803</w:t>
            </w:r>
          </w:p>
        </w:tc>
        <w:tc>
          <w:tcPr>
            <w:tcW w:w="2268" w:type="dxa"/>
            <w:tcBorders>
              <w:top w:val="nil"/>
              <w:left w:val="nil"/>
              <w:bottom w:val="nil"/>
              <w:right w:val="nil"/>
            </w:tcBorders>
            <w:vAlign w:val="bottom"/>
          </w:tcPr>
          <w:p w:rsidR="002A4CA4" w:rsidRPr="003E01EA" w:rsidRDefault="002A4CA4" w:rsidP="001E0477">
            <w:pPr>
              <w:jc w:val="center"/>
              <w:rPr>
                <w:rFonts w:cs="Arial"/>
                <w:b/>
                <w:bCs/>
                <w:sz w:val="16"/>
                <w:szCs w:val="16"/>
                <w:lang w:val="en-US"/>
              </w:rPr>
            </w:pPr>
            <w:r w:rsidRPr="003E01EA">
              <w:rPr>
                <w:rFonts w:cs="Arial"/>
                <w:b/>
                <w:bCs/>
                <w:sz w:val="16"/>
                <w:szCs w:val="16"/>
                <w:lang w:val="ru-RU"/>
              </w:rPr>
              <w:t>245 956</w:t>
            </w:r>
          </w:p>
        </w:tc>
      </w:tr>
      <w:tr w:rsidR="002A4CA4" w:rsidRPr="00F23C1F" w:rsidTr="001E0477">
        <w:trPr>
          <w:trHeight w:val="225"/>
        </w:trPr>
        <w:tc>
          <w:tcPr>
            <w:tcW w:w="4410" w:type="dxa"/>
            <w:tcBorders>
              <w:top w:val="nil"/>
              <w:left w:val="nil"/>
              <w:bottom w:val="nil"/>
              <w:right w:val="nil"/>
            </w:tcBorders>
            <w:shd w:val="clear" w:color="auto" w:fill="auto"/>
            <w:noWrap/>
            <w:vAlign w:val="bottom"/>
            <w:hideMark/>
          </w:tcPr>
          <w:p w:rsidR="002A4CA4" w:rsidRPr="003E01EA" w:rsidRDefault="002A4CA4" w:rsidP="001E0477">
            <w:pPr>
              <w:rPr>
                <w:rFonts w:cs="Arial"/>
                <w:sz w:val="16"/>
                <w:szCs w:val="16"/>
                <w:lang w:val="ru-RU"/>
              </w:rPr>
            </w:pPr>
            <w:r w:rsidRPr="003E01EA">
              <w:rPr>
                <w:rFonts w:cs="Arial"/>
                <w:sz w:val="16"/>
                <w:szCs w:val="16"/>
                <w:lang w:val="ru-RU"/>
              </w:rPr>
              <w:t>корреспондентские</w:t>
            </w:r>
            <w:r w:rsidRPr="003E01EA">
              <w:rPr>
                <w:rFonts w:cs="Arial"/>
                <w:sz w:val="16"/>
                <w:szCs w:val="16"/>
              </w:rPr>
              <w:t xml:space="preserve"> </w:t>
            </w:r>
            <w:r w:rsidRPr="003E01EA">
              <w:rPr>
                <w:rFonts w:cs="Arial"/>
                <w:sz w:val="16"/>
                <w:szCs w:val="16"/>
                <w:lang w:val="ru-RU"/>
              </w:rPr>
              <w:t>счета</w:t>
            </w:r>
            <w:r w:rsidRPr="003E01EA">
              <w:rPr>
                <w:rFonts w:cs="Arial"/>
                <w:sz w:val="16"/>
                <w:szCs w:val="16"/>
              </w:rPr>
              <w:t xml:space="preserve"> </w:t>
            </w:r>
            <w:r w:rsidRPr="003E01EA">
              <w:rPr>
                <w:rFonts w:cs="Arial"/>
                <w:sz w:val="16"/>
                <w:szCs w:val="16"/>
                <w:lang w:val="ru-RU"/>
              </w:rPr>
              <w:t>кредитных</w:t>
            </w:r>
            <w:r w:rsidRPr="003E01EA">
              <w:rPr>
                <w:rFonts w:cs="Arial"/>
                <w:sz w:val="16"/>
                <w:szCs w:val="16"/>
              </w:rPr>
              <w:t xml:space="preserve"> </w:t>
            </w:r>
            <w:r w:rsidRPr="003E01EA">
              <w:rPr>
                <w:rFonts w:cs="Arial"/>
                <w:sz w:val="16"/>
                <w:szCs w:val="16"/>
                <w:lang w:val="ru-RU"/>
              </w:rPr>
              <w:t>организаций</w:t>
            </w:r>
          </w:p>
        </w:tc>
        <w:tc>
          <w:tcPr>
            <w:tcW w:w="2693" w:type="dxa"/>
            <w:tcBorders>
              <w:top w:val="nil"/>
              <w:left w:val="nil"/>
              <w:bottom w:val="nil"/>
              <w:right w:val="nil"/>
            </w:tcBorders>
            <w:shd w:val="clear" w:color="auto" w:fill="auto"/>
            <w:noWrap/>
            <w:vAlign w:val="bottom"/>
          </w:tcPr>
          <w:p w:rsidR="002A4CA4" w:rsidRPr="003E01EA" w:rsidRDefault="002A4CA4" w:rsidP="001E0477">
            <w:pPr>
              <w:jc w:val="center"/>
              <w:rPr>
                <w:rFonts w:cs="Arial"/>
                <w:sz w:val="16"/>
                <w:szCs w:val="16"/>
                <w:lang w:val="ru-RU"/>
              </w:rPr>
            </w:pPr>
            <w:r>
              <w:rPr>
                <w:rFonts w:cs="Arial"/>
                <w:sz w:val="16"/>
                <w:szCs w:val="16"/>
                <w:lang w:val="ru-RU"/>
              </w:rPr>
              <w:t>25 585</w:t>
            </w:r>
          </w:p>
        </w:tc>
        <w:tc>
          <w:tcPr>
            <w:tcW w:w="2268" w:type="dxa"/>
            <w:tcBorders>
              <w:top w:val="nil"/>
              <w:left w:val="nil"/>
              <w:bottom w:val="nil"/>
              <w:right w:val="nil"/>
            </w:tcBorders>
            <w:vAlign w:val="bottom"/>
          </w:tcPr>
          <w:p w:rsidR="002A4CA4" w:rsidRPr="003E01EA" w:rsidRDefault="002A4CA4" w:rsidP="001E0477">
            <w:pPr>
              <w:jc w:val="center"/>
              <w:rPr>
                <w:rFonts w:cs="Arial"/>
                <w:sz w:val="16"/>
                <w:szCs w:val="16"/>
                <w:lang w:val="ru-RU"/>
              </w:rPr>
            </w:pPr>
            <w:r w:rsidRPr="003E01EA">
              <w:rPr>
                <w:rFonts w:cs="Arial"/>
                <w:sz w:val="16"/>
                <w:szCs w:val="16"/>
                <w:lang w:val="ru-RU"/>
              </w:rPr>
              <w:t>135 303</w:t>
            </w:r>
          </w:p>
        </w:tc>
      </w:tr>
      <w:tr w:rsidR="002A4CA4" w:rsidRPr="00F23C1F" w:rsidTr="001E0477">
        <w:trPr>
          <w:trHeight w:val="225"/>
        </w:trPr>
        <w:tc>
          <w:tcPr>
            <w:tcW w:w="4410" w:type="dxa"/>
            <w:tcBorders>
              <w:top w:val="nil"/>
              <w:left w:val="nil"/>
              <w:bottom w:val="nil"/>
              <w:right w:val="nil"/>
            </w:tcBorders>
            <w:shd w:val="clear" w:color="auto" w:fill="auto"/>
            <w:noWrap/>
            <w:vAlign w:val="bottom"/>
            <w:hideMark/>
          </w:tcPr>
          <w:p w:rsidR="002A4CA4" w:rsidRPr="003E01EA" w:rsidRDefault="002A4CA4" w:rsidP="001E0477">
            <w:pPr>
              <w:rPr>
                <w:rFonts w:cs="Arial"/>
                <w:sz w:val="16"/>
                <w:szCs w:val="16"/>
                <w:lang w:val="ru-RU"/>
              </w:rPr>
            </w:pPr>
            <w:r w:rsidRPr="003E01EA">
              <w:rPr>
                <w:rFonts w:cs="Arial"/>
                <w:sz w:val="16"/>
                <w:szCs w:val="16"/>
                <w:lang w:val="ru-RU"/>
              </w:rPr>
              <w:t>корреспондентские</w:t>
            </w:r>
            <w:r w:rsidRPr="003E01EA">
              <w:rPr>
                <w:rFonts w:cs="Arial"/>
                <w:sz w:val="16"/>
                <w:szCs w:val="16"/>
              </w:rPr>
              <w:t xml:space="preserve"> </w:t>
            </w:r>
            <w:r w:rsidRPr="003E01EA">
              <w:rPr>
                <w:rFonts w:cs="Arial"/>
                <w:sz w:val="16"/>
                <w:szCs w:val="16"/>
                <w:lang w:val="ru-RU"/>
              </w:rPr>
              <w:t>счета</w:t>
            </w:r>
            <w:r w:rsidRPr="003E01EA">
              <w:rPr>
                <w:rFonts w:cs="Arial"/>
                <w:sz w:val="16"/>
                <w:szCs w:val="16"/>
              </w:rPr>
              <w:t xml:space="preserve"> </w:t>
            </w:r>
            <w:r w:rsidRPr="003E01EA">
              <w:rPr>
                <w:rFonts w:cs="Arial"/>
                <w:sz w:val="16"/>
                <w:szCs w:val="16"/>
                <w:lang w:val="ru-RU"/>
              </w:rPr>
              <w:t>банков</w:t>
            </w:r>
            <w:r w:rsidRPr="003E01EA">
              <w:rPr>
                <w:rFonts w:cs="Arial"/>
                <w:sz w:val="16"/>
                <w:szCs w:val="16"/>
              </w:rPr>
              <w:t>-</w:t>
            </w:r>
            <w:r w:rsidRPr="003E01EA">
              <w:rPr>
                <w:rFonts w:cs="Arial"/>
                <w:sz w:val="16"/>
                <w:szCs w:val="16"/>
                <w:lang w:val="ru-RU"/>
              </w:rPr>
              <w:t>нерезидентов</w:t>
            </w:r>
          </w:p>
        </w:tc>
        <w:tc>
          <w:tcPr>
            <w:tcW w:w="2693" w:type="dxa"/>
            <w:tcBorders>
              <w:top w:val="nil"/>
              <w:left w:val="nil"/>
              <w:bottom w:val="nil"/>
              <w:right w:val="nil"/>
            </w:tcBorders>
            <w:shd w:val="clear" w:color="auto" w:fill="auto"/>
            <w:noWrap/>
            <w:vAlign w:val="bottom"/>
          </w:tcPr>
          <w:p w:rsidR="002A4CA4" w:rsidRPr="003E01EA" w:rsidRDefault="002A4CA4" w:rsidP="001E0477">
            <w:pPr>
              <w:jc w:val="center"/>
              <w:rPr>
                <w:rFonts w:cs="Arial"/>
                <w:sz w:val="16"/>
                <w:szCs w:val="16"/>
                <w:lang w:val="ru-RU"/>
              </w:rPr>
            </w:pPr>
            <w:r>
              <w:rPr>
                <w:rFonts w:cs="Arial"/>
                <w:sz w:val="16"/>
                <w:szCs w:val="16"/>
                <w:lang w:val="ru-RU"/>
              </w:rPr>
              <w:t>2 102</w:t>
            </w:r>
          </w:p>
        </w:tc>
        <w:tc>
          <w:tcPr>
            <w:tcW w:w="2268" w:type="dxa"/>
            <w:tcBorders>
              <w:top w:val="nil"/>
              <w:left w:val="nil"/>
              <w:bottom w:val="nil"/>
              <w:right w:val="nil"/>
            </w:tcBorders>
            <w:vAlign w:val="bottom"/>
          </w:tcPr>
          <w:p w:rsidR="002A4CA4" w:rsidRPr="003E01EA" w:rsidRDefault="002A4CA4" w:rsidP="001E0477">
            <w:pPr>
              <w:jc w:val="center"/>
              <w:rPr>
                <w:rFonts w:cs="Arial"/>
                <w:sz w:val="16"/>
                <w:szCs w:val="16"/>
                <w:lang w:val="ru-RU"/>
              </w:rPr>
            </w:pPr>
            <w:r w:rsidRPr="003E01EA">
              <w:rPr>
                <w:rFonts w:cs="Arial"/>
                <w:sz w:val="16"/>
                <w:szCs w:val="16"/>
                <w:lang w:val="ru-RU"/>
              </w:rPr>
              <w:t>421</w:t>
            </w:r>
          </w:p>
        </w:tc>
      </w:tr>
      <w:tr w:rsidR="002A4CA4" w:rsidRPr="00F23C1F" w:rsidTr="001E0477">
        <w:trPr>
          <w:trHeight w:val="225"/>
        </w:trPr>
        <w:tc>
          <w:tcPr>
            <w:tcW w:w="4410" w:type="dxa"/>
            <w:tcBorders>
              <w:top w:val="nil"/>
              <w:left w:val="nil"/>
              <w:bottom w:val="single" w:sz="4" w:space="0" w:color="auto"/>
              <w:right w:val="nil"/>
            </w:tcBorders>
            <w:shd w:val="clear" w:color="auto" w:fill="auto"/>
            <w:noWrap/>
            <w:vAlign w:val="bottom"/>
            <w:hideMark/>
          </w:tcPr>
          <w:p w:rsidR="002A4CA4" w:rsidRPr="003E01EA" w:rsidRDefault="002A4CA4" w:rsidP="001E0477">
            <w:pPr>
              <w:rPr>
                <w:rFonts w:cs="Arial"/>
                <w:sz w:val="16"/>
                <w:szCs w:val="16"/>
                <w:lang w:val="ru-RU"/>
              </w:rPr>
            </w:pPr>
            <w:r w:rsidRPr="003E01EA">
              <w:rPr>
                <w:rFonts w:cs="Arial"/>
                <w:sz w:val="16"/>
                <w:szCs w:val="16"/>
                <w:lang w:val="ru-RU"/>
              </w:rPr>
              <w:t>по другим операциям</w:t>
            </w:r>
          </w:p>
        </w:tc>
        <w:tc>
          <w:tcPr>
            <w:tcW w:w="2693" w:type="dxa"/>
            <w:tcBorders>
              <w:top w:val="nil"/>
              <w:left w:val="nil"/>
              <w:bottom w:val="single" w:sz="4" w:space="0" w:color="auto"/>
              <w:right w:val="nil"/>
            </w:tcBorders>
            <w:shd w:val="clear" w:color="auto" w:fill="auto"/>
            <w:noWrap/>
            <w:vAlign w:val="bottom"/>
          </w:tcPr>
          <w:p w:rsidR="002A4CA4" w:rsidRPr="00341180" w:rsidRDefault="002A4CA4" w:rsidP="001E0477">
            <w:pPr>
              <w:jc w:val="center"/>
              <w:rPr>
                <w:rFonts w:cs="Arial"/>
                <w:sz w:val="16"/>
                <w:szCs w:val="16"/>
                <w:lang w:val="ru-RU"/>
              </w:rPr>
            </w:pPr>
            <w:r>
              <w:rPr>
                <w:rFonts w:cs="Arial"/>
                <w:sz w:val="16"/>
                <w:szCs w:val="16"/>
                <w:lang w:val="ru-RU"/>
              </w:rPr>
              <w:t>97 116</w:t>
            </w:r>
          </w:p>
        </w:tc>
        <w:tc>
          <w:tcPr>
            <w:tcW w:w="2268" w:type="dxa"/>
            <w:tcBorders>
              <w:top w:val="nil"/>
              <w:left w:val="nil"/>
              <w:bottom w:val="single" w:sz="4" w:space="0" w:color="auto"/>
              <w:right w:val="nil"/>
            </w:tcBorders>
            <w:vAlign w:val="bottom"/>
          </w:tcPr>
          <w:p w:rsidR="002A4CA4" w:rsidRPr="003E01EA" w:rsidRDefault="002A4CA4" w:rsidP="001E0477">
            <w:pPr>
              <w:jc w:val="center"/>
              <w:rPr>
                <w:rFonts w:cs="Arial"/>
                <w:sz w:val="16"/>
                <w:szCs w:val="16"/>
                <w:lang w:val="en-US"/>
              </w:rPr>
            </w:pPr>
            <w:r w:rsidRPr="003E01EA">
              <w:rPr>
                <w:rFonts w:cs="Arial"/>
                <w:sz w:val="16"/>
                <w:szCs w:val="16"/>
                <w:lang w:val="ru-RU"/>
              </w:rPr>
              <w:t>110 232</w:t>
            </w:r>
          </w:p>
        </w:tc>
      </w:tr>
      <w:tr w:rsidR="002A4CA4" w:rsidRPr="00F23C1F" w:rsidTr="001E0477">
        <w:trPr>
          <w:trHeight w:val="465"/>
        </w:trPr>
        <w:tc>
          <w:tcPr>
            <w:tcW w:w="4410" w:type="dxa"/>
            <w:tcBorders>
              <w:top w:val="nil"/>
              <w:left w:val="nil"/>
              <w:bottom w:val="single" w:sz="4" w:space="0" w:color="auto"/>
              <w:right w:val="nil"/>
            </w:tcBorders>
            <w:shd w:val="clear" w:color="auto" w:fill="auto"/>
            <w:vAlign w:val="bottom"/>
            <w:hideMark/>
          </w:tcPr>
          <w:p w:rsidR="002A4CA4" w:rsidRPr="003E01EA" w:rsidRDefault="002A4CA4" w:rsidP="001E0477">
            <w:pPr>
              <w:rPr>
                <w:rFonts w:cs="Arial"/>
                <w:sz w:val="16"/>
                <w:szCs w:val="16"/>
                <w:lang w:val="ru-RU"/>
              </w:rPr>
            </w:pPr>
            <w:r w:rsidRPr="003E01EA">
              <w:rPr>
                <w:rFonts w:cs="Arial"/>
                <w:sz w:val="16"/>
                <w:szCs w:val="16"/>
                <w:lang w:val="ru-RU"/>
              </w:rPr>
              <w:t>Резервы на возможные потери по средствам в кредитных организациях</w:t>
            </w:r>
          </w:p>
        </w:tc>
        <w:tc>
          <w:tcPr>
            <w:tcW w:w="2693" w:type="dxa"/>
            <w:tcBorders>
              <w:top w:val="nil"/>
              <w:left w:val="nil"/>
              <w:bottom w:val="single" w:sz="4" w:space="0" w:color="auto"/>
              <w:right w:val="nil"/>
            </w:tcBorders>
            <w:shd w:val="clear" w:color="auto" w:fill="auto"/>
            <w:vAlign w:val="bottom"/>
          </w:tcPr>
          <w:p w:rsidR="002A4CA4" w:rsidRPr="003E01EA" w:rsidRDefault="002A4CA4" w:rsidP="001E0477">
            <w:pPr>
              <w:jc w:val="center"/>
              <w:rPr>
                <w:rFonts w:cs="Arial"/>
                <w:sz w:val="16"/>
                <w:szCs w:val="16"/>
                <w:lang w:val="ru-RU"/>
              </w:rPr>
            </w:pPr>
            <w:r>
              <w:rPr>
                <w:rFonts w:cs="Arial"/>
                <w:sz w:val="16"/>
                <w:szCs w:val="16"/>
                <w:lang w:val="ru-RU"/>
              </w:rPr>
              <w:t>(154)</w:t>
            </w:r>
          </w:p>
        </w:tc>
        <w:tc>
          <w:tcPr>
            <w:tcW w:w="2268" w:type="dxa"/>
            <w:tcBorders>
              <w:top w:val="nil"/>
              <w:left w:val="nil"/>
              <w:bottom w:val="single" w:sz="4" w:space="0" w:color="auto"/>
              <w:right w:val="nil"/>
            </w:tcBorders>
            <w:vAlign w:val="bottom"/>
          </w:tcPr>
          <w:p w:rsidR="002A4CA4" w:rsidRPr="003E01EA" w:rsidRDefault="002A4CA4" w:rsidP="001E0477">
            <w:pPr>
              <w:jc w:val="center"/>
              <w:rPr>
                <w:rFonts w:cs="Arial"/>
                <w:sz w:val="16"/>
                <w:szCs w:val="16"/>
                <w:lang w:val="ru-RU"/>
              </w:rPr>
            </w:pPr>
            <w:r w:rsidRPr="003E01EA">
              <w:rPr>
                <w:rFonts w:cs="Arial"/>
                <w:sz w:val="16"/>
                <w:szCs w:val="16"/>
                <w:lang w:val="ru-RU"/>
              </w:rPr>
              <w:t>(1 763)</w:t>
            </w:r>
          </w:p>
        </w:tc>
      </w:tr>
      <w:tr w:rsidR="002A4CA4" w:rsidRPr="00F23C1F" w:rsidTr="001E0477">
        <w:trPr>
          <w:trHeight w:val="216"/>
        </w:trPr>
        <w:tc>
          <w:tcPr>
            <w:tcW w:w="4410" w:type="dxa"/>
            <w:tcBorders>
              <w:top w:val="single" w:sz="4" w:space="0" w:color="auto"/>
              <w:left w:val="nil"/>
              <w:bottom w:val="double" w:sz="4" w:space="0" w:color="auto"/>
              <w:right w:val="nil"/>
            </w:tcBorders>
            <w:shd w:val="clear" w:color="auto" w:fill="auto"/>
            <w:noWrap/>
            <w:vAlign w:val="bottom"/>
            <w:hideMark/>
          </w:tcPr>
          <w:p w:rsidR="002A4CA4" w:rsidRPr="003E01EA" w:rsidRDefault="002A4CA4" w:rsidP="001E0477">
            <w:pPr>
              <w:rPr>
                <w:rFonts w:cs="Arial"/>
                <w:b/>
                <w:bCs/>
                <w:sz w:val="16"/>
                <w:szCs w:val="16"/>
                <w:lang w:val="ru-RU"/>
              </w:rPr>
            </w:pPr>
          </w:p>
          <w:p w:rsidR="002A4CA4" w:rsidRPr="003E01EA" w:rsidRDefault="002A4CA4" w:rsidP="001E0477">
            <w:pPr>
              <w:rPr>
                <w:rFonts w:cs="Arial"/>
                <w:b/>
                <w:bCs/>
                <w:sz w:val="16"/>
                <w:szCs w:val="16"/>
                <w:lang w:val="ru-RU"/>
              </w:rPr>
            </w:pPr>
            <w:r w:rsidRPr="003E01EA">
              <w:rPr>
                <w:rFonts w:cs="Arial"/>
                <w:b/>
                <w:bCs/>
                <w:sz w:val="16"/>
                <w:szCs w:val="16"/>
                <w:lang w:val="ru-RU"/>
              </w:rPr>
              <w:t>Итого денежных средств и их эквивалентов</w:t>
            </w:r>
          </w:p>
        </w:tc>
        <w:tc>
          <w:tcPr>
            <w:tcW w:w="2693" w:type="dxa"/>
            <w:tcBorders>
              <w:top w:val="single" w:sz="4" w:space="0" w:color="auto"/>
              <w:left w:val="nil"/>
              <w:bottom w:val="double" w:sz="4" w:space="0" w:color="auto"/>
              <w:right w:val="nil"/>
            </w:tcBorders>
            <w:shd w:val="clear" w:color="auto" w:fill="auto"/>
            <w:noWrap/>
            <w:vAlign w:val="bottom"/>
          </w:tcPr>
          <w:p w:rsidR="002A4CA4" w:rsidRPr="003E01EA" w:rsidRDefault="002A4CA4" w:rsidP="001E0477">
            <w:pPr>
              <w:jc w:val="center"/>
              <w:rPr>
                <w:rFonts w:cs="Arial"/>
                <w:b/>
                <w:bCs/>
                <w:sz w:val="16"/>
                <w:szCs w:val="16"/>
                <w:lang w:val="ru-RU"/>
              </w:rPr>
            </w:pPr>
            <w:r>
              <w:rPr>
                <w:rFonts w:cs="Arial"/>
                <w:b/>
                <w:bCs/>
                <w:sz w:val="16"/>
                <w:szCs w:val="16"/>
                <w:lang w:val="ru-RU"/>
              </w:rPr>
              <w:t>1 091 569</w:t>
            </w:r>
          </w:p>
        </w:tc>
        <w:tc>
          <w:tcPr>
            <w:tcW w:w="2268" w:type="dxa"/>
            <w:tcBorders>
              <w:top w:val="single" w:sz="4" w:space="0" w:color="auto"/>
              <w:left w:val="nil"/>
              <w:bottom w:val="double" w:sz="4" w:space="0" w:color="auto"/>
              <w:right w:val="nil"/>
            </w:tcBorders>
            <w:vAlign w:val="bottom"/>
          </w:tcPr>
          <w:p w:rsidR="002A4CA4" w:rsidRPr="003E01EA" w:rsidRDefault="002A4CA4" w:rsidP="001E0477">
            <w:pPr>
              <w:jc w:val="center"/>
              <w:rPr>
                <w:rFonts w:cs="Arial"/>
                <w:b/>
                <w:bCs/>
                <w:sz w:val="16"/>
                <w:szCs w:val="16"/>
                <w:lang w:val="ru-RU"/>
              </w:rPr>
            </w:pPr>
            <w:r>
              <w:rPr>
                <w:rFonts w:cs="Arial"/>
                <w:b/>
                <w:bCs/>
                <w:sz w:val="16"/>
                <w:szCs w:val="16"/>
                <w:lang w:val="ru-RU"/>
              </w:rPr>
              <w:t>936 305</w:t>
            </w:r>
          </w:p>
        </w:tc>
      </w:tr>
    </w:tbl>
    <w:p w:rsidR="002A4CA4" w:rsidRDefault="002A4CA4" w:rsidP="002A4CA4">
      <w:pPr>
        <w:rPr>
          <w:lang w:val="ru-RU"/>
        </w:rPr>
      </w:pPr>
    </w:p>
    <w:p w:rsidR="002A4CA4" w:rsidRDefault="002A4CA4" w:rsidP="002A4CA4">
      <w:pPr>
        <w:pStyle w:val="2normal"/>
        <w:jc w:val="both"/>
        <w:rPr>
          <w:rFonts w:cs="Arial"/>
          <w:sz w:val="20"/>
          <w:szCs w:val="20"/>
          <w:lang w:val="ru-RU"/>
        </w:rPr>
      </w:pPr>
      <w:r>
        <w:rPr>
          <w:rFonts w:cs="Arial"/>
          <w:sz w:val="20"/>
          <w:szCs w:val="20"/>
          <w:lang w:val="ru-RU"/>
        </w:rPr>
        <w:t>За 31 декабря 2018 обязательные резервы в Банк</w:t>
      </w:r>
      <w:r w:rsidR="00E50F94">
        <w:rPr>
          <w:rFonts w:cs="Arial"/>
          <w:sz w:val="20"/>
          <w:szCs w:val="20"/>
          <w:lang w:val="ru-RU"/>
        </w:rPr>
        <w:t>е России составляют 92 401 тыс.</w:t>
      </w:r>
      <w:r w:rsidR="00F84A17">
        <w:rPr>
          <w:rFonts w:cs="Arial"/>
          <w:sz w:val="20"/>
          <w:szCs w:val="20"/>
          <w:lang w:val="ru-RU"/>
        </w:rPr>
        <w:t xml:space="preserve"> </w:t>
      </w:r>
      <w:r>
        <w:rPr>
          <w:rFonts w:cs="Arial"/>
          <w:sz w:val="20"/>
          <w:szCs w:val="20"/>
          <w:lang w:val="ru-RU"/>
        </w:rPr>
        <w:t xml:space="preserve">руб., за 31 </w:t>
      </w:r>
      <w:r w:rsidR="00E50F94">
        <w:rPr>
          <w:rFonts w:cs="Arial"/>
          <w:sz w:val="20"/>
          <w:szCs w:val="20"/>
          <w:lang w:val="ru-RU"/>
        </w:rPr>
        <w:t>декабря 2017 года – 88 547 тыс.</w:t>
      </w:r>
      <w:r w:rsidR="00F84A17">
        <w:rPr>
          <w:rFonts w:cs="Arial"/>
          <w:sz w:val="20"/>
          <w:szCs w:val="20"/>
          <w:lang w:val="ru-RU"/>
        </w:rPr>
        <w:t xml:space="preserve"> </w:t>
      </w:r>
      <w:r>
        <w:rPr>
          <w:rFonts w:cs="Arial"/>
          <w:sz w:val="20"/>
          <w:szCs w:val="20"/>
          <w:lang w:val="ru-RU"/>
        </w:rPr>
        <w:t>руб.</w:t>
      </w:r>
    </w:p>
    <w:p w:rsidR="002A4CA4" w:rsidRDefault="002A4CA4" w:rsidP="002A4CA4">
      <w:pPr>
        <w:pStyle w:val="2normal"/>
        <w:jc w:val="both"/>
        <w:rPr>
          <w:rFonts w:cs="Arial"/>
          <w:sz w:val="20"/>
          <w:szCs w:val="20"/>
          <w:lang w:val="ru-RU"/>
        </w:rPr>
      </w:pPr>
    </w:p>
    <w:p w:rsidR="002A4CA4" w:rsidRDefault="002A4CA4" w:rsidP="002A4CA4">
      <w:pPr>
        <w:pStyle w:val="2normal"/>
        <w:jc w:val="both"/>
        <w:rPr>
          <w:rFonts w:cs="Arial"/>
          <w:sz w:val="20"/>
          <w:szCs w:val="20"/>
          <w:lang w:val="ru-RU"/>
        </w:rPr>
      </w:pPr>
      <w:r w:rsidRPr="007D44BA">
        <w:rPr>
          <w:rFonts w:cs="Arial"/>
          <w:sz w:val="20"/>
          <w:szCs w:val="20"/>
          <w:lang w:val="ru-RU"/>
        </w:rPr>
        <w:t>За 31 декабря 2018 года в статью не входят депозит в</w:t>
      </w:r>
      <w:r w:rsidR="00E50F94">
        <w:rPr>
          <w:rFonts w:cs="Arial"/>
          <w:sz w:val="20"/>
          <w:szCs w:val="20"/>
          <w:lang w:val="ru-RU"/>
        </w:rPr>
        <w:t xml:space="preserve"> Банке России на сумму 485 млн.</w:t>
      </w:r>
      <w:r w:rsidR="00F84A17">
        <w:rPr>
          <w:rFonts w:cs="Arial"/>
          <w:sz w:val="20"/>
          <w:szCs w:val="20"/>
          <w:lang w:val="ru-RU"/>
        </w:rPr>
        <w:t xml:space="preserve"> </w:t>
      </w:r>
      <w:r w:rsidRPr="007D44BA">
        <w:rPr>
          <w:rFonts w:cs="Arial"/>
          <w:sz w:val="20"/>
          <w:szCs w:val="20"/>
          <w:lang w:val="ru-RU"/>
        </w:rPr>
        <w:t>руб. и межбанковские кредиты в других кредитных организациях Российс</w:t>
      </w:r>
      <w:r w:rsidR="00E50F94">
        <w:rPr>
          <w:rFonts w:cs="Arial"/>
          <w:sz w:val="20"/>
          <w:szCs w:val="20"/>
          <w:lang w:val="ru-RU"/>
        </w:rPr>
        <w:t>кой Федерации на сумму 890 млн.</w:t>
      </w:r>
      <w:r w:rsidR="00F84A17">
        <w:rPr>
          <w:rFonts w:cs="Arial"/>
          <w:sz w:val="20"/>
          <w:szCs w:val="20"/>
          <w:lang w:val="ru-RU"/>
        </w:rPr>
        <w:t xml:space="preserve"> </w:t>
      </w:r>
      <w:r w:rsidRPr="007D44BA">
        <w:rPr>
          <w:rFonts w:cs="Arial"/>
          <w:sz w:val="20"/>
          <w:szCs w:val="20"/>
          <w:lang w:val="ru-RU"/>
        </w:rPr>
        <w:t>руб. размещенные на срок от 8 до 30 дней, прочие средства в кредитных организациях до вост</w:t>
      </w:r>
      <w:r w:rsidR="00E50F94">
        <w:rPr>
          <w:rFonts w:cs="Arial"/>
          <w:sz w:val="20"/>
          <w:szCs w:val="20"/>
          <w:lang w:val="ru-RU"/>
        </w:rPr>
        <w:t>ребования составляют 9 271 тыс.</w:t>
      </w:r>
      <w:r w:rsidR="00F84A17">
        <w:rPr>
          <w:rFonts w:cs="Arial"/>
          <w:sz w:val="20"/>
          <w:szCs w:val="20"/>
          <w:lang w:val="ru-RU"/>
        </w:rPr>
        <w:t xml:space="preserve"> </w:t>
      </w:r>
      <w:r w:rsidRPr="007D44BA">
        <w:rPr>
          <w:rFonts w:cs="Arial"/>
          <w:sz w:val="20"/>
          <w:szCs w:val="20"/>
          <w:lang w:val="ru-RU"/>
        </w:rPr>
        <w:t>руб.</w:t>
      </w:r>
    </w:p>
    <w:p w:rsidR="002A4CA4" w:rsidRDefault="002A4CA4" w:rsidP="002A4CA4">
      <w:pPr>
        <w:pStyle w:val="2normal"/>
        <w:jc w:val="both"/>
        <w:rPr>
          <w:rFonts w:cs="Arial"/>
          <w:sz w:val="20"/>
          <w:szCs w:val="20"/>
          <w:lang w:val="ru-RU"/>
        </w:rPr>
      </w:pPr>
    </w:p>
    <w:p w:rsidR="002A4CA4" w:rsidRPr="007D44BA" w:rsidRDefault="002A4CA4" w:rsidP="002A4CA4">
      <w:pPr>
        <w:pStyle w:val="2normal"/>
        <w:jc w:val="both"/>
        <w:rPr>
          <w:rFonts w:cs="Arial"/>
          <w:sz w:val="20"/>
          <w:szCs w:val="20"/>
          <w:lang w:val="ru-RU"/>
        </w:rPr>
      </w:pPr>
      <w:r w:rsidRPr="007D44BA">
        <w:rPr>
          <w:rFonts w:cs="Arial"/>
          <w:sz w:val="20"/>
          <w:szCs w:val="20"/>
          <w:lang w:val="ru-RU"/>
        </w:rPr>
        <w:t>За 31 декабря 2017 года в статью не входят депозит в Банке России на сумму 100 млн.</w:t>
      </w:r>
      <w:r w:rsidR="00F84A17">
        <w:rPr>
          <w:rFonts w:cs="Arial"/>
          <w:sz w:val="20"/>
          <w:szCs w:val="20"/>
          <w:lang w:val="ru-RU"/>
        </w:rPr>
        <w:t xml:space="preserve"> </w:t>
      </w:r>
      <w:r w:rsidRPr="007D44BA">
        <w:rPr>
          <w:rFonts w:cs="Arial"/>
          <w:sz w:val="20"/>
          <w:szCs w:val="20"/>
          <w:lang w:val="ru-RU"/>
        </w:rPr>
        <w:t xml:space="preserve">руб. и межбанковские кредиты в других кредитных организациях Российской Федерации на сумму 796,1 </w:t>
      </w:r>
      <w:r w:rsidRPr="000012A0">
        <w:rPr>
          <w:rFonts w:cs="Arial"/>
          <w:sz w:val="20"/>
          <w:szCs w:val="20"/>
          <w:lang w:val="ru-RU"/>
        </w:rPr>
        <w:t>млн.</w:t>
      </w:r>
      <w:r w:rsidR="00F84A17">
        <w:rPr>
          <w:rFonts w:cs="Arial"/>
          <w:sz w:val="20"/>
          <w:szCs w:val="20"/>
          <w:lang w:val="ru-RU"/>
        </w:rPr>
        <w:t xml:space="preserve"> </w:t>
      </w:r>
      <w:r w:rsidRPr="000012A0">
        <w:rPr>
          <w:rFonts w:cs="Arial"/>
          <w:sz w:val="20"/>
          <w:szCs w:val="20"/>
          <w:lang w:val="ru-RU"/>
        </w:rPr>
        <w:t>руб. размещенные на срок от 8 до 30 дней, прочие средства в кредитных организациях до</w:t>
      </w:r>
      <w:r w:rsidRPr="007D44BA">
        <w:rPr>
          <w:rFonts w:cs="Arial"/>
          <w:sz w:val="20"/>
          <w:szCs w:val="20"/>
          <w:lang w:val="ru-RU"/>
        </w:rPr>
        <w:t xml:space="preserve"> вост</w:t>
      </w:r>
      <w:r w:rsidR="00E50F94">
        <w:rPr>
          <w:rFonts w:cs="Arial"/>
          <w:sz w:val="20"/>
          <w:szCs w:val="20"/>
          <w:lang w:val="ru-RU"/>
        </w:rPr>
        <w:t>ребования составляют 2 420 тыс.</w:t>
      </w:r>
      <w:r w:rsidR="00F84A17">
        <w:rPr>
          <w:rFonts w:cs="Arial"/>
          <w:sz w:val="20"/>
          <w:szCs w:val="20"/>
          <w:lang w:val="ru-RU"/>
        </w:rPr>
        <w:t xml:space="preserve"> </w:t>
      </w:r>
      <w:r w:rsidRPr="007D44BA">
        <w:rPr>
          <w:rFonts w:cs="Arial"/>
          <w:sz w:val="20"/>
          <w:szCs w:val="20"/>
          <w:lang w:val="ru-RU"/>
        </w:rPr>
        <w:t>руб.</w:t>
      </w:r>
    </w:p>
    <w:p w:rsidR="00407BB1" w:rsidRPr="001E0477" w:rsidRDefault="00407BB1" w:rsidP="00AD5225">
      <w:pPr>
        <w:pStyle w:val="2normal"/>
        <w:jc w:val="both"/>
        <w:rPr>
          <w:rFonts w:cs="Arial"/>
          <w:sz w:val="20"/>
          <w:szCs w:val="20"/>
          <w:lang w:val="ru-RU"/>
        </w:rPr>
      </w:pPr>
    </w:p>
    <w:p w:rsidR="00043E1E" w:rsidRPr="001E0477" w:rsidRDefault="002A4CA4" w:rsidP="00E62B4D">
      <w:pPr>
        <w:pStyle w:val="4"/>
      </w:pPr>
      <w:r w:rsidRPr="001E0477">
        <w:t>6</w:t>
      </w:r>
      <w:r w:rsidR="007C2E21" w:rsidRPr="001E0477">
        <w:t xml:space="preserve">.1.2. </w:t>
      </w:r>
      <w:r w:rsidRPr="001E0477">
        <w:t>Информация об о</w:t>
      </w:r>
      <w:r w:rsidR="00EF4BEC" w:rsidRPr="001E0477">
        <w:t>бъем</w:t>
      </w:r>
      <w:r w:rsidRPr="001E0477">
        <w:t>е</w:t>
      </w:r>
      <w:r w:rsidR="00EF4BEC" w:rsidRPr="001E0477">
        <w:t xml:space="preserve"> вложени</w:t>
      </w:r>
      <w:r w:rsidR="00925DDA" w:rsidRPr="001E0477">
        <w:t>й</w:t>
      </w:r>
      <w:r w:rsidR="00EF4BEC" w:rsidRPr="001E0477">
        <w:t xml:space="preserve"> в ф</w:t>
      </w:r>
      <w:r w:rsidR="00970300" w:rsidRPr="001E0477">
        <w:t>инансовые активы, оцениваемые по справедливой стоимости через прибыль или убыток</w:t>
      </w:r>
    </w:p>
    <w:p w:rsidR="0010182D" w:rsidRPr="006C1E8B" w:rsidRDefault="0010182D" w:rsidP="0010182D">
      <w:pPr>
        <w:jc w:val="both"/>
        <w:rPr>
          <w:rFonts w:cs="Arial"/>
          <w:b/>
          <w:color w:val="FF0000"/>
          <w:sz w:val="20"/>
          <w:szCs w:val="20"/>
          <w:highlight w:val="yellow"/>
          <w:lang w:val="ru-RU"/>
        </w:rPr>
      </w:pPr>
    </w:p>
    <w:tbl>
      <w:tblPr>
        <w:tblW w:w="9388" w:type="dxa"/>
        <w:tblInd w:w="108" w:type="dxa"/>
        <w:tblLook w:val="04A0" w:firstRow="1" w:lastRow="0" w:firstColumn="1" w:lastColumn="0" w:noHBand="0" w:noVBand="1"/>
      </w:tblPr>
      <w:tblGrid>
        <w:gridCol w:w="2876"/>
        <w:gridCol w:w="1085"/>
        <w:gridCol w:w="1157"/>
        <w:gridCol w:w="1014"/>
        <w:gridCol w:w="1085"/>
        <w:gridCol w:w="1157"/>
        <w:gridCol w:w="1014"/>
      </w:tblGrid>
      <w:tr w:rsidR="0010182D" w:rsidRPr="00D20ED0" w:rsidTr="001E0477">
        <w:trPr>
          <w:trHeight w:val="270"/>
          <w:tblHeader/>
        </w:trPr>
        <w:tc>
          <w:tcPr>
            <w:tcW w:w="2876" w:type="dxa"/>
            <w:tcBorders>
              <w:top w:val="single" w:sz="4" w:space="0" w:color="auto"/>
              <w:left w:val="nil"/>
              <w:bottom w:val="nil"/>
              <w:right w:val="nil"/>
            </w:tcBorders>
            <w:shd w:val="clear" w:color="auto" w:fill="auto"/>
            <w:noWrap/>
            <w:vAlign w:val="bottom"/>
            <w:hideMark/>
          </w:tcPr>
          <w:p w:rsidR="0010182D" w:rsidRPr="00D20ED0" w:rsidRDefault="0010182D" w:rsidP="001E0477">
            <w:pPr>
              <w:overflowPunct/>
              <w:autoSpaceDE/>
              <w:autoSpaceDN/>
              <w:adjustRightInd/>
              <w:textAlignment w:val="auto"/>
              <w:rPr>
                <w:rFonts w:cs="Arial"/>
                <w:b/>
                <w:bCs/>
                <w:sz w:val="16"/>
                <w:szCs w:val="16"/>
                <w:lang w:val="ru-RU" w:eastAsia="ru-RU"/>
              </w:rPr>
            </w:pPr>
            <w:r>
              <w:rPr>
                <w:rFonts w:cs="Arial"/>
                <w:b/>
                <w:bCs/>
                <w:sz w:val="16"/>
                <w:szCs w:val="16"/>
                <w:lang w:val="ru-RU" w:eastAsia="ru-RU"/>
              </w:rPr>
              <w:t>Виды ценных бумаг</w:t>
            </w:r>
          </w:p>
        </w:tc>
        <w:tc>
          <w:tcPr>
            <w:tcW w:w="3256" w:type="dxa"/>
            <w:gridSpan w:val="3"/>
            <w:tcBorders>
              <w:top w:val="single" w:sz="4" w:space="0" w:color="auto"/>
              <w:left w:val="nil"/>
              <w:bottom w:val="single" w:sz="4" w:space="0" w:color="auto"/>
              <w:right w:val="nil"/>
            </w:tcBorders>
            <w:shd w:val="clear" w:color="auto" w:fill="auto"/>
            <w:noWrap/>
            <w:vAlign w:val="bottom"/>
            <w:hideMark/>
          </w:tcPr>
          <w:p w:rsidR="0010182D" w:rsidRPr="00D20ED0" w:rsidRDefault="0010182D" w:rsidP="001E0477">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31</w:t>
            </w:r>
            <w:r w:rsidRPr="00D20ED0">
              <w:rPr>
                <w:rFonts w:cs="Arial"/>
                <w:b/>
                <w:bCs/>
                <w:sz w:val="16"/>
                <w:szCs w:val="16"/>
                <w:lang w:val="ru-RU" w:eastAsia="ru-RU"/>
              </w:rPr>
              <w:t>.</w:t>
            </w:r>
            <w:r>
              <w:rPr>
                <w:rFonts w:cs="Arial"/>
                <w:b/>
                <w:bCs/>
                <w:sz w:val="16"/>
                <w:szCs w:val="16"/>
                <w:lang w:val="ru-RU" w:eastAsia="ru-RU"/>
              </w:rPr>
              <w:t>12</w:t>
            </w:r>
            <w:r w:rsidRPr="00D20ED0">
              <w:rPr>
                <w:rFonts w:cs="Arial"/>
                <w:b/>
                <w:bCs/>
                <w:sz w:val="16"/>
                <w:szCs w:val="16"/>
                <w:lang w:val="ru-RU" w:eastAsia="ru-RU"/>
              </w:rPr>
              <w:t>.201</w:t>
            </w:r>
            <w:r>
              <w:rPr>
                <w:rFonts w:cs="Arial"/>
                <w:b/>
                <w:bCs/>
                <w:sz w:val="16"/>
                <w:szCs w:val="16"/>
                <w:lang w:val="ru-RU" w:eastAsia="ru-RU"/>
              </w:rPr>
              <w:t>8</w:t>
            </w:r>
          </w:p>
        </w:tc>
        <w:tc>
          <w:tcPr>
            <w:tcW w:w="3256" w:type="dxa"/>
            <w:gridSpan w:val="3"/>
            <w:tcBorders>
              <w:top w:val="single" w:sz="4" w:space="0" w:color="auto"/>
              <w:left w:val="nil"/>
              <w:bottom w:val="single" w:sz="4" w:space="0" w:color="auto"/>
              <w:right w:val="nil"/>
            </w:tcBorders>
            <w:shd w:val="clear" w:color="auto" w:fill="auto"/>
            <w:noWrap/>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Pr>
                <w:rFonts w:cs="Arial"/>
                <w:b/>
                <w:bCs/>
                <w:sz w:val="16"/>
                <w:szCs w:val="16"/>
                <w:lang w:val="ru-RU"/>
              </w:rPr>
              <w:t>31</w:t>
            </w:r>
            <w:r w:rsidRPr="00D20ED0">
              <w:rPr>
                <w:rFonts w:cs="Arial"/>
                <w:b/>
                <w:bCs/>
                <w:sz w:val="16"/>
                <w:szCs w:val="16"/>
                <w:lang w:val="ru-RU"/>
              </w:rPr>
              <w:t>.</w:t>
            </w:r>
            <w:r>
              <w:rPr>
                <w:rFonts w:cs="Arial"/>
                <w:b/>
                <w:bCs/>
                <w:sz w:val="16"/>
                <w:szCs w:val="16"/>
                <w:lang w:val="ru-RU"/>
              </w:rPr>
              <w:t>12</w:t>
            </w:r>
            <w:r w:rsidRPr="00D20ED0">
              <w:rPr>
                <w:rFonts w:cs="Arial"/>
                <w:b/>
                <w:bCs/>
                <w:sz w:val="16"/>
                <w:szCs w:val="16"/>
                <w:lang w:val="ru-RU"/>
              </w:rPr>
              <w:t>.201</w:t>
            </w:r>
            <w:r>
              <w:rPr>
                <w:rFonts w:cs="Arial"/>
                <w:b/>
                <w:bCs/>
                <w:sz w:val="16"/>
                <w:szCs w:val="16"/>
                <w:lang w:val="ru-RU"/>
              </w:rPr>
              <w:t>7</w:t>
            </w:r>
          </w:p>
        </w:tc>
      </w:tr>
      <w:tr w:rsidR="0010182D" w:rsidRPr="00D20ED0" w:rsidTr="001E0477">
        <w:trPr>
          <w:trHeight w:val="450"/>
          <w:tblHeader/>
        </w:trPr>
        <w:tc>
          <w:tcPr>
            <w:tcW w:w="2876"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textAlignment w:val="auto"/>
              <w:rPr>
                <w:rFonts w:cs="Arial"/>
                <w:b/>
                <w:bCs/>
                <w:sz w:val="16"/>
                <w:szCs w:val="16"/>
                <w:lang w:val="ru-RU" w:eastAsia="ru-RU"/>
              </w:rPr>
            </w:pPr>
            <w:r w:rsidRPr="00D20ED0">
              <w:rPr>
                <w:rFonts w:cs="Arial"/>
                <w:b/>
                <w:bCs/>
                <w:sz w:val="16"/>
                <w:szCs w:val="16"/>
                <w:lang w:val="ru-RU" w:eastAsia="ru-RU"/>
              </w:rPr>
              <w:t> </w:t>
            </w:r>
          </w:p>
        </w:tc>
        <w:tc>
          <w:tcPr>
            <w:tcW w:w="1085"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евро</w:t>
            </w:r>
          </w:p>
        </w:tc>
        <w:tc>
          <w:tcPr>
            <w:tcW w:w="1085"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рубль РФ</w:t>
            </w:r>
          </w:p>
        </w:tc>
        <w:tc>
          <w:tcPr>
            <w:tcW w:w="1157"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доллар США</w:t>
            </w:r>
          </w:p>
        </w:tc>
        <w:tc>
          <w:tcPr>
            <w:tcW w:w="1014" w:type="dxa"/>
            <w:tcBorders>
              <w:top w:val="nil"/>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ru-RU" w:eastAsia="ru-RU"/>
              </w:rPr>
            </w:pPr>
            <w:r w:rsidRPr="00D20ED0">
              <w:rPr>
                <w:rFonts w:cs="Arial"/>
                <w:b/>
                <w:bCs/>
                <w:sz w:val="16"/>
                <w:szCs w:val="16"/>
                <w:lang w:val="ru-RU" w:eastAsia="ru-RU"/>
              </w:rPr>
              <w:t>евро</w:t>
            </w:r>
          </w:p>
        </w:tc>
      </w:tr>
      <w:tr w:rsidR="0010182D" w:rsidRPr="00D20ED0" w:rsidTr="001E0477">
        <w:trPr>
          <w:trHeight w:val="450"/>
        </w:trPr>
        <w:tc>
          <w:tcPr>
            <w:tcW w:w="2876" w:type="dxa"/>
            <w:tcBorders>
              <w:top w:val="nil"/>
              <w:left w:val="nil"/>
              <w:bottom w:val="nil"/>
              <w:right w:val="nil"/>
            </w:tcBorders>
            <w:shd w:val="clear" w:color="auto" w:fill="auto"/>
            <w:vAlign w:val="bottom"/>
            <w:hideMark/>
          </w:tcPr>
          <w:p w:rsidR="0010182D" w:rsidRPr="00D20ED0" w:rsidRDefault="0010182D" w:rsidP="001E0477">
            <w:pPr>
              <w:overflowPunct/>
              <w:autoSpaceDE/>
              <w:autoSpaceDN/>
              <w:adjustRightInd/>
              <w:textAlignment w:val="auto"/>
              <w:rPr>
                <w:rFonts w:cs="Arial"/>
                <w:b/>
                <w:bCs/>
                <w:sz w:val="16"/>
                <w:szCs w:val="16"/>
                <w:lang w:val="ru-RU" w:eastAsia="ru-RU"/>
              </w:rPr>
            </w:pPr>
            <w:r w:rsidRPr="00D20ED0">
              <w:rPr>
                <w:rFonts w:cs="Arial"/>
                <w:b/>
                <w:bCs/>
                <w:sz w:val="16"/>
                <w:szCs w:val="16"/>
                <w:lang w:val="ru-RU" w:eastAsia="ru-RU"/>
              </w:rPr>
              <w:t xml:space="preserve">Долговые </w:t>
            </w:r>
            <w:r>
              <w:rPr>
                <w:rFonts w:cs="Arial"/>
                <w:b/>
                <w:bCs/>
                <w:sz w:val="16"/>
                <w:szCs w:val="16"/>
                <w:lang w:val="ru-RU" w:eastAsia="ru-RU"/>
              </w:rPr>
              <w:t>обязательства</w:t>
            </w:r>
            <w:r w:rsidRPr="00D20ED0">
              <w:rPr>
                <w:rFonts w:cs="Arial"/>
                <w:b/>
                <w:bCs/>
                <w:sz w:val="16"/>
                <w:szCs w:val="16"/>
                <w:lang w:val="ru-RU" w:eastAsia="ru-RU"/>
              </w:rPr>
              <w:t>, всего, в т</w:t>
            </w:r>
            <w:r>
              <w:rPr>
                <w:rFonts w:cs="Arial"/>
                <w:b/>
                <w:bCs/>
                <w:sz w:val="16"/>
                <w:szCs w:val="16"/>
                <w:lang w:val="ru-RU" w:eastAsia="ru-RU"/>
              </w:rPr>
              <w:t xml:space="preserve">ом </w:t>
            </w:r>
            <w:r w:rsidRPr="00D20ED0">
              <w:rPr>
                <w:rFonts w:cs="Arial"/>
                <w:b/>
                <w:bCs/>
                <w:sz w:val="16"/>
                <w:szCs w:val="16"/>
                <w:lang w:val="ru-RU" w:eastAsia="ru-RU"/>
              </w:rPr>
              <w:t>ч</w:t>
            </w:r>
            <w:r>
              <w:rPr>
                <w:rFonts w:cs="Arial"/>
                <w:b/>
                <w:bCs/>
                <w:sz w:val="16"/>
                <w:szCs w:val="16"/>
                <w:lang w:val="ru-RU" w:eastAsia="ru-RU"/>
              </w:rPr>
              <w:t>исле</w:t>
            </w:r>
            <w:r w:rsidRPr="00D20ED0">
              <w:rPr>
                <w:rFonts w:cs="Arial"/>
                <w:b/>
                <w:bCs/>
                <w:sz w:val="16"/>
                <w:szCs w:val="16"/>
                <w:lang w:val="ru-RU" w:eastAsia="ru-RU"/>
              </w:rPr>
              <w:t>:</w:t>
            </w:r>
          </w:p>
        </w:tc>
        <w:tc>
          <w:tcPr>
            <w:tcW w:w="1085" w:type="dxa"/>
            <w:tcBorders>
              <w:top w:val="single" w:sz="4" w:space="0" w:color="auto"/>
              <w:left w:val="nil"/>
              <w:bottom w:val="single" w:sz="4" w:space="0" w:color="auto"/>
              <w:right w:val="nil"/>
            </w:tcBorders>
            <w:shd w:val="clear" w:color="auto" w:fill="auto"/>
            <w:vAlign w:val="bottom"/>
          </w:tcPr>
          <w:p w:rsidR="0010182D" w:rsidRPr="00851A11" w:rsidRDefault="0010182D" w:rsidP="001E0477">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5 140 870</w:t>
            </w:r>
          </w:p>
        </w:tc>
        <w:tc>
          <w:tcPr>
            <w:tcW w:w="1157" w:type="dxa"/>
            <w:tcBorders>
              <w:top w:val="single" w:sz="4" w:space="0" w:color="auto"/>
              <w:left w:val="nil"/>
              <w:bottom w:val="single" w:sz="4" w:space="0" w:color="auto"/>
              <w:right w:val="nil"/>
            </w:tcBorders>
            <w:shd w:val="clear" w:color="auto" w:fill="auto"/>
            <w:vAlign w:val="bottom"/>
            <w:hideMark/>
          </w:tcPr>
          <w:p w:rsidR="0010182D" w:rsidRPr="00851A11" w:rsidRDefault="0010182D" w:rsidP="001E0477">
            <w:pPr>
              <w:overflowPunct/>
              <w:autoSpaceDE/>
              <w:autoSpaceDN/>
              <w:adjustRightInd/>
              <w:textAlignment w:val="auto"/>
              <w:rPr>
                <w:rFonts w:cs="Arial"/>
                <w:b/>
                <w:bCs/>
                <w:sz w:val="16"/>
                <w:szCs w:val="16"/>
                <w:lang w:val="ru-RU" w:eastAsia="ru-RU"/>
              </w:rPr>
            </w:pPr>
            <w:r>
              <w:rPr>
                <w:rFonts w:cs="Arial"/>
                <w:b/>
                <w:bCs/>
                <w:sz w:val="16"/>
                <w:szCs w:val="16"/>
                <w:lang w:val="ru-RU" w:eastAsia="ru-RU"/>
              </w:rPr>
              <w:t xml:space="preserve">          -</w:t>
            </w:r>
          </w:p>
        </w:tc>
        <w:tc>
          <w:tcPr>
            <w:tcW w:w="1014" w:type="dxa"/>
            <w:tcBorders>
              <w:top w:val="single" w:sz="4" w:space="0" w:color="auto"/>
              <w:left w:val="nil"/>
              <w:bottom w:val="single" w:sz="4" w:space="0" w:color="auto"/>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b/>
                <w:bCs/>
                <w:sz w:val="16"/>
                <w:szCs w:val="16"/>
                <w:lang w:val="en-US" w:eastAsia="ru-RU"/>
              </w:rPr>
            </w:pPr>
            <w:r w:rsidRPr="005508FB">
              <w:rPr>
                <w:rFonts w:cs="Arial"/>
                <w:b/>
                <w:bCs/>
                <w:sz w:val="16"/>
                <w:szCs w:val="16"/>
                <w:lang w:val="en-US" w:eastAsia="ru-RU"/>
              </w:rPr>
              <w:t>-</w:t>
            </w:r>
          </w:p>
        </w:tc>
        <w:tc>
          <w:tcPr>
            <w:tcW w:w="1085" w:type="dxa"/>
            <w:tcBorders>
              <w:top w:val="single" w:sz="4" w:space="0" w:color="auto"/>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 xml:space="preserve">4 781 </w:t>
            </w:r>
            <w:r>
              <w:rPr>
                <w:rFonts w:cs="Arial"/>
                <w:b/>
                <w:bCs/>
                <w:sz w:val="16"/>
                <w:szCs w:val="16"/>
                <w:lang w:val="ru-RU" w:eastAsia="ru-RU"/>
              </w:rPr>
              <w:t>602</w:t>
            </w:r>
          </w:p>
        </w:tc>
        <w:tc>
          <w:tcPr>
            <w:tcW w:w="1157" w:type="dxa"/>
            <w:tcBorders>
              <w:top w:val="single" w:sz="4" w:space="0" w:color="auto"/>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1 438 772</w:t>
            </w:r>
          </w:p>
        </w:tc>
        <w:tc>
          <w:tcPr>
            <w:tcW w:w="1014" w:type="dxa"/>
            <w:tcBorders>
              <w:top w:val="single" w:sz="4" w:space="0" w:color="auto"/>
              <w:left w:val="nil"/>
              <w:bottom w:val="single" w:sz="4" w:space="0" w:color="auto"/>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b/>
                <w:bCs/>
                <w:sz w:val="16"/>
                <w:szCs w:val="16"/>
                <w:lang w:val="en-US" w:eastAsia="ru-RU"/>
              </w:rPr>
            </w:pPr>
            <w:r w:rsidRPr="005508FB">
              <w:rPr>
                <w:rFonts w:cs="Arial"/>
                <w:b/>
                <w:bCs/>
                <w:sz w:val="16"/>
                <w:szCs w:val="16"/>
                <w:lang w:val="en-US" w:eastAsia="ru-RU"/>
              </w:rPr>
              <w:t>-</w:t>
            </w:r>
          </w:p>
        </w:tc>
      </w:tr>
      <w:tr w:rsidR="0010182D" w:rsidRPr="006149A9" w:rsidTr="001E0477">
        <w:trPr>
          <w:trHeight w:val="225"/>
        </w:trPr>
        <w:tc>
          <w:tcPr>
            <w:tcW w:w="2876" w:type="dxa"/>
            <w:tcBorders>
              <w:top w:val="nil"/>
              <w:left w:val="nil"/>
              <w:bottom w:val="nil"/>
              <w:right w:val="nil"/>
            </w:tcBorders>
            <w:shd w:val="clear" w:color="auto" w:fill="auto"/>
            <w:vAlign w:val="bottom"/>
          </w:tcPr>
          <w:p w:rsidR="0010182D" w:rsidRPr="00282056"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облигации Российской Федерации</w:t>
            </w:r>
          </w:p>
        </w:tc>
        <w:tc>
          <w:tcPr>
            <w:tcW w:w="1085" w:type="dxa"/>
            <w:tcBorders>
              <w:top w:val="single" w:sz="4" w:space="0" w:color="auto"/>
              <w:left w:val="nil"/>
              <w:bottom w:val="nil"/>
              <w:right w:val="nil"/>
            </w:tcBorders>
            <w:shd w:val="clear" w:color="auto" w:fill="auto"/>
            <w:vAlign w:val="bottom"/>
          </w:tcPr>
          <w:p w:rsidR="0010182D" w:rsidRPr="0076402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391 040</w:t>
            </w:r>
          </w:p>
        </w:tc>
        <w:tc>
          <w:tcPr>
            <w:tcW w:w="1157" w:type="dxa"/>
            <w:tcBorders>
              <w:top w:val="single" w:sz="4" w:space="0" w:color="auto"/>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single" w:sz="4" w:space="0" w:color="auto"/>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ascii="Arial CYR" w:hAnsi="Arial CYR" w:cs="Arial CYR"/>
                <w:sz w:val="16"/>
                <w:szCs w:val="16"/>
                <w:lang w:val="ru-RU" w:eastAsia="ru-RU"/>
              </w:rPr>
            </w:pPr>
            <w:r w:rsidRPr="005508FB">
              <w:rPr>
                <w:rFonts w:ascii="Arial CYR" w:hAnsi="Arial CYR" w:cs="Arial CYR"/>
                <w:sz w:val="16"/>
                <w:szCs w:val="16"/>
                <w:lang w:val="ru-RU" w:eastAsia="ru-RU"/>
              </w:rPr>
              <w:t>-</w:t>
            </w:r>
          </w:p>
        </w:tc>
        <w:tc>
          <w:tcPr>
            <w:tcW w:w="1085" w:type="dxa"/>
            <w:tcBorders>
              <w:top w:val="single" w:sz="4" w:space="0" w:color="auto"/>
              <w:left w:val="nil"/>
              <w:bottom w:val="nil"/>
              <w:right w:val="nil"/>
            </w:tcBorders>
            <w:shd w:val="clear" w:color="auto" w:fill="auto"/>
            <w:vAlign w:val="bottom"/>
          </w:tcPr>
          <w:p w:rsidR="0010182D" w:rsidRPr="005637CD" w:rsidRDefault="0010182D" w:rsidP="001E0477">
            <w:pPr>
              <w:overflowPunct/>
              <w:autoSpaceDE/>
              <w:autoSpaceDN/>
              <w:adjustRightInd/>
              <w:jc w:val="center"/>
              <w:textAlignment w:val="auto"/>
              <w:rPr>
                <w:rFonts w:cs="Arial"/>
                <w:sz w:val="16"/>
                <w:szCs w:val="16"/>
                <w:lang w:val="en-US" w:eastAsia="ru-RU"/>
              </w:rPr>
            </w:pPr>
            <w:r>
              <w:rPr>
                <w:rFonts w:cs="Arial"/>
                <w:sz w:val="16"/>
                <w:szCs w:val="16"/>
                <w:lang w:val="ru-RU" w:eastAsia="ru-RU"/>
              </w:rPr>
              <w:t>17 126</w:t>
            </w:r>
          </w:p>
        </w:tc>
        <w:tc>
          <w:tcPr>
            <w:tcW w:w="1157" w:type="dxa"/>
            <w:tcBorders>
              <w:top w:val="single" w:sz="4" w:space="0" w:color="auto"/>
              <w:left w:val="nil"/>
              <w:bottom w:val="nil"/>
              <w:right w:val="nil"/>
            </w:tcBorders>
            <w:shd w:val="clear" w:color="auto" w:fill="auto"/>
            <w:vAlign w:val="bottom"/>
          </w:tcPr>
          <w:p w:rsidR="0010182D" w:rsidRPr="005637CD" w:rsidRDefault="001E0477"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single" w:sz="4" w:space="0" w:color="auto"/>
              <w:left w:val="nil"/>
              <w:bottom w:val="nil"/>
              <w:right w:val="nil"/>
            </w:tcBorders>
            <w:shd w:val="clear" w:color="auto" w:fill="auto"/>
            <w:vAlign w:val="bottom"/>
          </w:tcPr>
          <w:p w:rsidR="0010182D" w:rsidRPr="005637CD" w:rsidRDefault="0010182D" w:rsidP="001E0477">
            <w:pPr>
              <w:overflowPunct/>
              <w:autoSpaceDE/>
              <w:autoSpaceDN/>
              <w:adjustRightInd/>
              <w:jc w:val="center"/>
              <w:textAlignment w:val="auto"/>
              <w:rPr>
                <w:rFonts w:ascii="Arial CYR" w:hAnsi="Arial CYR" w:cs="Arial CYR"/>
                <w:sz w:val="16"/>
                <w:szCs w:val="16"/>
                <w:lang w:val="ru-RU" w:eastAsia="ru-RU"/>
              </w:rPr>
            </w:pPr>
            <w:r w:rsidRPr="005508FB">
              <w:rPr>
                <w:rFonts w:ascii="Arial CYR" w:hAnsi="Arial CYR" w:cs="Arial CYR"/>
                <w:sz w:val="16"/>
                <w:szCs w:val="16"/>
                <w:lang w:val="ru-RU" w:eastAsia="ru-RU"/>
              </w:rPr>
              <w:t>-</w:t>
            </w:r>
          </w:p>
        </w:tc>
      </w:tr>
      <w:tr w:rsidR="0010182D" w:rsidRPr="006149A9" w:rsidTr="001E0477">
        <w:trPr>
          <w:trHeight w:val="269"/>
        </w:trPr>
        <w:tc>
          <w:tcPr>
            <w:tcW w:w="2876" w:type="dxa"/>
            <w:tcBorders>
              <w:top w:val="nil"/>
              <w:left w:val="nil"/>
              <w:bottom w:val="nil"/>
              <w:right w:val="nil"/>
            </w:tcBorders>
            <w:shd w:val="clear" w:color="auto" w:fill="auto"/>
            <w:vAlign w:val="bottom"/>
            <w:hideMark/>
          </w:tcPr>
          <w:p w:rsidR="0010182D" w:rsidRPr="00282056"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облигации Банка России</w:t>
            </w:r>
          </w:p>
        </w:tc>
        <w:tc>
          <w:tcPr>
            <w:tcW w:w="1085" w:type="dxa"/>
            <w:tcBorders>
              <w:left w:val="nil"/>
              <w:bottom w:val="nil"/>
              <w:right w:val="nil"/>
            </w:tcBorders>
            <w:shd w:val="clear" w:color="auto" w:fill="auto"/>
            <w:vAlign w:val="bottom"/>
          </w:tcPr>
          <w:p w:rsidR="0010182D" w:rsidRPr="00851A11"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819 601</w:t>
            </w:r>
          </w:p>
        </w:tc>
        <w:tc>
          <w:tcPr>
            <w:tcW w:w="1157" w:type="dxa"/>
            <w:tcBorders>
              <w:left w:val="nil"/>
              <w:bottom w:val="nil"/>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14" w:type="dxa"/>
            <w:tcBorders>
              <w:left w:val="nil"/>
              <w:bottom w:val="nil"/>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85" w:type="dxa"/>
            <w:tcBorders>
              <w:left w:val="nil"/>
              <w:bottom w:val="nil"/>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804 080</w:t>
            </w:r>
          </w:p>
        </w:tc>
        <w:tc>
          <w:tcPr>
            <w:tcW w:w="1157" w:type="dxa"/>
            <w:tcBorders>
              <w:left w:val="nil"/>
              <w:bottom w:val="nil"/>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14" w:type="dxa"/>
            <w:tcBorders>
              <w:left w:val="nil"/>
              <w:bottom w:val="nil"/>
              <w:right w:val="nil"/>
            </w:tcBorders>
            <w:shd w:val="clear" w:color="auto" w:fill="auto"/>
            <w:vAlign w:val="bottom"/>
            <w:hideMark/>
          </w:tcPr>
          <w:p w:rsidR="0010182D" w:rsidRPr="00D20ED0"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r>
      <w:tr w:rsidR="0010182D" w:rsidRPr="00111486" w:rsidTr="001E0477">
        <w:trPr>
          <w:trHeight w:val="225"/>
        </w:trPr>
        <w:tc>
          <w:tcPr>
            <w:tcW w:w="2876" w:type="dxa"/>
            <w:tcBorders>
              <w:top w:val="nil"/>
              <w:left w:val="nil"/>
              <w:bottom w:val="nil"/>
              <w:right w:val="nil"/>
            </w:tcBorders>
            <w:shd w:val="clear" w:color="auto" w:fill="auto"/>
            <w:vAlign w:val="bottom"/>
          </w:tcPr>
          <w:p w:rsidR="0010182D" w:rsidRPr="00E97160"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 xml:space="preserve">облигации субъектов РФ </w:t>
            </w:r>
          </w:p>
        </w:tc>
        <w:tc>
          <w:tcPr>
            <w:tcW w:w="1085" w:type="dxa"/>
            <w:tcBorders>
              <w:top w:val="nil"/>
              <w:left w:val="nil"/>
              <w:bottom w:val="nil"/>
              <w:right w:val="nil"/>
            </w:tcBorders>
            <w:shd w:val="clear" w:color="auto" w:fill="auto"/>
            <w:vAlign w:val="bottom"/>
          </w:tcPr>
          <w:p w:rsidR="0010182D" w:rsidRPr="00E97160"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96 546</w:t>
            </w:r>
          </w:p>
        </w:tc>
        <w:tc>
          <w:tcPr>
            <w:tcW w:w="1157" w:type="dxa"/>
            <w:tcBorders>
              <w:top w:val="nil"/>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14" w:type="dxa"/>
            <w:tcBorders>
              <w:top w:val="nil"/>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85" w:type="dxa"/>
            <w:tcBorders>
              <w:top w:val="nil"/>
              <w:left w:val="nil"/>
              <w:bottom w:val="nil"/>
              <w:right w:val="nil"/>
            </w:tcBorders>
            <w:shd w:val="clear" w:color="auto" w:fill="auto"/>
            <w:vAlign w:val="bottom"/>
          </w:tcPr>
          <w:p w:rsidR="0010182D"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nil"/>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14" w:type="dxa"/>
            <w:tcBorders>
              <w:top w:val="nil"/>
              <w:left w:val="nil"/>
              <w:bottom w:val="nil"/>
              <w:right w:val="nil"/>
            </w:tcBorders>
            <w:shd w:val="clear" w:color="auto" w:fill="auto"/>
            <w:vAlign w:val="bottom"/>
          </w:tcPr>
          <w:p w:rsidR="0010182D" w:rsidRPr="005508F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10182D" w:rsidRPr="00111486" w:rsidTr="001E0477">
        <w:trPr>
          <w:trHeight w:val="225"/>
        </w:trPr>
        <w:tc>
          <w:tcPr>
            <w:tcW w:w="2876" w:type="dxa"/>
            <w:tcBorders>
              <w:top w:val="nil"/>
              <w:left w:val="nil"/>
              <w:bottom w:val="nil"/>
              <w:right w:val="nil"/>
            </w:tcBorders>
            <w:shd w:val="clear" w:color="auto" w:fill="auto"/>
            <w:vAlign w:val="bottom"/>
            <w:hideMark/>
          </w:tcPr>
          <w:p w:rsidR="0010182D" w:rsidRPr="006149A9" w:rsidRDefault="0010182D" w:rsidP="001E0477">
            <w:pPr>
              <w:overflowPunct/>
              <w:autoSpaceDE/>
              <w:autoSpaceDN/>
              <w:adjustRightInd/>
              <w:textAlignment w:val="auto"/>
              <w:rPr>
                <w:rFonts w:cs="Arial"/>
                <w:sz w:val="16"/>
                <w:szCs w:val="16"/>
                <w:highlight w:val="yellow"/>
                <w:lang w:val="ru-RU" w:eastAsia="ru-RU"/>
              </w:rPr>
            </w:pPr>
            <w:r w:rsidRPr="00282056">
              <w:rPr>
                <w:rFonts w:cs="Arial"/>
                <w:sz w:val="16"/>
                <w:szCs w:val="16"/>
                <w:lang w:val="ru-RU" w:eastAsia="ru-RU"/>
              </w:rPr>
              <w:t>облигации кредитных организаций</w:t>
            </w:r>
          </w:p>
        </w:tc>
        <w:tc>
          <w:tcPr>
            <w:tcW w:w="1085" w:type="dxa"/>
            <w:tcBorders>
              <w:top w:val="nil"/>
              <w:left w:val="nil"/>
              <w:bottom w:val="nil"/>
              <w:right w:val="nil"/>
            </w:tcBorders>
            <w:shd w:val="clear" w:color="auto" w:fill="auto"/>
            <w:vAlign w:val="bottom"/>
          </w:tcPr>
          <w:p w:rsidR="0010182D" w:rsidRPr="00E97160"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378 141</w:t>
            </w:r>
          </w:p>
        </w:tc>
        <w:tc>
          <w:tcPr>
            <w:tcW w:w="1157" w:type="dxa"/>
            <w:tcBorders>
              <w:top w:val="nil"/>
              <w:left w:val="nil"/>
              <w:bottom w:val="nil"/>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14" w:type="dxa"/>
            <w:tcBorders>
              <w:top w:val="nil"/>
              <w:left w:val="nil"/>
              <w:bottom w:val="nil"/>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85" w:type="dxa"/>
            <w:tcBorders>
              <w:top w:val="nil"/>
              <w:left w:val="nil"/>
              <w:bottom w:val="nil"/>
              <w:right w:val="nil"/>
            </w:tcBorders>
            <w:shd w:val="clear" w:color="auto" w:fill="auto"/>
            <w:vAlign w:val="bottom"/>
            <w:hideMark/>
          </w:tcPr>
          <w:p w:rsidR="0010182D" w:rsidRPr="006149A9" w:rsidRDefault="0010182D" w:rsidP="001E0477">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608 441</w:t>
            </w:r>
          </w:p>
        </w:tc>
        <w:tc>
          <w:tcPr>
            <w:tcW w:w="1157" w:type="dxa"/>
            <w:tcBorders>
              <w:top w:val="nil"/>
              <w:left w:val="nil"/>
              <w:bottom w:val="nil"/>
              <w:right w:val="nil"/>
            </w:tcBorders>
            <w:shd w:val="clear" w:color="auto" w:fill="auto"/>
            <w:vAlign w:val="bottom"/>
            <w:hideMark/>
          </w:tcPr>
          <w:p w:rsidR="0010182D" w:rsidRPr="00111486"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c>
          <w:tcPr>
            <w:tcW w:w="1014" w:type="dxa"/>
            <w:tcBorders>
              <w:top w:val="nil"/>
              <w:left w:val="nil"/>
              <w:bottom w:val="nil"/>
              <w:right w:val="nil"/>
            </w:tcBorders>
            <w:shd w:val="clear" w:color="auto" w:fill="auto"/>
            <w:vAlign w:val="bottom"/>
            <w:hideMark/>
          </w:tcPr>
          <w:p w:rsidR="0010182D" w:rsidRPr="00111486" w:rsidRDefault="0010182D" w:rsidP="001E0477">
            <w:pPr>
              <w:overflowPunct/>
              <w:autoSpaceDE/>
              <w:autoSpaceDN/>
              <w:adjustRightInd/>
              <w:jc w:val="center"/>
              <w:textAlignment w:val="auto"/>
              <w:rPr>
                <w:rFonts w:cs="Arial"/>
                <w:sz w:val="16"/>
                <w:szCs w:val="16"/>
                <w:lang w:val="ru-RU" w:eastAsia="ru-RU"/>
              </w:rPr>
            </w:pPr>
            <w:r w:rsidRPr="005508FB">
              <w:rPr>
                <w:rFonts w:cs="Arial"/>
                <w:sz w:val="16"/>
                <w:szCs w:val="16"/>
                <w:lang w:val="ru-RU" w:eastAsia="ru-RU"/>
              </w:rPr>
              <w:t>-</w:t>
            </w:r>
          </w:p>
        </w:tc>
      </w:tr>
      <w:tr w:rsidR="0010182D" w:rsidRPr="006149A9" w:rsidTr="001E0477">
        <w:trPr>
          <w:trHeight w:val="220"/>
        </w:trPr>
        <w:tc>
          <w:tcPr>
            <w:tcW w:w="2876" w:type="dxa"/>
            <w:tcBorders>
              <w:top w:val="nil"/>
              <w:left w:val="nil"/>
              <w:bottom w:val="nil"/>
              <w:right w:val="nil"/>
            </w:tcBorders>
            <w:shd w:val="clear" w:color="auto" w:fill="auto"/>
            <w:vAlign w:val="bottom"/>
            <w:hideMark/>
          </w:tcPr>
          <w:p w:rsidR="0010182D" w:rsidRPr="00C820B1" w:rsidRDefault="0010182D" w:rsidP="001E0477">
            <w:pPr>
              <w:overflowPunct/>
              <w:autoSpaceDE/>
              <w:autoSpaceDN/>
              <w:adjustRightInd/>
              <w:textAlignment w:val="auto"/>
              <w:rPr>
                <w:rFonts w:cs="Arial"/>
                <w:sz w:val="16"/>
                <w:szCs w:val="16"/>
                <w:lang w:val="ru-RU" w:eastAsia="ru-RU"/>
              </w:rPr>
            </w:pPr>
            <w:r w:rsidRPr="00C820B1">
              <w:rPr>
                <w:rFonts w:cs="Arial"/>
                <w:sz w:val="16"/>
                <w:szCs w:val="16"/>
                <w:lang w:val="ru-RU" w:eastAsia="ru-RU"/>
              </w:rPr>
              <w:t xml:space="preserve">облигации </w:t>
            </w:r>
            <w:r>
              <w:rPr>
                <w:rFonts w:cs="Arial"/>
                <w:sz w:val="16"/>
                <w:szCs w:val="16"/>
                <w:lang w:val="ru-RU" w:eastAsia="ru-RU"/>
              </w:rPr>
              <w:t xml:space="preserve">прочих </w:t>
            </w:r>
            <w:r w:rsidRPr="00C820B1">
              <w:rPr>
                <w:rFonts w:cs="Arial"/>
                <w:sz w:val="16"/>
                <w:szCs w:val="16"/>
                <w:lang w:val="ru-RU" w:eastAsia="ru-RU"/>
              </w:rPr>
              <w:t>резидентов</w:t>
            </w:r>
          </w:p>
        </w:tc>
        <w:tc>
          <w:tcPr>
            <w:tcW w:w="1085" w:type="dxa"/>
            <w:tcBorders>
              <w:top w:val="nil"/>
              <w:left w:val="nil"/>
              <w:bottom w:val="nil"/>
              <w:right w:val="nil"/>
            </w:tcBorders>
            <w:shd w:val="clear" w:color="auto" w:fill="auto"/>
            <w:vAlign w:val="bottom"/>
          </w:tcPr>
          <w:p w:rsidR="0010182D" w:rsidRPr="00E97160"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3 302 562</w:t>
            </w:r>
          </w:p>
        </w:tc>
        <w:tc>
          <w:tcPr>
            <w:tcW w:w="1157" w:type="dxa"/>
            <w:tcBorders>
              <w:top w:val="nil"/>
              <w:left w:val="nil"/>
              <w:bottom w:val="nil"/>
              <w:right w:val="nil"/>
            </w:tcBorders>
            <w:shd w:val="clear" w:color="auto" w:fill="auto"/>
            <w:vAlign w:val="bottom"/>
            <w:hideMark/>
          </w:tcPr>
          <w:p w:rsidR="0010182D" w:rsidRPr="005666A8" w:rsidRDefault="0010182D"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nil"/>
              <w:left w:val="nil"/>
              <w:bottom w:val="nil"/>
              <w:right w:val="nil"/>
            </w:tcBorders>
            <w:shd w:val="clear" w:color="auto" w:fill="auto"/>
            <w:vAlign w:val="bottom"/>
            <w:hideMark/>
          </w:tcPr>
          <w:p w:rsidR="0010182D" w:rsidRPr="00851A11" w:rsidRDefault="0010182D"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85" w:type="dxa"/>
            <w:tcBorders>
              <w:top w:val="nil"/>
              <w:left w:val="nil"/>
              <w:bottom w:val="nil"/>
              <w:right w:val="nil"/>
            </w:tcBorders>
            <w:shd w:val="clear" w:color="auto" w:fill="auto"/>
            <w:vAlign w:val="bottom"/>
            <w:hideMark/>
          </w:tcPr>
          <w:p w:rsidR="0010182D" w:rsidRPr="00D473B1"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 xml:space="preserve">3 311 369 </w:t>
            </w:r>
          </w:p>
        </w:tc>
        <w:tc>
          <w:tcPr>
            <w:tcW w:w="1157" w:type="dxa"/>
            <w:tcBorders>
              <w:top w:val="nil"/>
              <w:left w:val="nil"/>
              <w:bottom w:val="nil"/>
              <w:right w:val="nil"/>
            </w:tcBorders>
            <w:shd w:val="clear" w:color="auto" w:fill="auto"/>
            <w:vAlign w:val="bottom"/>
            <w:hideMark/>
          </w:tcPr>
          <w:p w:rsidR="0010182D" w:rsidRPr="00D473B1" w:rsidRDefault="0010182D"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nil"/>
              <w:left w:val="nil"/>
              <w:bottom w:val="nil"/>
              <w:right w:val="nil"/>
            </w:tcBorders>
            <w:shd w:val="clear" w:color="auto" w:fill="auto"/>
            <w:vAlign w:val="bottom"/>
            <w:hideMark/>
          </w:tcPr>
          <w:p w:rsidR="0010182D" w:rsidRPr="00D473B1" w:rsidRDefault="001E0477"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r>
      <w:tr w:rsidR="0010182D" w:rsidRPr="006149A9" w:rsidTr="00DC2EF7">
        <w:trPr>
          <w:trHeight w:val="225"/>
        </w:trPr>
        <w:tc>
          <w:tcPr>
            <w:tcW w:w="2876" w:type="dxa"/>
            <w:tcBorders>
              <w:top w:val="nil"/>
              <w:left w:val="nil"/>
              <w:bottom w:val="nil"/>
              <w:right w:val="nil"/>
            </w:tcBorders>
            <w:shd w:val="clear" w:color="auto" w:fill="auto"/>
            <w:vAlign w:val="bottom"/>
            <w:hideMark/>
          </w:tcPr>
          <w:p w:rsidR="0010182D" w:rsidRPr="006149A9" w:rsidRDefault="0010182D" w:rsidP="001E0477">
            <w:pPr>
              <w:overflowPunct/>
              <w:autoSpaceDE/>
              <w:autoSpaceDN/>
              <w:adjustRightInd/>
              <w:textAlignment w:val="auto"/>
              <w:rPr>
                <w:rFonts w:cs="Arial"/>
                <w:sz w:val="16"/>
                <w:szCs w:val="16"/>
                <w:highlight w:val="yellow"/>
                <w:lang w:val="ru-RU" w:eastAsia="ru-RU"/>
              </w:rPr>
            </w:pPr>
            <w:r w:rsidRPr="00C820B1">
              <w:rPr>
                <w:rFonts w:cs="Arial"/>
                <w:sz w:val="16"/>
                <w:szCs w:val="16"/>
                <w:lang w:val="ru-RU" w:eastAsia="ru-RU"/>
              </w:rPr>
              <w:t>облигации прочих нерезидентов</w:t>
            </w:r>
          </w:p>
        </w:tc>
        <w:tc>
          <w:tcPr>
            <w:tcW w:w="1085" w:type="dxa"/>
            <w:tcBorders>
              <w:top w:val="nil"/>
              <w:left w:val="nil"/>
              <w:right w:val="nil"/>
            </w:tcBorders>
            <w:shd w:val="clear" w:color="auto" w:fill="auto"/>
            <w:vAlign w:val="bottom"/>
          </w:tcPr>
          <w:p w:rsidR="0010182D" w:rsidRPr="003E7542"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152 980</w:t>
            </w:r>
          </w:p>
        </w:tc>
        <w:tc>
          <w:tcPr>
            <w:tcW w:w="1157" w:type="dxa"/>
            <w:tcBorders>
              <w:top w:val="nil"/>
              <w:left w:val="nil"/>
              <w:right w:val="nil"/>
            </w:tcBorders>
            <w:shd w:val="clear" w:color="auto" w:fill="auto"/>
            <w:vAlign w:val="bottom"/>
            <w:hideMark/>
          </w:tcPr>
          <w:p w:rsidR="0010182D" w:rsidRPr="00686113"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14" w:type="dxa"/>
            <w:tcBorders>
              <w:top w:val="nil"/>
              <w:left w:val="nil"/>
              <w:right w:val="nil"/>
            </w:tcBorders>
            <w:shd w:val="clear" w:color="auto" w:fill="auto"/>
            <w:vAlign w:val="bottom"/>
            <w:hideMark/>
          </w:tcPr>
          <w:p w:rsidR="0010182D" w:rsidRPr="005508FB" w:rsidRDefault="0010182D"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85" w:type="dxa"/>
            <w:tcBorders>
              <w:top w:val="nil"/>
              <w:left w:val="nil"/>
              <w:right w:val="nil"/>
            </w:tcBorders>
            <w:shd w:val="clear" w:color="auto" w:fill="auto"/>
            <w:vAlign w:val="bottom"/>
            <w:hideMark/>
          </w:tcPr>
          <w:p w:rsidR="0010182D" w:rsidRPr="006149A9" w:rsidRDefault="0010182D" w:rsidP="001E0477">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 xml:space="preserve">40 586 </w:t>
            </w:r>
          </w:p>
        </w:tc>
        <w:tc>
          <w:tcPr>
            <w:tcW w:w="1157" w:type="dxa"/>
            <w:tcBorders>
              <w:top w:val="nil"/>
              <w:left w:val="nil"/>
              <w:right w:val="nil"/>
            </w:tcBorders>
            <w:shd w:val="clear" w:color="auto" w:fill="auto"/>
            <w:vAlign w:val="bottom"/>
            <w:hideMark/>
          </w:tcPr>
          <w:p w:rsidR="0010182D" w:rsidRPr="006149A9" w:rsidRDefault="0010182D" w:rsidP="001E0477">
            <w:pPr>
              <w:overflowPunct/>
              <w:autoSpaceDE/>
              <w:autoSpaceDN/>
              <w:adjustRightInd/>
              <w:jc w:val="center"/>
              <w:textAlignment w:val="auto"/>
              <w:rPr>
                <w:rFonts w:cs="Arial"/>
                <w:sz w:val="16"/>
                <w:szCs w:val="16"/>
                <w:highlight w:val="yellow"/>
                <w:lang w:val="ru-RU" w:eastAsia="ru-RU"/>
              </w:rPr>
            </w:pPr>
            <w:r w:rsidRPr="005508FB">
              <w:rPr>
                <w:rFonts w:ascii="Arial CYR" w:hAnsi="Arial CYR" w:cs="Arial CYR"/>
                <w:sz w:val="16"/>
                <w:szCs w:val="16"/>
                <w:lang w:val="en-US" w:eastAsia="ru-RU"/>
              </w:rPr>
              <w:t>1</w:t>
            </w:r>
            <w:r>
              <w:rPr>
                <w:rFonts w:ascii="Arial CYR" w:hAnsi="Arial CYR" w:cs="Arial CYR"/>
                <w:sz w:val="16"/>
                <w:szCs w:val="16"/>
                <w:lang w:val="ru-RU" w:eastAsia="ru-RU"/>
              </w:rPr>
              <w:t> </w:t>
            </w:r>
            <w:r>
              <w:rPr>
                <w:rFonts w:ascii="Arial CYR" w:hAnsi="Arial CYR" w:cs="Arial CYR"/>
                <w:sz w:val="16"/>
                <w:szCs w:val="16"/>
                <w:lang w:val="en-US" w:eastAsia="ru-RU"/>
              </w:rPr>
              <w:t>438 772</w:t>
            </w:r>
          </w:p>
        </w:tc>
        <w:tc>
          <w:tcPr>
            <w:tcW w:w="1014" w:type="dxa"/>
            <w:tcBorders>
              <w:top w:val="nil"/>
              <w:left w:val="nil"/>
              <w:right w:val="nil"/>
            </w:tcBorders>
            <w:shd w:val="clear" w:color="auto" w:fill="auto"/>
            <w:vAlign w:val="bottom"/>
            <w:hideMark/>
          </w:tcPr>
          <w:p w:rsidR="0010182D" w:rsidRPr="006149A9" w:rsidRDefault="001E0477" w:rsidP="001E0477">
            <w:pPr>
              <w:overflowPunct/>
              <w:autoSpaceDE/>
              <w:autoSpaceDN/>
              <w:adjustRightInd/>
              <w:jc w:val="center"/>
              <w:textAlignment w:val="auto"/>
              <w:rPr>
                <w:rFonts w:cs="Arial"/>
                <w:sz w:val="16"/>
                <w:szCs w:val="16"/>
                <w:highlight w:val="yellow"/>
                <w:lang w:val="ru-RU" w:eastAsia="ru-RU"/>
              </w:rPr>
            </w:pPr>
            <w:r w:rsidRPr="001E0477">
              <w:rPr>
                <w:rFonts w:cs="Arial"/>
                <w:sz w:val="16"/>
                <w:szCs w:val="16"/>
                <w:lang w:val="ru-RU" w:eastAsia="ru-RU"/>
              </w:rPr>
              <w:t>-</w:t>
            </w:r>
          </w:p>
        </w:tc>
      </w:tr>
      <w:tr w:rsidR="00DC2EF7" w:rsidRPr="006149A9" w:rsidTr="00DC2EF7">
        <w:trPr>
          <w:trHeight w:val="225"/>
        </w:trPr>
        <w:tc>
          <w:tcPr>
            <w:tcW w:w="2876" w:type="dxa"/>
            <w:tcBorders>
              <w:top w:val="nil"/>
              <w:left w:val="nil"/>
              <w:bottom w:val="nil"/>
              <w:right w:val="nil"/>
            </w:tcBorders>
            <w:shd w:val="clear" w:color="auto" w:fill="auto"/>
            <w:vAlign w:val="bottom"/>
          </w:tcPr>
          <w:p w:rsidR="00DC2EF7" w:rsidRDefault="00DC2EF7" w:rsidP="001E0477">
            <w:pPr>
              <w:overflowPunct/>
              <w:autoSpaceDE/>
              <w:autoSpaceDN/>
              <w:adjustRightInd/>
              <w:textAlignment w:val="auto"/>
              <w:rPr>
                <w:rFonts w:cs="Arial"/>
                <w:b/>
                <w:sz w:val="16"/>
                <w:szCs w:val="16"/>
                <w:lang w:val="ru-RU" w:eastAsia="ru-RU"/>
              </w:rPr>
            </w:pPr>
          </w:p>
          <w:p w:rsidR="00DC2EF7" w:rsidRPr="00DC2EF7" w:rsidRDefault="00DC2EF7" w:rsidP="001E0477">
            <w:pPr>
              <w:overflowPunct/>
              <w:autoSpaceDE/>
              <w:autoSpaceDN/>
              <w:adjustRightInd/>
              <w:textAlignment w:val="auto"/>
              <w:rPr>
                <w:rFonts w:cs="Arial"/>
                <w:b/>
                <w:sz w:val="16"/>
                <w:szCs w:val="16"/>
                <w:lang w:val="ru-RU" w:eastAsia="ru-RU"/>
              </w:rPr>
            </w:pPr>
            <w:r w:rsidRPr="00DC2EF7">
              <w:rPr>
                <w:rFonts w:cs="Arial"/>
                <w:b/>
                <w:sz w:val="16"/>
                <w:szCs w:val="16"/>
                <w:lang w:val="ru-RU" w:eastAsia="ru-RU"/>
              </w:rPr>
              <w:t>Долевые ценные бумаги, всего</w:t>
            </w:r>
          </w:p>
        </w:tc>
        <w:tc>
          <w:tcPr>
            <w:tcW w:w="1085" w:type="dxa"/>
            <w:tcBorders>
              <w:top w:val="nil"/>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nil"/>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14" w:type="dxa"/>
            <w:tcBorders>
              <w:top w:val="nil"/>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85" w:type="dxa"/>
            <w:tcBorders>
              <w:top w:val="nil"/>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nil"/>
              <w:left w:val="nil"/>
              <w:bottom w:val="single" w:sz="4" w:space="0" w:color="auto"/>
              <w:right w:val="nil"/>
            </w:tcBorders>
            <w:shd w:val="clear" w:color="auto" w:fill="auto"/>
            <w:vAlign w:val="bottom"/>
          </w:tcPr>
          <w:p w:rsidR="00DC2EF7" w:rsidRPr="00DC2EF7" w:rsidRDefault="00DC2EF7"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nil"/>
              <w:left w:val="nil"/>
              <w:bottom w:val="single" w:sz="4" w:space="0" w:color="auto"/>
              <w:right w:val="nil"/>
            </w:tcBorders>
            <w:shd w:val="clear" w:color="auto" w:fill="auto"/>
            <w:vAlign w:val="bottom"/>
          </w:tcPr>
          <w:p w:rsidR="00DC2EF7" w:rsidRPr="001E047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DC2EF7" w:rsidRPr="006149A9" w:rsidTr="00DC2EF7">
        <w:trPr>
          <w:trHeight w:val="225"/>
        </w:trPr>
        <w:tc>
          <w:tcPr>
            <w:tcW w:w="2876" w:type="dxa"/>
            <w:tcBorders>
              <w:top w:val="nil"/>
              <w:left w:val="nil"/>
              <w:bottom w:val="single" w:sz="4" w:space="0" w:color="auto"/>
              <w:right w:val="nil"/>
            </w:tcBorders>
            <w:shd w:val="clear" w:color="auto" w:fill="auto"/>
            <w:vAlign w:val="bottom"/>
          </w:tcPr>
          <w:p w:rsidR="00DC2EF7" w:rsidRPr="00DC2EF7" w:rsidRDefault="00DC2EF7" w:rsidP="001E0477">
            <w:pPr>
              <w:overflowPunct/>
              <w:autoSpaceDE/>
              <w:autoSpaceDN/>
              <w:adjustRightInd/>
              <w:textAlignment w:val="auto"/>
              <w:rPr>
                <w:rFonts w:cs="Arial"/>
                <w:b/>
                <w:sz w:val="16"/>
                <w:szCs w:val="16"/>
                <w:lang w:val="ru-RU" w:eastAsia="ru-RU"/>
              </w:rPr>
            </w:pPr>
            <w:r w:rsidRPr="00DC2EF7">
              <w:rPr>
                <w:rFonts w:cs="Arial"/>
                <w:b/>
                <w:sz w:val="16"/>
                <w:szCs w:val="16"/>
                <w:lang w:val="ru-RU" w:eastAsia="ru-RU"/>
              </w:rPr>
              <w:t>Производные финансовые инструменты, всего</w:t>
            </w:r>
          </w:p>
        </w:tc>
        <w:tc>
          <w:tcPr>
            <w:tcW w:w="1085" w:type="dxa"/>
            <w:tcBorders>
              <w:top w:val="single" w:sz="4" w:space="0" w:color="auto"/>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single" w:sz="4" w:space="0" w:color="auto"/>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14" w:type="dxa"/>
            <w:tcBorders>
              <w:top w:val="single" w:sz="4" w:space="0" w:color="auto"/>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085" w:type="dxa"/>
            <w:tcBorders>
              <w:top w:val="single" w:sz="4" w:space="0" w:color="auto"/>
              <w:left w:val="nil"/>
              <w:bottom w:val="single" w:sz="4" w:space="0" w:color="auto"/>
              <w:right w:val="nil"/>
            </w:tcBorders>
            <w:shd w:val="clear" w:color="auto" w:fill="auto"/>
            <w:vAlign w:val="bottom"/>
          </w:tcPr>
          <w:p w:rsidR="00DC2EF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157" w:type="dxa"/>
            <w:tcBorders>
              <w:top w:val="single" w:sz="4" w:space="0" w:color="auto"/>
              <w:left w:val="nil"/>
              <w:bottom w:val="single" w:sz="4" w:space="0" w:color="auto"/>
              <w:right w:val="nil"/>
            </w:tcBorders>
            <w:shd w:val="clear" w:color="auto" w:fill="auto"/>
            <w:vAlign w:val="bottom"/>
          </w:tcPr>
          <w:p w:rsidR="00DC2EF7" w:rsidRPr="00DC2EF7" w:rsidRDefault="00DC2EF7" w:rsidP="001E0477">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014" w:type="dxa"/>
            <w:tcBorders>
              <w:top w:val="single" w:sz="4" w:space="0" w:color="auto"/>
              <w:left w:val="nil"/>
              <w:bottom w:val="single" w:sz="4" w:space="0" w:color="auto"/>
              <w:right w:val="nil"/>
            </w:tcBorders>
            <w:shd w:val="clear" w:color="auto" w:fill="auto"/>
            <w:vAlign w:val="bottom"/>
          </w:tcPr>
          <w:p w:rsidR="00DC2EF7" w:rsidRPr="001E0477" w:rsidRDefault="00DC2EF7" w:rsidP="001E0477">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10182D" w:rsidRPr="00F24AA4" w:rsidTr="00DC2EF7">
        <w:tblPrEx>
          <w:tblBorders>
            <w:top w:val="single" w:sz="4" w:space="0" w:color="auto"/>
            <w:bottom w:val="double" w:sz="6" w:space="0" w:color="auto"/>
          </w:tblBorders>
        </w:tblPrEx>
        <w:trPr>
          <w:trHeight w:val="240"/>
        </w:trPr>
        <w:tc>
          <w:tcPr>
            <w:tcW w:w="2876" w:type="dxa"/>
            <w:tcBorders>
              <w:top w:val="single" w:sz="4" w:space="0" w:color="auto"/>
              <w:bottom w:val="double" w:sz="6" w:space="0" w:color="auto"/>
            </w:tcBorders>
            <w:shd w:val="clear" w:color="auto" w:fill="auto"/>
            <w:vAlign w:val="bottom"/>
            <w:hideMark/>
          </w:tcPr>
          <w:p w:rsidR="0010182D" w:rsidRPr="00F24AA4" w:rsidRDefault="0010182D" w:rsidP="001E0477">
            <w:pPr>
              <w:overflowPunct/>
              <w:autoSpaceDE/>
              <w:autoSpaceDN/>
              <w:adjustRightInd/>
              <w:textAlignment w:val="auto"/>
              <w:rPr>
                <w:rFonts w:cs="Arial"/>
                <w:b/>
                <w:bCs/>
                <w:sz w:val="16"/>
                <w:szCs w:val="16"/>
                <w:lang w:val="ru-RU" w:eastAsia="ru-RU"/>
              </w:rPr>
            </w:pPr>
            <w:r w:rsidRPr="00DC2EF7">
              <w:rPr>
                <w:sz w:val="20"/>
                <w:szCs w:val="20"/>
                <w:lang w:val="ru-RU"/>
              </w:rPr>
              <w:t xml:space="preserve"> </w:t>
            </w:r>
            <w:r w:rsidRPr="00DC2EF7">
              <w:rPr>
                <w:rFonts w:cs="Arial"/>
                <w:b/>
                <w:bCs/>
                <w:sz w:val="16"/>
                <w:szCs w:val="16"/>
                <w:lang w:val="ru-RU" w:eastAsia="ru-RU"/>
              </w:rPr>
              <w:t>Итого</w:t>
            </w:r>
          </w:p>
        </w:tc>
        <w:tc>
          <w:tcPr>
            <w:tcW w:w="1085" w:type="dxa"/>
            <w:tcBorders>
              <w:top w:val="single" w:sz="4" w:space="0" w:color="auto"/>
              <w:bottom w:val="double" w:sz="6" w:space="0" w:color="auto"/>
            </w:tcBorders>
            <w:shd w:val="clear" w:color="auto" w:fill="auto"/>
            <w:vAlign w:val="bottom"/>
            <w:hideMark/>
          </w:tcPr>
          <w:p w:rsidR="0010182D" w:rsidRPr="00851A11" w:rsidRDefault="0010182D" w:rsidP="001E0477">
            <w:pPr>
              <w:overflowPunct/>
              <w:autoSpaceDE/>
              <w:autoSpaceDN/>
              <w:adjustRightInd/>
              <w:jc w:val="center"/>
              <w:textAlignment w:val="auto"/>
              <w:rPr>
                <w:rFonts w:cs="Arial"/>
                <w:b/>
                <w:bCs/>
                <w:sz w:val="16"/>
                <w:szCs w:val="16"/>
                <w:lang w:val="ru-RU" w:eastAsia="ru-RU"/>
              </w:rPr>
            </w:pPr>
            <w:r>
              <w:rPr>
                <w:rFonts w:cs="Arial"/>
                <w:b/>
                <w:bCs/>
                <w:sz w:val="16"/>
                <w:szCs w:val="16"/>
                <w:lang w:val="en-US" w:eastAsia="ru-RU"/>
              </w:rPr>
              <w:t>5 </w:t>
            </w:r>
            <w:r>
              <w:rPr>
                <w:rFonts w:cs="Arial"/>
                <w:b/>
                <w:bCs/>
                <w:sz w:val="16"/>
                <w:szCs w:val="16"/>
                <w:lang w:val="ru-RU" w:eastAsia="ru-RU"/>
              </w:rPr>
              <w:t>140</w:t>
            </w:r>
            <w:r w:rsidR="00FD7EE7">
              <w:rPr>
                <w:rFonts w:cs="Arial"/>
                <w:b/>
                <w:bCs/>
                <w:sz w:val="16"/>
                <w:szCs w:val="16"/>
                <w:lang w:val="ru-RU" w:eastAsia="ru-RU"/>
              </w:rPr>
              <w:t> </w:t>
            </w:r>
            <w:r>
              <w:rPr>
                <w:rFonts w:cs="Arial"/>
                <w:b/>
                <w:bCs/>
                <w:sz w:val="16"/>
                <w:szCs w:val="16"/>
                <w:lang w:val="ru-RU" w:eastAsia="ru-RU"/>
              </w:rPr>
              <w:t>870</w:t>
            </w:r>
          </w:p>
        </w:tc>
        <w:tc>
          <w:tcPr>
            <w:tcW w:w="1157" w:type="dxa"/>
            <w:tcBorders>
              <w:top w:val="single" w:sz="4" w:space="0" w:color="auto"/>
              <w:bottom w:val="double" w:sz="6" w:space="0" w:color="auto"/>
            </w:tcBorders>
            <w:shd w:val="clear" w:color="auto" w:fill="auto"/>
            <w:vAlign w:val="bottom"/>
            <w:hideMark/>
          </w:tcPr>
          <w:p w:rsidR="0010182D" w:rsidRPr="00FD7EE7" w:rsidRDefault="00FD7EE7" w:rsidP="00FD7EE7">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c>
          <w:tcPr>
            <w:tcW w:w="1014" w:type="dxa"/>
            <w:tcBorders>
              <w:top w:val="single" w:sz="4" w:space="0" w:color="auto"/>
            </w:tcBorders>
            <w:shd w:val="clear" w:color="auto" w:fill="auto"/>
            <w:vAlign w:val="bottom"/>
            <w:hideMark/>
          </w:tcPr>
          <w:p w:rsidR="0010182D" w:rsidRPr="005508FB" w:rsidRDefault="0010182D" w:rsidP="001E0477">
            <w:pPr>
              <w:overflowPunct/>
              <w:autoSpaceDE/>
              <w:autoSpaceDN/>
              <w:adjustRightInd/>
              <w:jc w:val="center"/>
              <w:textAlignment w:val="auto"/>
              <w:rPr>
                <w:rFonts w:cs="Arial"/>
                <w:b/>
                <w:bCs/>
                <w:sz w:val="16"/>
                <w:szCs w:val="16"/>
                <w:lang w:val="en-US" w:eastAsia="ru-RU"/>
              </w:rPr>
            </w:pPr>
            <w:r w:rsidRPr="005508FB">
              <w:rPr>
                <w:rFonts w:cs="Arial"/>
                <w:b/>
                <w:bCs/>
                <w:sz w:val="16"/>
                <w:szCs w:val="16"/>
                <w:lang w:val="en-US" w:eastAsia="ru-RU"/>
              </w:rPr>
              <w:t>-</w:t>
            </w:r>
          </w:p>
        </w:tc>
        <w:tc>
          <w:tcPr>
            <w:tcW w:w="1085" w:type="dxa"/>
            <w:tcBorders>
              <w:top w:val="single" w:sz="4" w:space="0" w:color="auto"/>
            </w:tcBorders>
            <w:shd w:val="clear" w:color="auto" w:fill="auto"/>
            <w:vAlign w:val="bottom"/>
            <w:hideMark/>
          </w:tcPr>
          <w:p w:rsidR="0010182D" w:rsidRPr="00F24AA4" w:rsidRDefault="0010182D" w:rsidP="001E0477">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 xml:space="preserve">4 781 602 </w:t>
            </w:r>
          </w:p>
        </w:tc>
        <w:tc>
          <w:tcPr>
            <w:tcW w:w="1157" w:type="dxa"/>
            <w:tcBorders>
              <w:top w:val="single" w:sz="4" w:space="0" w:color="auto"/>
            </w:tcBorders>
            <w:shd w:val="clear" w:color="auto" w:fill="auto"/>
            <w:vAlign w:val="bottom"/>
            <w:hideMark/>
          </w:tcPr>
          <w:p w:rsidR="0010182D" w:rsidRPr="00F24AA4" w:rsidRDefault="0010182D" w:rsidP="001E0477">
            <w:pPr>
              <w:overflowPunct/>
              <w:autoSpaceDE/>
              <w:autoSpaceDN/>
              <w:adjustRightInd/>
              <w:jc w:val="center"/>
              <w:textAlignment w:val="auto"/>
              <w:rPr>
                <w:rFonts w:cs="Arial"/>
                <w:b/>
                <w:bCs/>
                <w:sz w:val="16"/>
                <w:szCs w:val="16"/>
                <w:lang w:val="en-US" w:eastAsia="ru-RU"/>
              </w:rPr>
            </w:pPr>
            <w:r w:rsidRPr="005508FB">
              <w:rPr>
                <w:rFonts w:cs="Arial"/>
                <w:b/>
                <w:bCs/>
                <w:sz w:val="16"/>
                <w:szCs w:val="16"/>
                <w:lang w:val="ru-RU" w:eastAsia="ru-RU"/>
              </w:rPr>
              <w:t>1</w:t>
            </w:r>
            <w:r>
              <w:rPr>
                <w:rFonts w:cs="Arial"/>
                <w:b/>
                <w:bCs/>
                <w:sz w:val="16"/>
                <w:szCs w:val="16"/>
                <w:lang w:val="ru-RU" w:eastAsia="ru-RU"/>
              </w:rPr>
              <w:t xml:space="preserve"> </w:t>
            </w:r>
            <w:r>
              <w:rPr>
                <w:rFonts w:cs="Arial"/>
                <w:b/>
                <w:bCs/>
                <w:sz w:val="16"/>
                <w:szCs w:val="16"/>
                <w:lang w:val="en-US" w:eastAsia="ru-RU"/>
              </w:rPr>
              <w:t>438 772</w:t>
            </w:r>
          </w:p>
        </w:tc>
        <w:tc>
          <w:tcPr>
            <w:tcW w:w="1014" w:type="dxa"/>
            <w:tcBorders>
              <w:top w:val="single" w:sz="4" w:space="0" w:color="auto"/>
            </w:tcBorders>
            <w:shd w:val="clear" w:color="auto" w:fill="auto"/>
            <w:vAlign w:val="bottom"/>
            <w:hideMark/>
          </w:tcPr>
          <w:p w:rsidR="0010182D" w:rsidRPr="00F24AA4" w:rsidRDefault="0010182D" w:rsidP="001E0477">
            <w:pPr>
              <w:overflowPunct/>
              <w:autoSpaceDE/>
              <w:autoSpaceDN/>
              <w:adjustRightInd/>
              <w:jc w:val="center"/>
              <w:textAlignment w:val="auto"/>
              <w:rPr>
                <w:rFonts w:cs="Arial"/>
                <w:b/>
                <w:bCs/>
                <w:sz w:val="16"/>
                <w:szCs w:val="16"/>
                <w:lang w:val="ru-RU" w:eastAsia="ru-RU"/>
              </w:rPr>
            </w:pPr>
            <w:r w:rsidRPr="005508FB">
              <w:rPr>
                <w:rFonts w:cs="Arial"/>
                <w:b/>
                <w:bCs/>
                <w:sz w:val="16"/>
                <w:szCs w:val="16"/>
                <w:lang w:val="en-US" w:eastAsia="ru-RU"/>
              </w:rPr>
              <w:t>-</w:t>
            </w:r>
          </w:p>
        </w:tc>
      </w:tr>
    </w:tbl>
    <w:p w:rsidR="0010182D" w:rsidRDefault="0010182D" w:rsidP="0010182D">
      <w:pPr>
        <w:pStyle w:val="2normal"/>
        <w:jc w:val="both"/>
        <w:rPr>
          <w:sz w:val="20"/>
          <w:szCs w:val="20"/>
          <w:highlight w:val="yellow"/>
          <w:lang w:val="ru-RU"/>
        </w:rPr>
      </w:pPr>
    </w:p>
    <w:p w:rsidR="0010182D" w:rsidRDefault="0010182D" w:rsidP="0010182D">
      <w:pPr>
        <w:pStyle w:val="2normal"/>
        <w:jc w:val="both"/>
        <w:rPr>
          <w:sz w:val="20"/>
          <w:szCs w:val="20"/>
          <w:lang w:val="ru-RU"/>
        </w:rPr>
      </w:pPr>
      <w:r w:rsidRPr="00631B73">
        <w:rPr>
          <w:sz w:val="20"/>
          <w:szCs w:val="20"/>
          <w:lang w:val="ru-RU"/>
        </w:rPr>
        <w:lastRenderedPageBreak/>
        <w:t>За 3</w:t>
      </w:r>
      <w:r>
        <w:rPr>
          <w:sz w:val="20"/>
          <w:szCs w:val="20"/>
          <w:lang w:val="ru-RU"/>
        </w:rPr>
        <w:t xml:space="preserve">1 декабря </w:t>
      </w:r>
      <w:r w:rsidRPr="00631B73">
        <w:rPr>
          <w:sz w:val="20"/>
          <w:szCs w:val="20"/>
          <w:lang w:val="ru-RU"/>
        </w:rPr>
        <w:t>201</w:t>
      </w:r>
      <w:r>
        <w:rPr>
          <w:sz w:val="20"/>
          <w:szCs w:val="20"/>
          <w:lang w:val="ru-RU"/>
        </w:rPr>
        <w:t>8</w:t>
      </w:r>
      <w:r w:rsidRPr="00631B73">
        <w:rPr>
          <w:sz w:val="20"/>
          <w:szCs w:val="20"/>
          <w:lang w:val="ru-RU"/>
        </w:rPr>
        <w:t xml:space="preserve"> года долговые обязательства включают в себя облигации со следующими </w:t>
      </w:r>
      <w:r>
        <w:rPr>
          <w:sz w:val="20"/>
          <w:szCs w:val="20"/>
          <w:lang w:val="ru-RU"/>
        </w:rPr>
        <w:t>п</w:t>
      </w:r>
      <w:r w:rsidRPr="00631B73">
        <w:rPr>
          <w:sz w:val="20"/>
          <w:szCs w:val="20"/>
          <w:lang w:val="ru-RU"/>
        </w:rPr>
        <w:t xml:space="preserve">араметрами:   </w:t>
      </w:r>
    </w:p>
    <w:p w:rsidR="003377B1" w:rsidRPr="00631B73" w:rsidRDefault="003377B1" w:rsidP="0010182D">
      <w:pPr>
        <w:pStyle w:val="2normal"/>
        <w:jc w:val="both"/>
        <w:rPr>
          <w:sz w:val="20"/>
          <w:szCs w:val="20"/>
          <w:lang w:val="ru-RU"/>
        </w:rPr>
      </w:pPr>
    </w:p>
    <w:tbl>
      <w:tblPr>
        <w:tblStyle w:val="affc"/>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29"/>
        <w:gridCol w:w="1057"/>
        <w:gridCol w:w="1202"/>
        <w:gridCol w:w="1713"/>
        <w:gridCol w:w="1314"/>
        <w:gridCol w:w="1553"/>
      </w:tblGrid>
      <w:tr w:rsidR="0010182D" w:rsidRPr="00190657" w:rsidTr="001E0477">
        <w:tc>
          <w:tcPr>
            <w:tcW w:w="2629"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Тип э</w:t>
            </w:r>
            <w:r w:rsidRPr="00422456">
              <w:rPr>
                <w:rFonts w:cs="Arial"/>
                <w:b/>
                <w:bCs/>
                <w:sz w:val="16"/>
                <w:szCs w:val="16"/>
                <w:lang w:val="ru-RU" w:eastAsia="ru-RU"/>
              </w:rPr>
              <w:t>митент</w:t>
            </w:r>
            <w:r>
              <w:rPr>
                <w:rFonts w:cs="Arial"/>
                <w:b/>
                <w:bCs/>
                <w:sz w:val="16"/>
                <w:szCs w:val="16"/>
                <w:lang w:val="ru-RU" w:eastAsia="ru-RU"/>
              </w:rPr>
              <w:t>а</w:t>
            </w:r>
          </w:p>
        </w:tc>
        <w:tc>
          <w:tcPr>
            <w:tcW w:w="1057" w:type="dxa"/>
            <w:tcBorders>
              <w:top w:val="single" w:sz="4" w:space="0" w:color="auto"/>
              <w:bottom w:val="single" w:sz="4" w:space="0" w:color="auto"/>
            </w:tcBorders>
            <w:vAlign w:val="center"/>
          </w:tcPr>
          <w:p w:rsidR="0010182D"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СС,</w:t>
            </w:r>
          </w:p>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руб.</w:t>
            </w:r>
          </w:p>
        </w:tc>
        <w:tc>
          <w:tcPr>
            <w:tcW w:w="1202"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Количест</w:t>
            </w:r>
            <w:r w:rsidRPr="00422456">
              <w:rPr>
                <w:rFonts w:cs="Arial"/>
                <w:b/>
                <w:bCs/>
                <w:sz w:val="16"/>
                <w:szCs w:val="16"/>
                <w:lang w:val="ru-RU" w:eastAsia="ru-RU"/>
              </w:rPr>
              <w:t>во,</w:t>
            </w:r>
          </w:p>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шт</w:t>
            </w:r>
          </w:p>
        </w:tc>
        <w:tc>
          <w:tcPr>
            <w:tcW w:w="1713"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Ближайшая дата погашения/оферта</w:t>
            </w:r>
          </w:p>
        </w:tc>
        <w:tc>
          <w:tcPr>
            <w:tcW w:w="1314"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Конечная дата погашения/ оферта</w:t>
            </w:r>
          </w:p>
        </w:tc>
        <w:tc>
          <w:tcPr>
            <w:tcW w:w="1553"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С</w:t>
            </w:r>
            <w:r w:rsidRPr="00422456">
              <w:rPr>
                <w:rFonts w:cs="Arial"/>
                <w:b/>
                <w:bCs/>
                <w:sz w:val="16"/>
                <w:szCs w:val="16"/>
                <w:lang w:val="ru-RU" w:eastAsia="ru-RU"/>
              </w:rPr>
              <w:t>тавка по купону в %</w:t>
            </w:r>
          </w:p>
        </w:tc>
      </w:tr>
      <w:tr w:rsidR="0010182D" w:rsidRPr="002348CD" w:rsidTr="001E0477">
        <w:tc>
          <w:tcPr>
            <w:tcW w:w="2629" w:type="dxa"/>
            <w:tcBorders>
              <w:top w:val="single" w:sz="4" w:space="0" w:color="auto"/>
              <w:bottom w:val="sing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Облигации Российской Федерации</w:t>
            </w:r>
          </w:p>
        </w:tc>
        <w:tc>
          <w:tcPr>
            <w:tcW w:w="1057" w:type="dxa"/>
            <w:tcBorders>
              <w:top w:val="single" w:sz="4" w:space="0" w:color="auto"/>
              <w:bottom w:val="single" w:sz="4" w:space="0" w:color="auto"/>
            </w:tcBorders>
            <w:vAlign w:val="center"/>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391 040</w:t>
            </w:r>
          </w:p>
        </w:tc>
        <w:tc>
          <w:tcPr>
            <w:tcW w:w="1202" w:type="dxa"/>
            <w:tcBorders>
              <w:top w:val="single" w:sz="4" w:space="0" w:color="auto"/>
              <w:bottom w:val="single" w:sz="4" w:space="0" w:color="auto"/>
            </w:tcBorders>
            <w:vAlign w:val="center"/>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384 877</w:t>
            </w:r>
          </w:p>
        </w:tc>
        <w:tc>
          <w:tcPr>
            <w:tcW w:w="1713" w:type="dxa"/>
            <w:tcBorders>
              <w:top w:val="single" w:sz="4" w:space="0" w:color="auto"/>
              <w:bottom w:val="single" w:sz="4" w:space="0" w:color="auto"/>
            </w:tcBorders>
            <w:vAlign w:val="center"/>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27-02-2019</w:t>
            </w:r>
          </w:p>
        </w:tc>
        <w:tc>
          <w:tcPr>
            <w:tcW w:w="1314" w:type="dxa"/>
            <w:tcBorders>
              <w:top w:val="single" w:sz="4" w:space="0" w:color="auto"/>
              <w:bottom w:val="single" w:sz="4" w:space="0" w:color="auto"/>
            </w:tcBorders>
            <w:vAlign w:val="center"/>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25-01-2023</w:t>
            </w:r>
          </w:p>
        </w:tc>
        <w:tc>
          <w:tcPr>
            <w:tcW w:w="1553" w:type="dxa"/>
            <w:tcBorders>
              <w:top w:val="single" w:sz="4" w:space="0" w:color="auto"/>
              <w:bottom w:val="single" w:sz="4" w:space="0" w:color="auto"/>
            </w:tcBorders>
            <w:vAlign w:val="center"/>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6,40 - 7,50</w:t>
            </w:r>
          </w:p>
        </w:tc>
      </w:tr>
      <w:tr w:rsidR="0010182D" w:rsidRPr="002348CD" w:rsidTr="001E0477">
        <w:tc>
          <w:tcPr>
            <w:tcW w:w="2629" w:type="dxa"/>
            <w:tcBorders>
              <w:top w:val="single" w:sz="4" w:space="0" w:color="auto"/>
              <w:bottom w:val="sing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Облигации Банка России</w:t>
            </w:r>
          </w:p>
        </w:tc>
        <w:tc>
          <w:tcPr>
            <w:tcW w:w="1057" w:type="dxa"/>
            <w:tcBorders>
              <w:top w:val="single" w:sz="4" w:space="0" w:color="auto"/>
              <w:bottom w:val="single" w:sz="4" w:space="0" w:color="auto"/>
            </w:tcBorders>
            <w:vAlign w:val="center"/>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819 601</w:t>
            </w:r>
          </w:p>
        </w:tc>
        <w:tc>
          <w:tcPr>
            <w:tcW w:w="1202" w:type="dxa"/>
            <w:tcBorders>
              <w:top w:val="single" w:sz="4" w:space="0" w:color="auto"/>
              <w:bottom w:val="single" w:sz="4" w:space="0" w:color="auto"/>
            </w:tcBorders>
            <w:vAlign w:val="center"/>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810 000</w:t>
            </w:r>
          </w:p>
        </w:tc>
        <w:tc>
          <w:tcPr>
            <w:tcW w:w="1713" w:type="dxa"/>
            <w:tcBorders>
              <w:top w:val="single" w:sz="4" w:space="0" w:color="auto"/>
              <w:bottom w:val="single" w:sz="4" w:space="0" w:color="auto"/>
            </w:tcBorders>
            <w:vAlign w:val="center"/>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16-01-2019</w:t>
            </w:r>
          </w:p>
        </w:tc>
        <w:tc>
          <w:tcPr>
            <w:tcW w:w="1314" w:type="dxa"/>
            <w:tcBorders>
              <w:top w:val="single" w:sz="4" w:space="0" w:color="auto"/>
              <w:bottom w:val="single" w:sz="4" w:space="0" w:color="auto"/>
            </w:tcBorders>
            <w:vAlign w:val="center"/>
          </w:tcPr>
          <w:p w:rsidR="0010182D" w:rsidRPr="00C72095"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13-02-2019</w:t>
            </w:r>
          </w:p>
        </w:tc>
        <w:tc>
          <w:tcPr>
            <w:tcW w:w="1553" w:type="dxa"/>
            <w:tcBorders>
              <w:top w:val="single" w:sz="4" w:space="0" w:color="auto"/>
              <w:bottom w:val="single" w:sz="4" w:space="0" w:color="auto"/>
            </w:tcBorders>
            <w:vAlign w:val="center"/>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7,75</w:t>
            </w:r>
          </w:p>
        </w:tc>
      </w:tr>
      <w:tr w:rsidR="0010182D" w:rsidRPr="000703ED" w:rsidTr="001E0477">
        <w:tc>
          <w:tcPr>
            <w:tcW w:w="2629" w:type="dxa"/>
            <w:tcBorders>
              <w:top w:val="single" w:sz="4" w:space="0" w:color="auto"/>
              <w:bottom w:val="sing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Облигации кредитных организаций</w:t>
            </w:r>
          </w:p>
        </w:tc>
        <w:tc>
          <w:tcPr>
            <w:tcW w:w="1057" w:type="dxa"/>
            <w:tcBorders>
              <w:top w:val="single" w:sz="4" w:space="0" w:color="auto"/>
              <w:bottom w:val="single" w:sz="4" w:space="0" w:color="auto"/>
            </w:tcBorders>
            <w:vAlign w:val="bottom"/>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378 141</w:t>
            </w:r>
          </w:p>
        </w:tc>
        <w:tc>
          <w:tcPr>
            <w:tcW w:w="1202" w:type="dxa"/>
            <w:tcBorders>
              <w:top w:val="single" w:sz="4" w:space="0" w:color="auto"/>
              <w:bottom w:val="single" w:sz="4" w:space="0" w:color="auto"/>
            </w:tcBorders>
            <w:vAlign w:val="bottom"/>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377 707</w:t>
            </w:r>
          </w:p>
        </w:tc>
        <w:tc>
          <w:tcPr>
            <w:tcW w:w="1713" w:type="dxa"/>
            <w:tcBorders>
              <w:top w:val="single" w:sz="4" w:space="0" w:color="auto"/>
              <w:bottom w:val="single" w:sz="4" w:space="0" w:color="auto"/>
            </w:tcBorders>
            <w:vAlign w:val="bottom"/>
          </w:tcPr>
          <w:p w:rsidR="0010182D" w:rsidRPr="00E97E0F"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08-04-2019</w:t>
            </w:r>
          </w:p>
        </w:tc>
        <w:tc>
          <w:tcPr>
            <w:tcW w:w="1314" w:type="dxa"/>
            <w:tcBorders>
              <w:top w:val="single" w:sz="4" w:space="0" w:color="auto"/>
              <w:bottom w:val="single" w:sz="4" w:space="0" w:color="auto"/>
            </w:tcBorders>
            <w:vAlign w:val="bottom"/>
          </w:tcPr>
          <w:p w:rsidR="0010182D" w:rsidRPr="00E97E0F"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09-03-2022</w:t>
            </w:r>
          </w:p>
        </w:tc>
        <w:tc>
          <w:tcPr>
            <w:tcW w:w="1553" w:type="dxa"/>
            <w:tcBorders>
              <w:top w:val="single" w:sz="4" w:space="0" w:color="auto"/>
              <w:bottom w:val="single" w:sz="4" w:space="0" w:color="auto"/>
            </w:tcBorders>
            <w:vAlign w:val="bottom"/>
          </w:tcPr>
          <w:p w:rsidR="0010182D" w:rsidRPr="003E742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6,60 - 8,30</w:t>
            </w:r>
          </w:p>
        </w:tc>
      </w:tr>
      <w:tr w:rsidR="0010182D" w:rsidRPr="000703ED" w:rsidTr="001E0477">
        <w:tc>
          <w:tcPr>
            <w:tcW w:w="2629" w:type="dxa"/>
            <w:tcBorders>
              <w:top w:val="single" w:sz="4" w:space="0" w:color="auto"/>
              <w:bottom w:val="sing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Облигации субъектов РФ</w:t>
            </w:r>
          </w:p>
        </w:tc>
        <w:tc>
          <w:tcPr>
            <w:tcW w:w="1057" w:type="dxa"/>
            <w:tcBorders>
              <w:top w:val="single" w:sz="4" w:space="0" w:color="auto"/>
              <w:bottom w:val="single" w:sz="4" w:space="0" w:color="auto"/>
            </w:tcBorders>
            <w:vAlign w:val="bottom"/>
          </w:tcPr>
          <w:p w:rsidR="0010182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96 546</w:t>
            </w:r>
          </w:p>
        </w:tc>
        <w:tc>
          <w:tcPr>
            <w:tcW w:w="1202" w:type="dxa"/>
            <w:tcBorders>
              <w:top w:val="single" w:sz="4" w:space="0" w:color="auto"/>
              <w:bottom w:val="single" w:sz="4" w:space="0" w:color="auto"/>
            </w:tcBorders>
            <w:vAlign w:val="bottom"/>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94 814</w:t>
            </w:r>
          </w:p>
        </w:tc>
        <w:tc>
          <w:tcPr>
            <w:tcW w:w="1713" w:type="dxa"/>
            <w:tcBorders>
              <w:top w:val="single" w:sz="4" w:space="0" w:color="auto"/>
              <w:bottom w:val="single" w:sz="4" w:space="0" w:color="auto"/>
            </w:tcBorders>
            <w:vAlign w:val="bottom"/>
          </w:tcPr>
          <w:p w:rsidR="0010182D" w:rsidRPr="00E97E0F"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26-06-2025</w:t>
            </w:r>
          </w:p>
        </w:tc>
        <w:tc>
          <w:tcPr>
            <w:tcW w:w="1314" w:type="dxa"/>
            <w:tcBorders>
              <w:top w:val="single" w:sz="4" w:space="0" w:color="auto"/>
              <w:bottom w:val="single" w:sz="4" w:space="0" w:color="auto"/>
            </w:tcBorders>
            <w:vAlign w:val="bottom"/>
          </w:tcPr>
          <w:p w:rsidR="0010182D" w:rsidRPr="00E97E0F"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26-06-2025</w:t>
            </w:r>
          </w:p>
        </w:tc>
        <w:tc>
          <w:tcPr>
            <w:tcW w:w="1553" w:type="dxa"/>
            <w:tcBorders>
              <w:top w:val="single" w:sz="4" w:space="0" w:color="auto"/>
              <w:bottom w:val="single" w:sz="4" w:space="0" w:color="auto"/>
            </w:tcBorders>
            <w:vAlign w:val="bottom"/>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7,64</w:t>
            </w:r>
          </w:p>
        </w:tc>
      </w:tr>
      <w:tr w:rsidR="0010182D" w:rsidRPr="00306805" w:rsidTr="001E0477">
        <w:tc>
          <w:tcPr>
            <w:tcW w:w="2629" w:type="dxa"/>
            <w:tcBorders>
              <w:top w:val="single" w:sz="4" w:space="0" w:color="auto"/>
            </w:tcBorders>
            <w:vAlign w:val="center"/>
          </w:tcPr>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83498D">
              <w:rPr>
                <w:rFonts w:cs="Arial"/>
                <w:sz w:val="16"/>
                <w:szCs w:val="16"/>
                <w:lang w:val="ru-RU" w:eastAsia="ru-RU"/>
              </w:rPr>
              <w:t>блигации предприятий финансового сектора</w:t>
            </w:r>
          </w:p>
        </w:tc>
        <w:tc>
          <w:tcPr>
            <w:tcW w:w="1057" w:type="dxa"/>
            <w:tcBorders>
              <w:top w:val="single" w:sz="4" w:space="0" w:color="auto"/>
            </w:tcBorders>
            <w:vAlign w:val="bottom"/>
          </w:tcPr>
          <w:p w:rsidR="0010182D" w:rsidRPr="00FA5BAA" w:rsidRDefault="0010182D" w:rsidP="00702C3F">
            <w:pPr>
              <w:overflowPunct/>
              <w:autoSpaceDE/>
              <w:autoSpaceDN/>
              <w:adjustRightInd/>
              <w:jc w:val="center"/>
              <w:textAlignment w:val="auto"/>
              <w:rPr>
                <w:rFonts w:cs="Arial"/>
                <w:sz w:val="16"/>
                <w:szCs w:val="16"/>
                <w:lang w:val="en-US" w:eastAsia="ru-RU"/>
              </w:rPr>
            </w:pPr>
            <w:r>
              <w:rPr>
                <w:rFonts w:cs="Arial"/>
                <w:sz w:val="16"/>
                <w:szCs w:val="16"/>
                <w:lang w:val="en-US" w:eastAsia="ru-RU"/>
              </w:rPr>
              <w:t>1 031 426</w:t>
            </w:r>
          </w:p>
        </w:tc>
        <w:tc>
          <w:tcPr>
            <w:tcW w:w="1202" w:type="dxa"/>
            <w:tcBorders>
              <w:top w:val="single" w:sz="4" w:space="0" w:color="auto"/>
            </w:tcBorders>
            <w:vAlign w:val="bottom"/>
          </w:tcPr>
          <w:p w:rsidR="0010182D" w:rsidRPr="00FA5BAA" w:rsidRDefault="0010182D" w:rsidP="00702C3F">
            <w:pPr>
              <w:overflowPunct/>
              <w:autoSpaceDE/>
              <w:autoSpaceDN/>
              <w:adjustRightInd/>
              <w:jc w:val="center"/>
              <w:textAlignment w:val="auto"/>
              <w:rPr>
                <w:rFonts w:cs="Arial"/>
                <w:sz w:val="16"/>
                <w:szCs w:val="16"/>
                <w:lang w:val="en-US" w:eastAsia="ru-RU"/>
              </w:rPr>
            </w:pPr>
            <w:r>
              <w:rPr>
                <w:rFonts w:cs="Arial"/>
                <w:sz w:val="16"/>
                <w:szCs w:val="16"/>
                <w:lang w:val="en-US" w:eastAsia="ru-RU"/>
              </w:rPr>
              <w:t>1 041 869</w:t>
            </w:r>
          </w:p>
        </w:tc>
        <w:tc>
          <w:tcPr>
            <w:tcW w:w="1713" w:type="dxa"/>
            <w:tcBorders>
              <w:top w:val="single" w:sz="4" w:space="0" w:color="auto"/>
            </w:tcBorders>
            <w:vAlign w:val="bottom"/>
          </w:tcPr>
          <w:p w:rsidR="0010182D" w:rsidRPr="00FA5BAA" w:rsidRDefault="0010182D" w:rsidP="00702C3F">
            <w:pPr>
              <w:overflowPunct/>
              <w:autoSpaceDE/>
              <w:autoSpaceDN/>
              <w:adjustRightInd/>
              <w:jc w:val="center"/>
              <w:textAlignment w:val="auto"/>
              <w:rPr>
                <w:rFonts w:cs="Arial"/>
                <w:sz w:val="16"/>
                <w:szCs w:val="16"/>
                <w:lang w:val="en-US" w:eastAsia="ru-RU"/>
              </w:rPr>
            </w:pPr>
            <w:r>
              <w:rPr>
                <w:rFonts w:cs="Arial"/>
                <w:sz w:val="16"/>
                <w:szCs w:val="16"/>
                <w:lang w:val="ru-RU" w:eastAsia="ru-RU"/>
              </w:rPr>
              <w:t>0</w:t>
            </w:r>
            <w:r>
              <w:rPr>
                <w:rFonts w:cs="Arial"/>
                <w:sz w:val="16"/>
                <w:szCs w:val="16"/>
                <w:lang w:val="en-US" w:eastAsia="ru-RU"/>
              </w:rPr>
              <w:t>1</w:t>
            </w:r>
            <w:r>
              <w:rPr>
                <w:rFonts w:cs="Arial"/>
                <w:sz w:val="16"/>
                <w:szCs w:val="16"/>
                <w:lang w:val="ru-RU" w:eastAsia="ru-RU"/>
              </w:rPr>
              <w:t>-</w:t>
            </w:r>
            <w:r>
              <w:rPr>
                <w:rFonts w:cs="Arial"/>
                <w:sz w:val="16"/>
                <w:szCs w:val="16"/>
                <w:lang w:val="en-US" w:eastAsia="ru-RU"/>
              </w:rPr>
              <w:t>08</w:t>
            </w:r>
            <w:r>
              <w:rPr>
                <w:rFonts w:cs="Arial"/>
                <w:sz w:val="16"/>
                <w:szCs w:val="16"/>
                <w:lang w:val="ru-RU" w:eastAsia="ru-RU"/>
              </w:rPr>
              <w:t>-201</w:t>
            </w:r>
            <w:r>
              <w:rPr>
                <w:rFonts w:cs="Arial"/>
                <w:sz w:val="16"/>
                <w:szCs w:val="16"/>
                <w:lang w:val="en-US" w:eastAsia="ru-RU"/>
              </w:rPr>
              <w:t>9</w:t>
            </w:r>
          </w:p>
        </w:tc>
        <w:tc>
          <w:tcPr>
            <w:tcW w:w="1314" w:type="dxa"/>
            <w:tcBorders>
              <w:top w:val="single" w:sz="4" w:space="0" w:color="auto"/>
            </w:tcBorders>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02-10-2024</w:t>
            </w:r>
          </w:p>
        </w:tc>
        <w:tc>
          <w:tcPr>
            <w:tcW w:w="1553" w:type="dxa"/>
            <w:tcBorders>
              <w:top w:val="single" w:sz="4" w:space="0" w:color="auto"/>
            </w:tcBorders>
            <w:vAlign w:val="bottom"/>
          </w:tcPr>
          <w:p w:rsidR="0010182D" w:rsidRPr="00306805" w:rsidRDefault="0010182D" w:rsidP="00702C3F">
            <w:pPr>
              <w:overflowPunct/>
              <w:autoSpaceDE/>
              <w:autoSpaceDN/>
              <w:adjustRightInd/>
              <w:jc w:val="center"/>
              <w:textAlignment w:val="auto"/>
              <w:rPr>
                <w:rFonts w:cs="Arial"/>
                <w:sz w:val="16"/>
                <w:szCs w:val="16"/>
                <w:lang w:val="en-US" w:eastAsia="ru-RU"/>
              </w:rPr>
            </w:pPr>
          </w:p>
          <w:p w:rsidR="0010182D" w:rsidRPr="00306805" w:rsidRDefault="0010182D" w:rsidP="00702C3F">
            <w:pPr>
              <w:overflowPunct/>
              <w:autoSpaceDE/>
              <w:autoSpaceDN/>
              <w:adjustRightInd/>
              <w:jc w:val="center"/>
              <w:textAlignment w:val="auto"/>
              <w:rPr>
                <w:rFonts w:cs="Arial"/>
                <w:sz w:val="16"/>
                <w:szCs w:val="16"/>
                <w:lang w:val="en-US" w:eastAsia="ru-RU"/>
              </w:rPr>
            </w:pPr>
            <w:r w:rsidRPr="00306805">
              <w:rPr>
                <w:rFonts w:cs="Arial"/>
                <w:sz w:val="16"/>
                <w:szCs w:val="16"/>
                <w:lang w:val="ru-RU" w:eastAsia="ru-RU"/>
              </w:rPr>
              <w:t>7,25 – 10,00</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p>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83498D">
              <w:rPr>
                <w:rFonts w:cs="Arial"/>
                <w:sz w:val="16"/>
                <w:szCs w:val="16"/>
                <w:lang w:val="ru-RU" w:eastAsia="ru-RU"/>
              </w:rPr>
              <w:t>блигации</w:t>
            </w:r>
            <w:r>
              <w:rPr>
                <w:rFonts w:cs="Arial"/>
                <w:sz w:val="16"/>
                <w:szCs w:val="16"/>
                <w:lang w:val="ru-RU" w:eastAsia="ru-RU"/>
              </w:rPr>
              <w:t xml:space="preserve"> </w:t>
            </w:r>
            <w:r w:rsidRPr="0083498D">
              <w:rPr>
                <w:rFonts w:cs="Arial"/>
                <w:sz w:val="16"/>
                <w:szCs w:val="16"/>
                <w:lang w:val="ru-RU" w:eastAsia="ru-RU"/>
              </w:rPr>
              <w:t>телекоммуникаци</w:t>
            </w:r>
            <w:r>
              <w:rPr>
                <w:rFonts w:cs="Arial"/>
                <w:sz w:val="16"/>
                <w:szCs w:val="16"/>
                <w:lang w:val="ru-RU" w:eastAsia="ru-RU"/>
              </w:rPr>
              <w:t>онных</w:t>
            </w:r>
            <w:r w:rsidRPr="0083498D">
              <w:rPr>
                <w:rFonts w:cs="Arial"/>
                <w:sz w:val="16"/>
                <w:szCs w:val="16"/>
                <w:lang w:val="ru-RU" w:eastAsia="ru-RU"/>
              </w:rPr>
              <w:t xml:space="preserve"> </w:t>
            </w:r>
            <w:r>
              <w:rPr>
                <w:rFonts w:cs="Arial"/>
                <w:sz w:val="16"/>
                <w:szCs w:val="16"/>
                <w:lang w:val="ru-RU" w:eastAsia="ru-RU"/>
              </w:rPr>
              <w:t>компаний</w:t>
            </w:r>
            <w:r w:rsidRPr="0083498D">
              <w:rPr>
                <w:rFonts w:cs="Arial"/>
                <w:sz w:val="16"/>
                <w:szCs w:val="16"/>
                <w:lang w:val="ru-RU" w:eastAsia="ru-RU"/>
              </w:rPr>
              <w:t xml:space="preserve">                                      </w:t>
            </w:r>
          </w:p>
        </w:tc>
        <w:tc>
          <w:tcPr>
            <w:tcW w:w="1057" w:type="dxa"/>
            <w:vAlign w:val="bottom"/>
          </w:tcPr>
          <w:p w:rsidR="0010182D" w:rsidRPr="00FA5BAA"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624 051</w:t>
            </w:r>
          </w:p>
        </w:tc>
        <w:tc>
          <w:tcPr>
            <w:tcW w:w="1202" w:type="dxa"/>
            <w:vAlign w:val="bottom"/>
          </w:tcPr>
          <w:p w:rsidR="0010182D" w:rsidRPr="00FA5BAA"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628 224</w:t>
            </w:r>
          </w:p>
        </w:tc>
        <w:tc>
          <w:tcPr>
            <w:tcW w:w="1713" w:type="dxa"/>
            <w:vAlign w:val="bottom"/>
          </w:tcPr>
          <w:p w:rsidR="0010182D" w:rsidRPr="00FA5BAA" w:rsidRDefault="0010182D" w:rsidP="00702C3F">
            <w:pPr>
              <w:overflowPunct/>
              <w:autoSpaceDE/>
              <w:autoSpaceDN/>
              <w:adjustRightInd/>
              <w:jc w:val="center"/>
              <w:textAlignment w:val="auto"/>
              <w:rPr>
                <w:rFonts w:cs="Arial"/>
                <w:sz w:val="16"/>
                <w:szCs w:val="16"/>
                <w:lang w:val="en-US" w:eastAsia="ru-RU"/>
              </w:rPr>
            </w:pPr>
            <w:r>
              <w:rPr>
                <w:rFonts w:cs="Arial"/>
                <w:sz w:val="16"/>
                <w:szCs w:val="16"/>
                <w:lang w:val="en-US" w:eastAsia="ru-RU"/>
              </w:rPr>
              <w:t>1</w:t>
            </w:r>
            <w:r>
              <w:rPr>
                <w:rFonts w:cs="Arial"/>
                <w:sz w:val="16"/>
                <w:szCs w:val="16"/>
                <w:lang w:val="ru-RU" w:eastAsia="ru-RU"/>
              </w:rPr>
              <w:t>8-</w:t>
            </w:r>
            <w:r>
              <w:rPr>
                <w:rFonts w:cs="Arial"/>
                <w:sz w:val="16"/>
                <w:szCs w:val="16"/>
                <w:lang w:val="en-US" w:eastAsia="ru-RU"/>
              </w:rPr>
              <w:t>0</w:t>
            </w:r>
            <w:r>
              <w:rPr>
                <w:rFonts w:cs="Arial"/>
                <w:sz w:val="16"/>
                <w:szCs w:val="16"/>
                <w:lang w:val="ru-RU" w:eastAsia="ru-RU"/>
              </w:rPr>
              <w:t>6-2019</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13-03-2024</w:t>
            </w:r>
          </w:p>
        </w:tc>
        <w:tc>
          <w:tcPr>
            <w:tcW w:w="1553" w:type="dxa"/>
            <w:vAlign w:val="bottom"/>
          </w:tcPr>
          <w:p w:rsidR="0010182D" w:rsidRPr="00306805" w:rsidRDefault="0010182D" w:rsidP="00702C3F">
            <w:pPr>
              <w:overflowPunct/>
              <w:autoSpaceDE/>
              <w:autoSpaceDN/>
              <w:adjustRightInd/>
              <w:ind w:left="487" w:right="33"/>
              <w:jc w:val="center"/>
              <w:textAlignment w:val="auto"/>
              <w:rPr>
                <w:rFonts w:cs="Arial"/>
                <w:sz w:val="16"/>
                <w:szCs w:val="16"/>
                <w:lang w:val="ru-RU" w:eastAsia="ru-RU"/>
              </w:rPr>
            </w:pPr>
          </w:p>
          <w:p w:rsidR="0010182D" w:rsidRPr="00306805" w:rsidRDefault="0010182D" w:rsidP="00702C3F">
            <w:pPr>
              <w:overflowPunct/>
              <w:autoSpaceDE/>
              <w:autoSpaceDN/>
              <w:adjustRightInd/>
              <w:ind w:right="33"/>
              <w:jc w:val="center"/>
              <w:textAlignment w:val="auto"/>
              <w:rPr>
                <w:rFonts w:cs="Arial"/>
                <w:sz w:val="16"/>
                <w:szCs w:val="16"/>
                <w:lang w:val="ru-RU" w:eastAsia="ru-RU"/>
              </w:rPr>
            </w:pPr>
            <w:r w:rsidRPr="00306805">
              <w:rPr>
                <w:rFonts w:cs="Arial"/>
                <w:sz w:val="16"/>
                <w:szCs w:val="16"/>
                <w:lang w:val="ru-RU" w:eastAsia="ru-RU"/>
              </w:rPr>
              <w:t>7,10 - 11,3</w:t>
            </w:r>
            <w:r>
              <w:rPr>
                <w:rFonts w:cs="Arial"/>
                <w:sz w:val="16"/>
                <w:szCs w:val="16"/>
                <w:lang w:val="ru-RU" w:eastAsia="ru-RU"/>
              </w:rPr>
              <w:t>0</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p>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83498D">
              <w:rPr>
                <w:rFonts w:cs="Arial"/>
                <w:sz w:val="16"/>
                <w:szCs w:val="16"/>
                <w:lang w:val="ru-RU" w:eastAsia="ru-RU"/>
              </w:rPr>
              <w:t>блигации предприятия по добыче сырой нефти</w:t>
            </w: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379 047</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392 167</w:t>
            </w: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17-10-2022</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28-02-2024</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rPr>
            </w:pPr>
            <w:r w:rsidRPr="00306805">
              <w:rPr>
                <w:rFonts w:cs="Arial"/>
                <w:sz w:val="16"/>
                <w:szCs w:val="16"/>
                <w:lang w:val="ru-RU"/>
              </w:rPr>
              <w:t>7,30 – 7,90</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p>
          <w:p w:rsidR="0010182D" w:rsidRPr="0083498D" w:rsidRDefault="0010182D" w:rsidP="001E0477">
            <w:pPr>
              <w:overflowPunct/>
              <w:textAlignment w:val="auto"/>
              <w:rPr>
                <w:rFonts w:cs="Arial"/>
                <w:sz w:val="16"/>
                <w:szCs w:val="16"/>
                <w:lang w:val="ru-RU" w:eastAsia="ru-RU"/>
              </w:rPr>
            </w:pPr>
            <w:r>
              <w:rPr>
                <w:rFonts w:cs="Arial"/>
                <w:sz w:val="16"/>
                <w:szCs w:val="16"/>
                <w:lang w:val="ru-RU" w:eastAsia="ru-RU"/>
              </w:rPr>
              <w:t>О</w:t>
            </w:r>
            <w:r w:rsidRPr="0083498D">
              <w:rPr>
                <w:rFonts w:cs="Arial"/>
                <w:sz w:val="16"/>
                <w:szCs w:val="16"/>
                <w:lang w:val="ru-RU" w:eastAsia="ru-RU"/>
              </w:rPr>
              <w:t>блигации предприятия, занимающегося эмиссионной деятельностью</w:t>
            </w:r>
          </w:p>
        </w:tc>
        <w:tc>
          <w:tcPr>
            <w:tcW w:w="1057" w:type="dxa"/>
            <w:vAlign w:val="bottom"/>
          </w:tcPr>
          <w:p w:rsidR="0010182D" w:rsidRPr="00826F1D"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326 521</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321 048</w:t>
            </w: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07-02-2019</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27-03-2020</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rPr>
            </w:pPr>
          </w:p>
          <w:p w:rsidR="0010182D" w:rsidRPr="00306805" w:rsidRDefault="0010182D" w:rsidP="00702C3F">
            <w:pPr>
              <w:overflowPunct/>
              <w:autoSpaceDE/>
              <w:autoSpaceDN/>
              <w:adjustRightInd/>
              <w:jc w:val="center"/>
              <w:textAlignment w:val="auto"/>
              <w:rPr>
                <w:rFonts w:cs="Arial"/>
                <w:sz w:val="16"/>
                <w:szCs w:val="16"/>
                <w:lang w:val="ru-RU"/>
              </w:rPr>
            </w:pPr>
            <w:r w:rsidRPr="00306805">
              <w:rPr>
                <w:rFonts w:cs="Arial"/>
                <w:sz w:val="16"/>
                <w:szCs w:val="16"/>
                <w:lang w:val="ru-RU"/>
              </w:rPr>
              <w:t>6,95 – 9,75</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rPr>
            </w:pPr>
          </w:p>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w:t>
            </w:r>
            <w:r w:rsidRPr="0083498D">
              <w:rPr>
                <w:rFonts w:cs="Arial"/>
                <w:sz w:val="16"/>
                <w:szCs w:val="16"/>
                <w:lang w:val="ru-RU"/>
              </w:rPr>
              <w:t>блигации предприятий, занимающ</w:t>
            </w:r>
            <w:r>
              <w:rPr>
                <w:rFonts w:cs="Arial"/>
                <w:sz w:val="16"/>
                <w:szCs w:val="16"/>
                <w:lang w:val="ru-RU"/>
              </w:rPr>
              <w:t>ихся</w:t>
            </w:r>
            <w:r w:rsidRPr="0083498D">
              <w:rPr>
                <w:rFonts w:cs="Arial"/>
                <w:sz w:val="16"/>
                <w:szCs w:val="16"/>
                <w:lang w:val="ru-RU"/>
              </w:rPr>
              <w:t xml:space="preserve"> передачей и распределением эл/энергии                                               </w:t>
            </w: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91 336</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90 680</w:t>
            </w:r>
          </w:p>
        </w:tc>
        <w:tc>
          <w:tcPr>
            <w:tcW w:w="1713" w:type="dxa"/>
            <w:vAlign w:val="bottom"/>
          </w:tcPr>
          <w:p w:rsidR="0010182D" w:rsidRPr="00E97E0F"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04-04-2019</w:t>
            </w:r>
          </w:p>
        </w:tc>
        <w:tc>
          <w:tcPr>
            <w:tcW w:w="1314" w:type="dxa"/>
            <w:vAlign w:val="bottom"/>
          </w:tcPr>
          <w:p w:rsidR="0010182D" w:rsidRPr="00E97E0F" w:rsidRDefault="0010182D" w:rsidP="00702C3F">
            <w:pPr>
              <w:overflowPunct/>
              <w:autoSpaceDE/>
              <w:autoSpaceDN/>
              <w:adjustRightInd/>
              <w:jc w:val="center"/>
              <w:textAlignment w:val="auto"/>
              <w:rPr>
                <w:rFonts w:cs="Arial"/>
                <w:sz w:val="16"/>
                <w:szCs w:val="16"/>
                <w:lang w:val="ru-RU"/>
              </w:rPr>
            </w:pPr>
            <w:r>
              <w:rPr>
                <w:rFonts w:cs="Arial"/>
                <w:sz w:val="16"/>
                <w:szCs w:val="16"/>
                <w:lang w:val="ru-RU"/>
              </w:rPr>
              <w:t>21-10-2022</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rPr>
            </w:pPr>
            <w:r w:rsidRPr="00306805">
              <w:rPr>
                <w:rFonts w:cs="Arial"/>
                <w:sz w:val="16"/>
                <w:szCs w:val="16"/>
                <w:lang w:val="ru-RU"/>
              </w:rPr>
              <w:t>7,75 – 10,35</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rPr>
            </w:pP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rPr>
            </w:pP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rPr>
            </w:pPr>
          </w:p>
        </w:tc>
      </w:tr>
      <w:tr w:rsidR="0010182D" w:rsidRPr="00306805" w:rsidTr="001E0477">
        <w:trPr>
          <w:trHeight w:val="699"/>
        </w:trPr>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w:t>
            </w:r>
            <w:r w:rsidRPr="0083498D">
              <w:rPr>
                <w:rFonts w:cs="Arial"/>
                <w:sz w:val="16"/>
                <w:szCs w:val="16"/>
                <w:lang w:val="ru-RU"/>
              </w:rPr>
              <w:t>блигации предприятия по транспортированию по трубопроводам нефти и нефтепродукт</w:t>
            </w:r>
            <w:r>
              <w:rPr>
                <w:rFonts w:cs="Arial"/>
                <w:sz w:val="16"/>
                <w:szCs w:val="16"/>
                <w:lang w:val="ru-RU"/>
              </w:rPr>
              <w:t>ов</w:t>
            </w:r>
            <w:r w:rsidRPr="0083498D">
              <w:rPr>
                <w:rFonts w:cs="Arial"/>
                <w:sz w:val="16"/>
                <w:szCs w:val="16"/>
                <w:lang w:val="ru-RU"/>
              </w:rPr>
              <w:t xml:space="preserve"> </w:t>
            </w: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240 396</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242 413</w:t>
            </w: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21-02-2022</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21-02-2022</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eastAsia="ru-RU"/>
              </w:rPr>
            </w:pPr>
            <w:r w:rsidRPr="00306805">
              <w:rPr>
                <w:rFonts w:cs="Arial"/>
                <w:sz w:val="16"/>
                <w:szCs w:val="16"/>
                <w:lang w:val="ru-RU" w:eastAsia="ru-RU"/>
              </w:rPr>
              <w:t>7,15</w:t>
            </w:r>
          </w:p>
        </w:tc>
      </w:tr>
      <w:tr w:rsidR="0010182D" w:rsidRPr="00306805" w:rsidTr="001E0477">
        <w:trPr>
          <w:trHeight w:val="584"/>
        </w:trPr>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p>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83498D">
              <w:rPr>
                <w:rFonts w:cs="Arial"/>
                <w:sz w:val="16"/>
                <w:szCs w:val="16"/>
                <w:lang w:val="ru-RU" w:eastAsia="ru-RU"/>
              </w:rPr>
              <w:t>блигации</w:t>
            </w:r>
            <w:r>
              <w:rPr>
                <w:rFonts w:cs="Arial"/>
                <w:sz w:val="16"/>
                <w:szCs w:val="16"/>
                <w:lang w:val="ru-RU" w:eastAsia="ru-RU"/>
              </w:rPr>
              <w:t xml:space="preserve"> предприятия</w:t>
            </w:r>
          </w:p>
          <w:p w:rsidR="0010182D" w:rsidRPr="0083498D" w:rsidRDefault="0010182D" w:rsidP="001E0477">
            <w:pPr>
              <w:overflowPunct/>
              <w:autoSpaceDE/>
              <w:autoSpaceDN/>
              <w:adjustRightInd/>
              <w:textAlignment w:val="auto"/>
              <w:rPr>
                <w:rFonts w:cs="Arial"/>
                <w:sz w:val="16"/>
                <w:szCs w:val="16"/>
                <w:lang w:val="ru-RU"/>
              </w:rPr>
            </w:pPr>
            <w:r w:rsidRPr="0083498D">
              <w:rPr>
                <w:rFonts w:cs="Arial"/>
                <w:sz w:val="16"/>
                <w:szCs w:val="16"/>
                <w:lang w:val="ru-RU" w:eastAsia="ru-RU"/>
              </w:rPr>
              <w:t>почтовой связи</w:t>
            </w: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319 583</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332 795</w:t>
            </w: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05-05-2023</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05-05-2023</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eastAsia="ru-RU"/>
              </w:rPr>
            </w:pPr>
            <w:r w:rsidRPr="00306805">
              <w:rPr>
                <w:rFonts w:cs="Arial"/>
                <w:sz w:val="16"/>
                <w:szCs w:val="16"/>
                <w:lang w:val="ru-RU" w:eastAsia="ru-RU"/>
              </w:rPr>
              <w:t>7,7</w:t>
            </w: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p>
        </w:tc>
        <w:tc>
          <w:tcPr>
            <w:tcW w:w="1057" w:type="dxa"/>
            <w:vAlign w:val="bottom"/>
          </w:tcPr>
          <w:p w:rsidR="0010182D" w:rsidRPr="00B713FB" w:rsidRDefault="0010182D" w:rsidP="00702C3F">
            <w:pPr>
              <w:overflowPunct/>
              <w:autoSpaceDE/>
              <w:autoSpaceDN/>
              <w:adjustRightInd/>
              <w:jc w:val="center"/>
              <w:textAlignment w:val="auto"/>
              <w:rPr>
                <w:rFonts w:cs="Arial"/>
                <w:sz w:val="16"/>
                <w:szCs w:val="16"/>
                <w:lang w:val="en-US" w:eastAsia="ru-RU"/>
              </w:rPr>
            </w:pPr>
          </w:p>
        </w:tc>
        <w:tc>
          <w:tcPr>
            <w:tcW w:w="1202" w:type="dxa"/>
            <w:vAlign w:val="bottom"/>
          </w:tcPr>
          <w:p w:rsidR="0010182D" w:rsidRPr="00CC70B3" w:rsidRDefault="0010182D" w:rsidP="00702C3F">
            <w:pPr>
              <w:overflowPunct/>
              <w:autoSpaceDE/>
              <w:autoSpaceDN/>
              <w:adjustRightInd/>
              <w:jc w:val="center"/>
              <w:textAlignment w:val="auto"/>
              <w:rPr>
                <w:rFonts w:cs="Arial"/>
                <w:sz w:val="16"/>
                <w:szCs w:val="16"/>
                <w:lang w:val="ru-RU" w:eastAsia="ru-RU"/>
              </w:rPr>
            </w:pPr>
          </w:p>
        </w:tc>
        <w:tc>
          <w:tcPr>
            <w:tcW w:w="1713" w:type="dxa"/>
            <w:vAlign w:val="bottom"/>
          </w:tcPr>
          <w:p w:rsidR="0010182D" w:rsidRPr="00E97E0F" w:rsidRDefault="0010182D" w:rsidP="00702C3F">
            <w:pPr>
              <w:overflowPunct/>
              <w:autoSpaceDE/>
              <w:autoSpaceDN/>
              <w:adjustRightInd/>
              <w:jc w:val="center"/>
              <w:textAlignment w:val="auto"/>
              <w:rPr>
                <w:rFonts w:cs="Arial"/>
                <w:sz w:val="16"/>
                <w:szCs w:val="16"/>
                <w:lang w:val="ru-RU" w:eastAsia="ru-RU"/>
              </w:rPr>
            </w:pPr>
          </w:p>
        </w:tc>
        <w:tc>
          <w:tcPr>
            <w:tcW w:w="1314" w:type="dxa"/>
            <w:vAlign w:val="bottom"/>
          </w:tcPr>
          <w:p w:rsidR="0010182D" w:rsidRPr="00E97E0F" w:rsidRDefault="0010182D" w:rsidP="00702C3F">
            <w:pPr>
              <w:overflowPunct/>
              <w:autoSpaceDE/>
              <w:autoSpaceDN/>
              <w:adjustRightInd/>
              <w:jc w:val="center"/>
              <w:textAlignment w:val="auto"/>
              <w:rPr>
                <w:rFonts w:cs="Arial"/>
                <w:sz w:val="16"/>
                <w:szCs w:val="16"/>
                <w:lang w:val="ru-RU" w:eastAsia="ru-RU"/>
              </w:rPr>
            </w:pP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eastAsia="ru-RU"/>
              </w:rPr>
            </w:pPr>
          </w:p>
        </w:tc>
      </w:tr>
      <w:tr w:rsidR="0010182D" w:rsidRPr="00306805" w:rsidTr="001E0477">
        <w:tc>
          <w:tcPr>
            <w:tcW w:w="2629" w:type="dxa"/>
            <w:vAlign w:val="center"/>
          </w:tcPr>
          <w:p w:rsidR="0010182D" w:rsidRPr="0083498D"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Облигации предприятия</w:t>
            </w:r>
            <w:r w:rsidRPr="0083498D">
              <w:rPr>
                <w:rFonts w:cs="Arial"/>
                <w:sz w:val="16"/>
                <w:szCs w:val="16"/>
                <w:lang w:val="ru-RU"/>
              </w:rPr>
              <w:t xml:space="preserve"> по производству машин и оборудования                   </w:t>
            </w:r>
          </w:p>
        </w:tc>
        <w:tc>
          <w:tcPr>
            <w:tcW w:w="1057" w:type="dxa"/>
            <w:vAlign w:val="bottom"/>
          </w:tcPr>
          <w:p w:rsidR="0010182D" w:rsidRPr="00F80E8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290 202</w:t>
            </w:r>
          </w:p>
        </w:tc>
        <w:tc>
          <w:tcPr>
            <w:tcW w:w="1202"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286 171</w:t>
            </w:r>
          </w:p>
        </w:tc>
        <w:tc>
          <w:tcPr>
            <w:tcW w:w="1713"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30-09-2019</w:t>
            </w:r>
          </w:p>
        </w:tc>
        <w:tc>
          <w:tcPr>
            <w:tcW w:w="1314" w:type="dxa"/>
            <w:vAlign w:val="bottom"/>
          </w:tcPr>
          <w:p w:rsidR="0010182D" w:rsidRPr="00B713FB" w:rsidRDefault="0010182D" w:rsidP="00702C3F">
            <w:pPr>
              <w:overflowPunct/>
              <w:autoSpaceDE/>
              <w:autoSpaceDN/>
              <w:adjustRightInd/>
              <w:jc w:val="center"/>
              <w:textAlignment w:val="auto"/>
              <w:rPr>
                <w:rFonts w:cs="Arial"/>
                <w:sz w:val="16"/>
                <w:szCs w:val="16"/>
                <w:lang w:val="ru-RU" w:eastAsia="ru-RU"/>
              </w:rPr>
            </w:pPr>
            <w:r>
              <w:rPr>
                <w:rFonts w:cs="Arial"/>
                <w:sz w:val="16"/>
                <w:szCs w:val="16"/>
                <w:lang w:val="ru-RU" w:eastAsia="ru-RU"/>
              </w:rPr>
              <w:t>30-09-2019</w:t>
            </w:r>
          </w:p>
        </w:tc>
        <w:tc>
          <w:tcPr>
            <w:tcW w:w="1553" w:type="dxa"/>
            <w:vAlign w:val="bottom"/>
          </w:tcPr>
          <w:p w:rsidR="0010182D" w:rsidRPr="00306805" w:rsidRDefault="0010182D" w:rsidP="00702C3F">
            <w:pPr>
              <w:overflowPunct/>
              <w:autoSpaceDE/>
              <w:autoSpaceDN/>
              <w:adjustRightInd/>
              <w:jc w:val="center"/>
              <w:textAlignment w:val="auto"/>
              <w:rPr>
                <w:rFonts w:cs="Arial"/>
                <w:sz w:val="16"/>
                <w:szCs w:val="16"/>
                <w:lang w:val="ru-RU" w:eastAsia="ru-RU"/>
              </w:rPr>
            </w:pPr>
            <w:r w:rsidRPr="00306805">
              <w:rPr>
                <w:rFonts w:cs="Arial"/>
                <w:sz w:val="16"/>
                <w:szCs w:val="16"/>
                <w:lang w:val="ru-RU" w:eastAsia="ru-RU"/>
              </w:rPr>
              <w:t>9,95</w:t>
            </w:r>
          </w:p>
        </w:tc>
      </w:tr>
      <w:tr w:rsidR="0010182D" w:rsidRPr="00306805" w:rsidTr="001E0477">
        <w:tc>
          <w:tcPr>
            <w:tcW w:w="2629" w:type="dxa"/>
            <w:tcBorders>
              <w:top w:val="single" w:sz="4" w:space="0" w:color="auto"/>
              <w:bottom w:val="sing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Итого по облигациям прочих резидентов</w:t>
            </w:r>
          </w:p>
        </w:tc>
        <w:tc>
          <w:tcPr>
            <w:tcW w:w="1057" w:type="dxa"/>
            <w:tcBorders>
              <w:top w:val="single" w:sz="4" w:space="0" w:color="auto"/>
              <w:bottom w:val="single" w:sz="4" w:space="0" w:color="auto"/>
            </w:tcBorders>
            <w:vAlign w:val="bottom"/>
          </w:tcPr>
          <w:p w:rsidR="0010182D" w:rsidRPr="00826F1D" w:rsidRDefault="00702C3F" w:rsidP="00702C3F">
            <w:pPr>
              <w:overflowPunct/>
              <w:autoSpaceDE/>
              <w:autoSpaceDN/>
              <w:adjustRightInd/>
              <w:ind w:left="-245"/>
              <w:jc w:val="center"/>
              <w:textAlignment w:val="auto"/>
              <w:rPr>
                <w:rFonts w:cs="Arial"/>
                <w:b/>
                <w:bCs/>
                <w:sz w:val="16"/>
                <w:szCs w:val="16"/>
                <w:lang w:val="ru-RU" w:eastAsia="ru-RU"/>
              </w:rPr>
            </w:pPr>
            <w:r>
              <w:rPr>
                <w:rFonts w:cs="Arial"/>
                <w:b/>
                <w:bCs/>
                <w:sz w:val="16"/>
                <w:szCs w:val="16"/>
                <w:lang w:val="ru-RU" w:eastAsia="ru-RU"/>
              </w:rPr>
              <w:t xml:space="preserve">      </w:t>
            </w:r>
            <w:r w:rsidR="0010182D">
              <w:rPr>
                <w:rFonts w:cs="Arial"/>
                <w:b/>
                <w:bCs/>
                <w:sz w:val="16"/>
                <w:szCs w:val="16"/>
                <w:lang w:val="ru-RU" w:eastAsia="ru-RU"/>
              </w:rPr>
              <w:t>3 302 562</w:t>
            </w:r>
          </w:p>
        </w:tc>
        <w:tc>
          <w:tcPr>
            <w:tcW w:w="1202" w:type="dxa"/>
            <w:tcBorders>
              <w:top w:val="single" w:sz="4" w:space="0" w:color="auto"/>
              <w:bottom w:val="single" w:sz="4" w:space="0" w:color="auto"/>
            </w:tcBorders>
            <w:vAlign w:val="bottom"/>
          </w:tcPr>
          <w:p w:rsidR="0010182D" w:rsidRPr="00B713FB"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3 335 367</w:t>
            </w:r>
          </w:p>
        </w:tc>
        <w:tc>
          <w:tcPr>
            <w:tcW w:w="1713" w:type="dxa"/>
            <w:tcBorders>
              <w:top w:val="single" w:sz="4" w:space="0" w:color="auto"/>
              <w:bottom w:val="single" w:sz="4" w:space="0" w:color="auto"/>
            </w:tcBorders>
            <w:vAlign w:val="bottom"/>
          </w:tcPr>
          <w:p w:rsidR="0010182D" w:rsidRPr="00C72095"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07-02-2019</w:t>
            </w:r>
          </w:p>
        </w:tc>
        <w:tc>
          <w:tcPr>
            <w:tcW w:w="1314" w:type="dxa"/>
            <w:tcBorders>
              <w:top w:val="single" w:sz="4" w:space="0" w:color="auto"/>
              <w:bottom w:val="single" w:sz="4" w:space="0" w:color="auto"/>
            </w:tcBorders>
            <w:vAlign w:val="bottom"/>
          </w:tcPr>
          <w:p w:rsidR="0010182D" w:rsidRPr="00C72095"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02-10-2024</w:t>
            </w:r>
          </w:p>
        </w:tc>
        <w:tc>
          <w:tcPr>
            <w:tcW w:w="1553" w:type="dxa"/>
            <w:tcBorders>
              <w:top w:val="single" w:sz="4" w:space="0" w:color="auto"/>
              <w:bottom w:val="single" w:sz="4" w:space="0" w:color="auto"/>
            </w:tcBorders>
            <w:vAlign w:val="bottom"/>
          </w:tcPr>
          <w:p w:rsidR="0010182D" w:rsidRDefault="0010182D" w:rsidP="00702C3F">
            <w:pPr>
              <w:overflowPunct/>
              <w:autoSpaceDE/>
              <w:autoSpaceDN/>
              <w:adjustRightInd/>
              <w:jc w:val="center"/>
              <w:textAlignment w:val="auto"/>
              <w:rPr>
                <w:rFonts w:cs="Arial"/>
                <w:b/>
                <w:bCs/>
                <w:sz w:val="16"/>
                <w:szCs w:val="16"/>
                <w:lang w:val="ru-RU" w:eastAsia="ru-RU"/>
              </w:rPr>
            </w:pPr>
          </w:p>
          <w:p w:rsidR="0010182D" w:rsidRPr="00306805"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6,95 - 10</w:t>
            </w:r>
            <w:r w:rsidRPr="00306805">
              <w:rPr>
                <w:rFonts w:cs="Arial"/>
                <w:b/>
                <w:bCs/>
                <w:sz w:val="16"/>
                <w:szCs w:val="16"/>
                <w:lang w:val="ru-RU" w:eastAsia="ru-RU"/>
              </w:rPr>
              <w:t>,</w:t>
            </w:r>
            <w:r>
              <w:rPr>
                <w:rFonts w:cs="Arial"/>
                <w:b/>
                <w:bCs/>
                <w:sz w:val="16"/>
                <w:szCs w:val="16"/>
                <w:lang w:val="ru-RU" w:eastAsia="ru-RU"/>
              </w:rPr>
              <w:t>35</w:t>
            </w:r>
          </w:p>
        </w:tc>
      </w:tr>
      <w:tr w:rsidR="0010182D" w:rsidRPr="00F2568B" w:rsidTr="001E0477">
        <w:tc>
          <w:tcPr>
            <w:tcW w:w="2629" w:type="dxa"/>
            <w:tcBorders>
              <w:top w:val="single" w:sz="4" w:space="0" w:color="auto"/>
              <w:bottom w:val="double" w:sz="4" w:space="0" w:color="auto"/>
            </w:tcBorders>
            <w:vAlign w:val="center"/>
          </w:tcPr>
          <w:p w:rsidR="0010182D" w:rsidRPr="0083498D" w:rsidRDefault="0010182D" w:rsidP="001E0477">
            <w:pPr>
              <w:overflowPunct/>
              <w:autoSpaceDE/>
              <w:autoSpaceDN/>
              <w:adjustRightInd/>
              <w:textAlignment w:val="auto"/>
              <w:rPr>
                <w:rFonts w:cs="Arial"/>
                <w:b/>
                <w:bCs/>
                <w:sz w:val="16"/>
                <w:szCs w:val="16"/>
                <w:lang w:val="ru-RU" w:eastAsia="ru-RU"/>
              </w:rPr>
            </w:pPr>
          </w:p>
          <w:p w:rsidR="0010182D" w:rsidRPr="0083498D" w:rsidRDefault="0010182D" w:rsidP="001E0477">
            <w:pPr>
              <w:overflowPunct/>
              <w:autoSpaceDE/>
              <w:autoSpaceDN/>
              <w:adjustRightInd/>
              <w:textAlignment w:val="auto"/>
              <w:rPr>
                <w:rFonts w:cs="Arial"/>
                <w:b/>
                <w:bCs/>
                <w:sz w:val="16"/>
                <w:szCs w:val="16"/>
                <w:lang w:val="ru-RU" w:eastAsia="ru-RU"/>
              </w:rPr>
            </w:pPr>
            <w:r w:rsidRPr="0083498D">
              <w:rPr>
                <w:rFonts w:cs="Arial"/>
                <w:b/>
                <w:bCs/>
                <w:sz w:val="16"/>
                <w:szCs w:val="16"/>
                <w:lang w:val="ru-RU" w:eastAsia="ru-RU"/>
              </w:rPr>
              <w:t>Итого по еврооблигациям</w:t>
            </w:r>
          </w:p>
        </w:tc>
        <w:tc>
          <w:tcPr>
            <w:tcW w:w="1057" w:type="dxa"/>
            <w:tcBorders>
              <w:top w:val="single" w:sz="4" w:space="0" w:color="auto"/>
              <w:bottom w:val="double" w:sz="4" w:space="0" w:color="auto"/>
            </w:tcBorders>
            <w:vAlign w:val="bottom"/>
          </w:tcPr>
          <w:p w:rsidR="0010182D" w:rsidRPr="00B713FB" w:rsidRDefault="0010182D" w:rsidP="00702C3F">
            <w:pPr>
              <w:overflowPunct/>
              <w:autoSpaceDE/>
              <w:autoSpaceDN/>
              <w:adjustRightInd/>
              <w:jc w:val="center"/>
              <w:textAlignment w:val="auto"/>
              <w:rPr>
                <w:rFonts w:cs="Arial"/>
                <w:b/>
                <w:sz w:val="16"/>
                <w:szCs w:val="16"/>
                <w:lang w:val="ru-RU" w:eastAsia="ru-RU"/>
              </w:rPr>
            </w:pPr>
            <w:r>
              <w:rPr>
                <w:rFonts w:cs="Arial"/>
                <w:b/>
                <w:sz w:val="16"/>
                <w:szCs w:val="16"/>
                <w:lang w:val="ru-RU" w:eastAsia="ru-RU"/>
              </w:rPr>
              <w:t>152 980</w:t>
            </w:r>
          </w:p>
        </w:tc>
        <w:tc>
          <w:tcPr>
            <w:tcW w:w="1202" w:type="dxa"/>
            <w:tcBorders>
              <w:top w:val="single" w:sz="4" w:space="0" w:color="auto"/>
              <w:bottom w:val="double" w:sz="4" w:space="0" w:color="auto"/>
            </w:tcBorders>
            <w:vAlign w:val="bottom"/>
          </w:tcPr>
          <w:p w:rsidR="0010182D" w:rsidRPr="00B713FB" w:rsidRDefault="0010182D" w:rsidP="00702C3F">
            <w:pPr>
              <w:overflowPunct/>
              <w:autoSpaceDE/>
              <w:autoSpaceDN/>
              <w:adjustRightInd/>
              <w:jc w:val="center"/>
              <w:textAlignment w:val="auto"/>
              <w:rPr>
                <w:rFonts w:cs="Arial"/>
                <w:b/>
                <w:sz w:val="16"/>
                <w:szCs w:val="16"/>
                <w:lang w:val="ru-RU" w:eastAsia="ru-RU"/>
              </w:rPr>
            </w:pPr>
            <w:r>
              <w:rPr>
                <w:rFonts w:cs="Arial"/>
                <w:b/>
                <w:sz w:val="16"/>
                <w:szCs w:val="16"/>
                <w:lang w:val="ru-RU" w:eastAsia="ru-RU"/>
              </w:rPr>
              <w:t>149 640</w:t>
            </w:r>
          </w:p>
        </w:tc>
        <w:tc>
          <w:tcPr>
            <w:tcW w:w="1713" w:type="dxa"/>
            <w:tcBorders>
              <w:top w:val="single" w:sz="4" w:space="0" w:color="auto"/>
              <w:bottom w:val="double" w:sz="4" w:space="0" w:color="auto"/>
            </w:tcBorders>
            <w:vAlign w:val="bottom"/>
          </w:tcPr>
          <w:p w:rsidR="0010182D" w:rsidRPr="00B713FB" w:rsidRDefault="0010182D" w:rsidP="00702C3F">
            <w:pPr>
              <w:overflowPunct/>
              <w:autoSpaceDE/>
              <w:autoSpaceDN/>
              <w:adjustRightInd/>
              <w:jc w:val="center"/>
              <w:textAlignment w:val="auto"/>
              <w:rPr>
                <w:rFonts w:cs="Arial"/>
                <w:b/>
                <w:sz w:val="16"/>
                <w:szCs w:val="16"/>
                <w:lang w:val="ru-RU" w:eastAsia="ru-RU"/>
              </w:rPr>
            </w:pPr>
            <w:r>
              <w:rPr>
                <w:rFonts w:cs="Arial"/>
                <w:b/>
                <w:sz w:val="16"/>
                <w:szCs w:val="16"/>
                <w:lang w:val="ru-RU" w:eastAsia="ru-RU"/>
              </w:rPr>
              <w:t>24-01-2020</w:t>
            </w:r>
          </w:p>
        </w:tc>
        <w:tc>
          <w:tcPr>
            <w:tcW w:w="1314" w:type="dxa"/>
            <w:tcBorders>
              <w:top w:val="single" w:sz="4" w:space="0" w:color="auto"/>
              <w:bottom w:val="double" w:sz="4" w:space="0" w:color="auto"/>
            </w:tcBorders>
            <w:vAlign w:val="bottom"/>
          </w:tcPr>
          <w:p w:rsidR="0010182D" w:rsidRPr="00B713FB" w:rsidRDefault="0010182D" w:rsidP="00702C3F">
            <w:pPr>
              <w:overflowPunct/>
              <w:autoSpaceDE/>
              <w:autoSpaceDN/>
              <w:adjustRightInd/>
              <w:jc w:val="center"/>
              <w:textAlignment w:val="auto"/>
              <w:rPr>
                <w:rFonts w:cs="Arial"/>
                <w:b/>
                <w:sz w:val="16"/>
                <w:szCs w:val="16"/>
                <w:lang w:val="ru-RU" w:eastAsia="ru-RU"/>
              </w:rPr>
            </w:pPr>
            <w:r>
              <w:rPr>
                <w:rFonts w:cs="Arial"/>
                <w:b/>
                <w:sz w:val="16"/>
                <w:szCs w:val="16"/>
                <w:lang w:val="ru-RU" w:eastAsia="ru-RU"/>
              </w:rPr>
              <w:t>24-01-2020</w:t>
            </w:r>
          </w:p>
        </w:tc>
        <w:tc>
          <w:tcPr>
            <w:tcW w:w="1553" w:type="dxa"/>
            <w:tcBorders>
              <w:top w:val="single" w:sz="4" w:space="0" w:color="auto"/>
              <w:bottom w:val="double" w:sz="4" w:space="0" w:color="auto"/>
            </w:tcBorders>
            <w:vAlign w:val="bottom"/>
          </w:tcPr>
          <w:p w:rsidR="0010182D" w:rsidRPr="00306805" w:rsidRDefault="0010182D" w:rsidP="00702C3F">
            <w:pPr>
              <w:overflowPunct/>
              <w:autoSpaceDE/>
              <w:autoSpaceDN/>
              <w:adjustRightInd/>
              <w:jc w:val="center"/>
              <w:textAlignment w:val="auto"/>
              <w:rPr>
                <w:rFonts w:cs="Arial"/>
                <w:b/>
                <w:sz w:val="16"/>
                <w:szCs w:val="16"/>
                <w:lang w:val="ru-RU" w:eastAsia="ru-RU"/>
              </w:rPr>
            </w:pPr>
            <w:r w:rsidRPr="00306805">
              <w:rPr>
                <w:rFonts w:cs="Arial"/>
                <w:b/>
                <w:sz w:val="16"/>
                <w:szCs w:val="16"/>
                <w:lang w:val="ru-RU" w:eastAsia="ru-RU"/>
              </w:rPr>
              <w:t>7,6</w:t>
            </w:r>
          </w:p>
        </w:tc>
      </w:tr>
    </w:tbl>
    <w:p w:rsidR="0010182D" w:rsidRPr="006C1E8B" w:rsidRDefault="0010182D" w:rsidP="0010182D">
      <w:pPr>
        <w:pStyle w:val="2normal"/>
        <w:jc w:val="both"/>
        <w:rPr>
          <w:sz w:val="20"/>
          <w:szCs w:val="20"/>
          <w:highlight w:val="yellow"/>
          <w:lang w:val="ru-RU"/>
        </w:rPr>
      </w:pPr>
    </w:p>
    <w:p w:rsidR="0010182D" w:rsidRPr="00085C35" w:rsidRDefault="0010182D" w:rsidP="0010182D">
      <w:pPr>
        <w:pStyle w:val="Default"/>
        <w:jc w:val="both"/>
        <w:rPr>
          <w:sz w:val="20"/>
          <w:szCs w:val="20"/>
          <w:lang w:val="ru-RU"/>
        </w:rPr>
      </w:pPr>
      <w:r>
        <w:rPr>
          <w:sz w:val="20"/>
          <w:szCs w:val="20"/>
          <w:lang w:val="ru-RU"/>
        </w:rPr>
        <w:t xml:space="preserve">За 31 декабря </w:t>
      </w:r>
      <w:r w:rsidRPr="00422456">
        <w:rPr>
          <w:sz w:val="20"/>
          <w:szCs w:val="20"/>
          <w:lang w:val="ru-RU"/>
        </w:rPr>
        <w:t>201</w:t>
      </w:r>
      <w:r>
        <w:rPr>
          <w:sz w:val="20"/>
          <w:szCs w:val="20"/>
          <w:lang w:val="ru-RU"/>
        </w:rPr>
        <w:t>8</w:t>
      </w:r>
      <w:r w:rsidRPr="00422456">
        <w:rPr>
          <w:sz w:val="20"/>
          <w:szCs w:val="20"/>
          <w:lang w:val="ru-RU"/>
        </w:rPr>
        <w:t xml:space="preserve"> года в портфеле Банка находятся рублевые облигации </w:t>
      </w:r>
      <w:r>
        <w:rPr>
          <w:sz w:val="20"/>
          <w:szCs w:val="20"/>
          <w:lang w:val="ru-RU"/>
        </w:rPr>
        <w:t xml:space="preserve">кредитных организаций, ОФЗ, субъектов РФ, </w:t>
      </w:r>
      <w:r w:rsidRPr="00422456">
        <w:rPr>
          <w:sz w:val="20"/>
          <w:szCs w:val="20"/>
          <w:lang w:val="ru-RU"/>
        </w:rPr>
        <w:t>российских компаний</w:t>
      </w:r>
      <w:r>
        <w:rPr>
          <w:sz w:val="20"/>
          <w:szCs w:val="20"/>
          <w:lang w:val="ru-RU"/>
        </w:rPr>
        <w:t>,</w:t>
      </w:r>
      <w:r w:rsidRPr="00422456">
        <w:rPr>
          <w:sz w:val="20"/>
          <w:szCs w:val="20"/>
          <w:lang w:val="ru-RU"/>
        </w:rPr>
        <w:t xml:space="preserve"> срок погашения </w:t>
      </w:r>
      <w:r w:rsidRPr="00085C35">
        <w:rPr>
          <w:sz w:val="20"/>
          <w:szCs w:val="20"/>
          <w:lang w:val="ru-RU"/>
        </w:rPr>
        <w:t xml:space="preserve">которых </w:t>
      </w:r>
      <w:r>
        <w:rPr>
          <w:sz w:val="20"/>
          <w:szCs w:val="20"/>
          <w:lang w:val="ru-RU"/>
        </w:rPr>
        <w:t xml:space="preserve">начинается </w:t>
      </w:r>
      <w:r w:rsidRPr="00085C35">
        <w:rPr>
          <w:sz w:val="20"/>
          <w:szCs w:val="20"/>
          <w:lang w:val="ru-RU"/>
        </w:rPr>
        <w:t xml:space="preserve">с </w:t>
      </w:r>
      <w:r>
        <w:rPr>
          <w:sz w:val="20"/>
          <w:szCs w:val="20"/>
          <w:lang w:val="ru-RU"/>
        </w:rPr>
        <w:t xml:space="preserve">7 февраля </w:t>
      </w:r>
      <w:r w:rsidRPr="00085C35">
        <w:rPr>
          <w:sz w:val="20"/>
          <w:szCs w:val="20"/>
          <w:lang w:val="ru-RU"/>
        </w:rPr>
        <w:t>201</w:t>
      </w:r>
      <w:r>
        <w:rPr>
          <w:sz w:val="20"/>
          <w:szCs w:val="20"/>
          <w:lang w:val="ru-RU"/>
        </w:rPr>
        <w:t>9</w:t>
      </w:r>
      <w:r w:rsidRPr="00085C35">
        <w:rPr>
          <w:sz w:val="20"/>
          <w:szCs w:val="20"/>
          <w:lang w:val="ru-RU"/>
        </w:rPr>
        <w:t xml:space="preserve"> года по </w:t>
      </w:r>
      <w:r>
        <w:rPr>
          <w:sz w:val="20"/>
          <w:szCs w:val="20"/>
          <w:lang w:val="ru-RU"/>
        </w:rPr>
        <w:t>26</w:t>
      </w:r>
      <w:r w:rsidRPr="00085C35">
        <w:rPr>
          <w:sz w:val="20"/>
          <w:szCs w:val="20"/>
          <w:lang w:val="ru-RU"/>
        </w:rPr>
        <w:t xml:space="preserve"> </w:t>
      </w:r>
      <w:r>
        <w:rPr>
          <w:sz w:val="20"/>
          <w:szCs w:val="20"/>
          <w:lang w:val="ru-RU"/>
        </w:rPr>
        <w:t xml:space="preserve">июня </w:t>
      </w:r>
      <w:r w:rsidRPr="00085C35">
        <w:rPr>
          <w:sz w:val="20"/>
          <w:szCs w:val="20"/>
          <w:lang w:val="ru-RU"/>
        </w:rPr>
        <w:t>202</w:t>
      </w:r>
      <w:r>
        <w:rPr>
          <w:sz w:val="20"/>
          <w:szCs w:val="20"/>
          <w:lang w:val="ru-RU"/>
        </w:rPr>
        <w:t>5</w:t>
      </w:r>
      <w:r w:rsidRPr="00085C35">
        <w:rPr>
          <w:sz w:val="20"/>
          <w:szCs w:val="20"/>
          <w:lang w:val="ru-RU"/>
        </w:rPr>
        <w:t xml:space="preserve"> года, ставки купонной доходности находятся в размере от 6,</w:t>
      </w:r>
      <w:r>
        <w:rPr>
          <w:sz w:val="20"/>
          <w:szCs w:val="20"/>
          <w:lang w:val="ru-RU"/>
        </w:rPr>
        <w:t>6</w:t>
      </w:r>
      <w:r w:rsidRPr="00085C35">
        <w:rPr>
          <w:sz w:val="20"/>
          <w:szCs w:val="20"/>
          <w:lang w:val="ru-RU"/>
        </w:rPr>
        <w:t xml:space="preserve">% до 11,3%. </w:t>
      </w:r>
      <w:r>
        <w:rPr>
          <w:sz w:val="20"/>
          <w:szCs w:val="20"/>
          <w:lang w:val="ru-RU"/>
        </w:rPr>
        <w:t>Вложения Банка в к</w:t>
      </w:r>
      <w:r w:rsidRPr="00085C35">
        <w:rPr>
          <w:color w:val="auto"/>
          <w:sz w:val="20"/>
          <w:szCs w:val="20"/>
          <w:lang w:val="ru-RU"/>
        </w:rPr>
        <w:t xml:space="preserve">упонные облигации Банка России </w:t>
      </w:r>
      <w:r>
        <w:rPr>
          <w:color w:val="auto"/>
          <w:sz w:val="20"/>
          <w:szCs w:val="20"/>
          <w:lang w:val="ru-RU"/>
        </w:rPr>
        <w:t>составляют</w:t>
      </w:r>
      <w:r w:rsidRPr="00085C35">
        <w:rPr>
          <w:sz w:val="20"/>
          <w:szCs w:val="20"/>
          <w:lang w:val="ru-RU"/>
        </w:rPr>
        <w:t xml:space="preserve"> сумму 8</w:t>
      </w:r>
      <w:r>
        <w:rPr>
          <w:sz w:val="20"/>
          <w:szCs w:val="20"/>
          <w:lang w:val="ru-RU"/>
        </w:rPr>
        <w:t>19</w:t>
      </w:r>
      <w:r w:rsidRPr="00085C35">
        <w:rPr>
          <w:sz w:val="20"/>
          <w:szCs w:val="20"/>
          <w:lang w:val="ru-RU"/>
        </w:rPr>
        <w:t>,</w:t>
      </w:r>
      <w:r>
        <w:rPr>
          <w:sz w:val="20"/>
          <w:szCs w:val="20"/>
          <w:lang w:val="ru-RU"/>
        </w:rPr>
        <w:t>6</w:t>
      </w:r>
      <w:r w:rsidRPr="00085C35">
        <w:rPr>
          <w:sz w:val="20"/>
          <w:szCs w:val="20"/>
          <w:lang w:val="ru-RU"/>
        </w:rPr>
        <w:t xml:space="preserve"> млн.</w:t>
      </w:r>
      <w:r w:rsidR="00F84A17">
        <w:rPr>
          <w:sz w:val="20"/>
          <w:szCs w:val="20"/>
          <w:lang w:val="ru-RU"/>
        </w:rPr>
        <w:t xml:space="preserve"> руб.</w:t>
      </w:r>
      <w:r w:rsidRPr="00085C35">
        <w:rPr>
          <w:sz w:val="20"/>
          <w:szCs w:val="20"/>
          <w:lang w:val="ru-RU"/>
        </w:rPr>
        <w:t>, срок погашения 1</w:t>
      </w:r>
      <w:r>
        <w:rPr>
          <w:sz w:val="20"/>
          <w:szCs w:val="20"/>
          <w:lang w:val="ru-RU"/>
        </w:rPr>
        <w:t>6 января</w:t>
      </w:r>
      <w:r w:rsidRPr="00085C35">
        <w:rPr>
          <w:sz w:val="20"/>
          <w:szCs w:val="20"/>
          <w:lang w:val="ru-RU"/>
        </w:rPr>
        <w:t xml:space="preserve"> 201</w:t>
      </w:r>
      <w:r>
        <w:rPr>
          <w:sz w:val="20"/>
          <w:szCs w:val="20"/>
          <w:lang w:val="ru-RU"/>
        </w:rPr>
        <w:t>9</w:t>
      </w:r>
      <w:r w:rsidRPr="00085C35">
        <w:rPr>
          <w:sz w:val="20"/>
          <w:szCs w:val="20"/>
          <w:lang w:val="ru-RU"/>
        </w:rPr>
        <w:t xml:space="preserve"> года и 1</w:t>
      </w:r>
      <w:r>
        <w:rPr>
          <w:sz w:val="20"/>
          <w:szCs w:val="20"/>
          <w:lang w:val="ru-RU"/>
        </w:rPr>
        <w:t>3</w:t>
      </w:r>
      <w:r w:rsidRPr="00085C35">
        <w:rPr>
          <w:sz w:val="20"/>
          <w:szCs w:val="20"/>
          <w:lang w:val="ru-RU"/>
        </w:rPr>
        <w:t xml:space="preserve"> </w:t>
      </w:r>
      <w:r>
        <w:rPr>
          <w:sz w:val="20"/>
          <w:szCs w:val="20"/>
          <w:lang w:val="ru-RU"/>
        </w:rPr>
        <w:t>февраля</w:t>
      </w:r>
      <w:r w:rsidRPr="00085C35">
        <w:rPr>
          <w:sz w:val="20"/>
          <w:szCs w:val="20"/>
          <w:lang w:val="ru-RU"/>
        </w:rPr>
        <w:t xml:space="preserve"> 201</w:t>
      </w:r>
      <w:r>
        <w:rPr>
          <w:sz w:val="20"/>
          <w:szCs w:val="20"/>
          <w:lang w:val="ru-RU"/>
        </w:rPr>
        <w:t>9</w:t>
      </w:r>
      <w:r w:rsidRPr="00085C35">
        <w:rPr>
          <w:sz w:val="20"/>
          <w:szCs w:val="20"/>
          <w:lang w:val="ru-RU"/>
        </w:rPr>
        <w:t xml:space="preserve"> года, ставка по купону 7,</w:t>
      </w:r>
      <w:r>
        <w:rPr>
          <w:sz w:val="20"/>
          <w:szCs w:val="20"/>
          <w:lang w:val="ru-RU"/>
        </w:rPr>
        <w:t>7</w:t>
      </w:r>
      <w:r w:rsidRPr="00085C35">
        <w:rPr>
          <w:sz w:val="20"/>
          <w:szCs w:val="20"/>
          <w:lang w:val="ru-RU"/>
        </w:rPr>
        <w:t xml:space="preserve">5% </w:t>
      </w:r>
    </w:p>
    <w:p w:rsidR="0010182D" w:rsidRPr="00085C35" w:rsidRDefault="0010182D" w:rsidP="0010182D">
      <w:pPr>
        <w:pStyle w:val="2normal"/>
        <w:jc w:val="both"/>
        <w:rPr>
          <w:sz w:val="20"/>
          <w:szCs w:val="20"/>
          <w:lang w:val="ru-RU"/>
        </w:rPr>
      </w:pPr>
    </w:p>
    <w:p w:rsidR="0010182D" w:rsidRDefault="0010182D" w:rsidP="0010182D">
      <w:pPr>
        <w:pStyle w:val="2normal"/>
        <w:jc w:val="both"/>
        <w:rPr>
          <w:sz w:val="20"/>
          <w:szCs w:val="20"/>
          <w:lang w:val="ru-RU"/>
        </w:rPr>
      </w:pPr>
      <w:r>
        <w:rPr>
          <w:sz w:val="20"/>
          <w:szCs w:val="20"/>
          <w:lang w:val="ru-RU"/>
        </w:rPr>
        <w:t>Вложения Банка в</w:t>
      </w:r>
      <w:r w:rsidRPr="00085C35">
        <w:rPr>
          <w:sz w:val="20"/>
          <w:szCs w:val="20"/>
          <w:lang w:val="ru-RU"/>
        </w:rPr>
        <w:t xml:space="preserve"> еврооблигации </w:t>
      </w:r>
      <w:r>
        <w:rPr>
          <w:sz w:val="20"/>
          <w:szCs w:val="20"/>
          <w:lang w:val="ru-RU"/>
        </w:rPr>
        <w:t>Евразийского банка развития со</w:t>
      </w:r>
      <w:r w:rsidR="00F84A17">
        <w:rPr>
          <w:sz w:val="20"/>
          <w:szCs w:val="20"/>
          <w:lang w:val="ru-RU"/>
        </w:rPr>
        <w:t>ставляют сумму 152,98 млн. руб.</w:t>
      </w:r>
      <w:r>
        <w:rPr>
          <w:sz w:val="20"/>
          <w:szCs w:val="20"/>
          <w:lang w:val="ru-RU"/>
        </w:rPr>
        <w:t xml:space="preserve">, срок погашения 24 января 2020 года, ставка </w:t>
      </w:r>
      <w:r w:rsidRPr="00085C35">
        <w:rPr>
          <w:sz w:val="20"/>
          <w:szCs w:val="20"/>
          <w:lang w:val="ru-RU"/>
        </w:rPr>
        <w:t>по купону 7,</w:t>
      </w:r>
      <w:r>
        <w:rPr>
          <w:sz w:val="20"/>
          <w:szCs w:val="20"/>
          <w:lang w:val="ru-RU"/>
        </w:rPr>
        <w:t>6</w:t>
      </w:r>
      <w:r w:rsidRPr="00085C35">
        <w:rPr>
          <w:sz w:val="20"/>
          <w:szCs w:val="20"/>
          <w:lang w:val="ru-RU"/>
        </w:rPr>
        <w:t>%.</w:t>
      </w:r>
      <w:r w:rsidRPr="00422456">
        <w:rPr>
          <w:sz w:val="20"/>
          <w:szCs w:val="20"/>
          <w:lang w:val="ru-RU"/>
        </w:rPr>
        <w:t xml:space="preserve"> </w:t>
      </w:r>
    </w:p>
    <w:p w:rsidR="0010182D" w:rsidRPr="00422456" w:rsidRDefault="0010182D" w:rsidP="0010182D">
      <w:pPr>
        <w:pStyle w:val="2normal"/>
        <w:jc w:val="both"/>
        <w:rPr>
          <w:sz w:val="20"/>
          <w:szCs w:val="20"/>
          <w:lang w:val="ru-RU"/>
        </w:rPr>
      </w:pPr>
    </w:p>
    <w:p w:rsidR="0010182D" w:rsidRPr="00631B73" w:rsidRDefault="0010182D" w:rsidP="0010182D">
      <w:pPr>
        <w:pStyle w:val="2normal"/>
        <w:jc w:val="both"/>
        <w:rPr>
          <w:sz w:val="20"/>
          <w:szCs w:val="20"/>
          <w:lang w:val="ru-RU"/>
        </w:rPr>
      </w:pPr>
      <w:r w:rsidRPr="00631B73">
        <w:rPr>
          <w:sz w:val="20"/>
          <w:szCs w:val="20"/>
          <w:lang w:val="ru-RU"/>
        </w:rPr>
        <w:t>За 3</w:t>
      </w:r>
      <w:r>
        <w:rPr>
          <w:sz w:val="20"/>
          <w:szCs w:val="20"/>
          <w:lang w:val="ru-RU"/>
        </w:rPr>
        <w:t>1</w:t>
      </w:r>
      <w:r w:rsidRPr="00631B73">
        <w:rPr>
          <w:sz w:val="20"/>
          <w:szCs w:val="20"/>
          <w:lang w:val="ru-RU"/>
        </w:rPr>
        <w:t xml:space="preserve"> </w:t>
      </w:r>
      <w:r>
        <w:rPr>
          <w:sz w:val="20"/>
          <w:szCs w:val="20"/>
          <w:lang w:val="ru-RU"/>
        </w:rPr>
        <w:t xml:space="preserve">декабря </w:t>
      </w:r>
      <w:r w:rsidRPr="00631B73">
        <w:rPr>
          <w:sz w:val="20"/>
          <w:szCs w:val="20"/>
          <w:lang w:val="ru-RU"/>
        </w:rPr>
        <w:t xml:space="preserve">2017 года долговые обязательства включают в себя облигации со следующими параметрами:   </w:t>
      </w:r>
    </w:p>
    <w:p w:rsidR="0010182D" w:rsidRPr="006C1E8B" w:rsidRDefault="0010182D" w:rsidP="0010182D">
      <w:pPr>
        <w:pStyle w:val="2normal"/>
        <w:jc w:val="both"/>
        <w:rPr>
          <w:sz w:val="20"/>
          <w:szCs w:val="20"/>
          <w:highlight w:val="yellow"/>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956"/>
        <w:gridCol w:w="1202"/>
        <w:gridCol w:w="1713"/>
        <w:gridCol w:w="1326"/>
        <w:gridCol w:w="1586"/>
      </w:tblGrid>
      <w:tr w:rsidR="0010182D" w:rsidRPr="00F36C14" w:rsidTr="00BE27CD">
        <w:trPr>
          <w:tblHeader/>
        </w:trPr>
        <w:tc>
          <w:tcPr>
            <w:tcW w:w="2689"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Тип э</w:t>
            </w:r>
            <w:r w:rsidRPr="00422456">
              <w:rPr>
                <w:rFonts w:cs="Arial"/>
                <w:b/>
                <w:bCs/>
                <w:sz w:val="16"/>
                <w:szCs w:val="16"/>
                <w:lang w:val="ru-RU" w:eastAsia="ru-RU"/>
              </w:rPr>
              <w:t>митент</w:t>
            </w:r>
            <w:r>
              <w:rPr>
                <w:rFonts w:cs="Arial"/>
                <w:b/>
                <w:bCs/>
                <w:sz w:val="16"/>
                <w:szCs w:val="16"/>
                <w:lang w:val="ru-RU" w:eastAsia="ru-RU"/>
              </w:rPr>
              <w:t>а</w:t>
            </w:r>
          </w:p>
        </w:tc>
        <w:tc>
          <w:tcPr>
            <w:tcW w:w="956" w:type="dxa"/>
            <w:tcBorders>
              <w:top w:val="single" w:sz="4" w:space="0" w:color="auto"/>
              <w:bottom w:val="single" w:sz="4" w:space="0" w:color="auto"/>
            </w:tcBorders>
            <w:vAlign w:val="center"/>
          </w:tcPr>
          <w:p w:rsidR="0010182D"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СС,</w:t>
            </w:r>
          </w:p>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руб.</w:t>
            </w:r>
          </w:p>
        </w:tc>
        <w:tc>
          <w:tcPr>
            <w:tcW w:w="1085"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Количество</w:t>
            </w:r>
            <w:r w:rsidRPr="00422456">
              <w:rPr>
                <w:rFonts w:cs="Arial"/>
                <w:b/>
                <w:bCs/>
                <w:sz w:val="16"/>
                <w:szCs w:val="16"/>
                <w:lang w:val="ru-RU" w:eastAsia="ru-RU"/>
              </w:rPr>
              <w:t>,</w:t>
            </w:r>
          </w:p>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шт</w:t>
            </w:r>
          </w:p>
        </w:tc>
        <w:tc>
          <w:tcPr>
            <w:tcW w:w="1713"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Ближайшая дата погашения/оферта</w:t>
            </w:r>
          </w:p>
        </w:tc>
        <w:tc>
          <w:tcPr>
            <w:tcW w:w="1326"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Конечная дата погашения/ оферта</w:t>
            </w:r>
          </w:p>
        </w:tc>
        <w:tc>
          <w:tcPr>
            <w:tcW w:w="1586" w:type="dxa"/>
            <w:tcBorders>
              <w:top w:val="single" w:sz="4" w:space="0" w:color="auto"/>
              <w:bottom w:val="single" w:sz="4" w:space="0" w:color="auto"/>
            </w:tcBorders>
            <w:vAlign w:val="center"/>
          </w:tcPr>
          <w:p w:rsidR="0010182D" w:rsidRPr="00422456" w:rsidRDefault="0010182D" w:rsidP="00702C3F">
            <w:pPr>
              <w:overflowPunct/>
              <w:autoSpaceDE/>
              <w:autoSpaceDN/>
              <w:adjustRightInd/>
              <w:jc w:val="center"/>
              <w:textAlignment w:val="auto"/>
              <w:rPr>
                <w:rFonts w:cs="Arial"/>
                <w:b/>
                <w:bCs/>
                <w:sz w:val="16"/>
                <w:szCs w:val="16"/>
                <w:lang w:val="ru-RU" w:eastAsia="ru-RU"/>
              </w:rPr>
            </w:pPr>
            <w:r w:rsidRPr="00422456">
              <w:rPr>
                <w:rFonts w:cs="Arial"/>
                <w:b/>
                <w:bCs/>
                <w:sz w:val="16"/>
                <w:szCs w:val="16"/>
                <w:lang w:val="ru-RU" w:eastAsia="ru-RU"/>
              </w:rPr>
              <w:t>Ставка по купону в %</w:t>
            </w:r>
          </w:p>
        </w:tc>
      </w:tr>
      <w:tr w:rsidR="0010182D" w:rsidRPr="002348CD" w:rsidTr="001E0477">
        <w:tc>
          <w:tcPr>
            <w:tcW w:w="2689" w:type="dxa"/>
            <w:tcBorders>
              <w:top w:val="single" w:sz="4" w:space="0" w:color="auto"/>
              <w:bottom w:val="single" w:sz="4" w:space="0" w:color="auto"/>
            </w:tcBorders>
            <w:vAlign w:val="center"/>
          </w:tcPr>
          <w:p w:rsidR="0010182D" w:rsidRPr="00422456" w:rsidRDefault="0010182D" w:rsidP="001E0477">
            <w:pPr>
              <w:overflowPunct/>
              <w:autoSpaceDE/>
              <w:autoSpaceDN/>
              <w:adjustRightInd/>
              <w:textAlignment w:val="auto"/>
              <w:rPr>
                <w:rFonts w:cs="Arial"/>
                <w:b/>
                <w:bCs/>
                <w:sz w:val="16"/>
                <w:szCs w:val="16"/>
                <w:lang w:val="ru-RU" w:eastAsia="ru-RU"/>
              </w:rPr>
            </w:pPr>
            <w:r>
              <w:rPr>
                <w:rFonts w:cs="Arial"/>
                <w:b/>
                <w:bCs/>
                <w:sz w:val="16"/>
                <w:szCs w:val="16"/>
                <w:lang w:val="ru-RU" w:eastAsia="ru-RU"/>
              </w:rPr>
              <w:t>Облигации Российской Федерации</w:t>
            </w:r>
          </w:p>
        </w:tc>
        <w:tc>
          <w:tcPr>
            <w:tcW w:w="956"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1</w:t>
            </w:r>
            <w:r>
              <w:rPr>
                <w:rFonts w:cs="Arial"/>
                <w:b/>
                <w:bCs/>
                <w:sz w:val="16"/>
                <w:szCs w:val="16"/>
                <w:lang w:val="en-US" w:eastAsia="ru-RU"/>
              </w:rPr>
              <w:t>7 126</w:t>
            </w:r>
          </w:p>
        </w:tc>
        <w:tc>
          <w:tcPr>
            <w:tcW w:w="1085"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16 391</w:t>
            </w:r>
          </w:p>
        </w:tc>
        <w:tc>
          <w:tcPr>
            <w:tcW w:w="1713"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18</w:t>
            </w:r>
            <w:r>
              <w:rPr>
                <w:rFonts w:cs="Arial"/>
                <w:b/>
                <w:bCs/>
                <w:sz w:val="16"/>
                <w:szCs w:val="16"/>
                <w:lang w:val="ru-RU" w:eastAsia="ru-RU"/>
              </w:rPr>
              <w:t>-</w:t>
            </w:r>
            <w:r>
              <w:rPr>
                <w:rFonts w:cs="Arial"/>
                <w:b/>
                <w:bCs/>
                <w:sz w:val="16"/>
                <w:szCs w:val="16"/>
                <w:lang w:val="en-US" w:eastAsia="ru-RU"/>
              </w:rPr>
              <w:t>08</w:t>
            </w:r>
            <w:r>
              <w:rPr>
                <w:rFonts w:cs="Arial"/>
                <w:b/>
                <w:bCs/>
                <w:sz w:val="16"/>
                <w:szCs w:val="16"/>
                <w:lang w:val="ru-RU" w:eastAsia="ru-RU"/>
              </w:rPr>
              <w:t>-20</w:t>
            </w:r>
            <w:r>
              <w:rPr>
                <w:rFonts w:cs="Arial"/>
                <w:b/>
                <w:bCs/>
                <w:sz w:val="16"/>
                <w:szCs w:val="16"/>
                <w:lang w:val="en-US" w:eastAsia="ru-RU"/>
              </w:rPr>
              <w:t>21</w:t>
            </w:r>
          </w:p>
        </w:tc>
        <w:tc>
          <w:tcPr>
            <w:tcW w:w="1326"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18</w:t>
            </w:r>
            <w:r>
              <w:rPr>
                <w:rFonts w:cs="Arial"/>
                <w:b/>
                <w:bCs/>
                <w:sz w:val="16"/>
                <w:szCs w:val="16"/>
                <w:lang w:val="ru-RU" w:eastAsia="ru-RU"/>
              </w:rPr>
              <w:t>-0</w:t>
            </w:r>
            <w:r>
              <w:rPr>
                <w:rFonts w:cs="Arial"/>
                <w:b/>
                <w:bCs/>
                <w:sz w:val="16"/>
                <w:szCs w:val="16"/>
                <w:lang w:val="en-US" w:eastAsia="ru-RU"/>
              </w:rPr>
              <w:t>8</w:t>
            </w:r>
            <w:r>
              <w:rPr>
                <w:rFonts w:cs="Arial"/>
                <w:b/>
                <w:bCs/>
                <w:sz w:val="16"/>
                <w:szCs w:val="16"/>
                <w:lang w:val="ru-RU" w:eastAsia="ru-RU"/>
              </w:rPr>
              <w:t>-202</w:t>
            </w:r>
            <w:r>
              <w:rPr>
                <w:rFonts w:cs="Arial"/>
                <w:b/>
                <w:bCs/>
                <w:sz w:val="16"/>
                <w:szCs w:val="16"/>
                <w:lang w:val="en-US" w:eastAsia="ru-RU"/>
              </w:rPr>
              <w:t>1</w:t>
            </w:r>
          </w:p>
        </w:tc>
        <w:tc>
          <w:tcPr>
            <w:tcW w:w="1586"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7</w:t>
            </w:r>
            <w:r>
              <w:rPr>
                <w:rFonts w:cs="Arial"/>
                <w:b/>
                <w:bCs/>
                <w:sz w:val="16"/>
                <w:szCs w:val="16"/>
                <w:lang w:val="ru-RU" w:eastAsia="ru-RU"/>
              </w:rPr>
              <w:t>,</w:t>
            </w:r>
            <w:r>
              <w:rPr>
                <w:rFonts w:cs="Arial"/>
                <w:b/>
                <w:bCs/>
                <w:sz w:val="16"/>
                <w:szCs w:val="16"/>
                <w:lang w:val="en-US" w:eastAsia="ru-RU"/>
              </w:rPr>
              <w:t>5</w:t>
            </w:r>
          </w:p>
        </w:tc>
      </w:tr>
      <w:tr w:rsidR="0010182D" w:rsidRPr="002348CD" w:rsidTr="001E0477">
        <w:tc>
          <w:tcPr>
            <w:tcW w:w="2689" w:type="dxa"/>
            <w:tcBorders>
              <w:top w:val="single" w:sz="4" w:space="0" w:color="auto"/>
              <w:bottom w:val="single" w:sz="4" w:space="0" w:color="auto"/>
            </w:tcBorders>
            <w:vAlign w:val="center"/>
          </w:tcPr>
          <w:p w:rsidR="0010182D" w:rsidRDefault="0010182D" w:rsidP="001E0477">
            <w:pPr>
              <w:overflowPunct/>
              <w:autoSpaceDE/>
              <w:autoSpaceDN/>
              <w:adjustRightInd/>
              <w:textAlignment w:val="auto"/>
              <w:rPr>
                <w:rFonts w:cs="Arial"/>
                <w:b/>
                <w:bCs/>
                <w:sz w:val="16"/>
                <w:szCs w:val="16"/>
                <w:lang w:val="ru-RU" w:eastAsia="ru-RU"/>
              </w:rPr>
            </w:pPr>
            <w:r>
              <w:rPr>
                <w:rFonts w:cs="Arial"/>
                <w:b/>
                <w:bCs/>
                <w:sz w:val="16"/>
                <w:szCs w:val="16"/>
                <w:lang w:val="ru-RU" w:eastAsia="ru-RU"/>
              </w:rPr>
              <w:t>Облигации Банка России</w:t>
            </w:r>
          </w:p>
        </w:tc>
        <w:tc>
          <w:tcPr>
            <w:tcW w:w="956"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804 080</w:t>
            </w:r>
          </w:p>
        </w:tc>
        <w:tc>
          <w:tcPr>
            <w:tcW w:w="1085"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800 000</w:t>
            </w:r>
          </w:p>
        </w:tc>
        <w:tc>
          <w:tcPr>
            <w:tcW w:w="1713"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14-03-2018</w:t>
            </w:r>
          </w:p>
        </w:tc>
        <w:tc>
          <w:tcPr>
            <w:tcW w:w="1326" w:type="dxa"/>
            <w:tcBorders>
              <w:top w:val="single" w:sz="4" w:space="0" w:color="auto"/>
              <w:bottom w:val="single" w:sz="4" w:space="0" w:color="auto"/>
            </w:tcBorders>
            <w:vAlign w:val="center"/>
          </w:tcPr>
          <w:p w:rsidR="0010182D" w:rsidRPr="00E02E0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14-03-2018</w:t>
            </w:r>
          </w:p>
        </w:tc>
        <w:tc>
          <w:tcPr>
            <w:tcW w:w="1586" w:type="dxa"/>
            <w:tcBorders>
              <w:top w:val="single" w:sz="4" w:space="0" w:color="auto"/>
              <w:bottom w:val="single" w:sz="4" w:space="0" w:color="auto"/>
            </w:tcBorders>
            <w:vAlign w:val="center"/>
          </w:tcPr>
          <w:p w:rsidR="0010182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7,75</w:t>
            </w:r>
          </w:p>
        </w:tc>
      </w:tr>
      <w:tr w:rsidR="0010182D" w:rsidRPr="000703ED" w:rsidTr="001E0477">
        <w:tc>
          <w:tcPr>
            <w:tcW w:w="2689" w:type="dxa"/>
            <w:tcBorders>
              <w:top w:val="single" w:sz="4" w:space="0" w:color="auto"/>
              <w:bottom w:val="single" w:sz="4" w:space="0" w:color="auto"/>
            </w:tcBorders>
            <w:vAlign w:val="center"/>
          </w:tcPr>
          <w:p w:rsidR="0010182D" w:rsidRPr="00EE3CCD" w:rsidRDefault="0010182D" w:rsidP="001E0477">
            <w:pPr>
              <w:overflowPunct/>
              <w:autoSpaceDE/>
              <w:autoSpaceDN/>
              <w:adjustRightInd/>
              <w:textAlignment w:val="auto"/>
              <w:rPr>
                <w:rFonts w:cs="Arial"/>
                <w:b/>
                <w:bCs/>
                <w:sz w:val="16"/>
                <w:szCs w:val="16"/>
                <w:lang w:val="ru-RU" w:eastAsia="ru-RU"/>
              </w:rPr>
            </w:pPr>
            <w:r w:rsidRPr="00EE3CCD">
              <w:rPr>
                <w:rFonts w:cs="Arial"/>
                <w:b/>
                <w:bCs/>
                <w:sz w:val="16"/>
                <w:szCs w:val="16"/>
                <w:lang w:val="ru-RU" w:eastAsia="ru-RU"/>
              </w:rPr>
              <w:t>Облигации кредитных организаций</w:t>
            </w:r>
          </w:p>
        </w:tc>
        <w:tc>
          <w:tcPr>
            <w:tcW w:w="956" w:type="dxa"/>
            <w:tcBorders>
              <w:top w:val="single" w:sz="4" w:space="0" w:color="auto"/>
              <w:bottom w:val="single" w:sz="4" w:space="0" w:color="auto"/>
            </w:tcBorders>
            <w:vAlign w:val="bottom"/>
          </w:tcPr>
          <w:p w:rsidR="0010182D" w:rsidRPr="000703E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442 783</w:t>
            </w:r>
          </w:p>
        </w:tc>
        <w:tc>
          <w:tcPr>
            <w:tcW w:w="1085" w:type="dxa"/>
            <w:tcBorders>
              <w:top w:val="single" w:sz="4" w:space="0" w:color="auto"/>
              <w:bottom w:val="single" w:sz="4" w:space="0" w:color="auto"/>
            </w:tcBorders>
            <w:vAlign w:val="bottom"/>
          </w:tcPr>
          <w:p w:rsidR="0010182D" w:rsidRPr="000703E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431 604</w:t>
            </w:r>
          </w:p>
        </w:tc>
        <w:tc>
          <w:tcPr>
            <w:tcW w:w="1713" w:type="dxa"/>
            <w:tcBorders>
              <w:top w:val="single" w:sz="4" w:space="0" w:color="auto"/>
              <w:bottom w:val="single" w:sz="4" w:space="0" w:color="auto"/>
            </w:tcBorders>
            <w:vAlign w:val="bottom"/>
          </w:tcPr>
          <w:p w:rsidR="0010182D" w:rsidRPr="000703ED" w:rsidRDefault="0010182D" w:rsidP="00702C3F">
            <w:pPr>
              <w:overflowPunct/>
              <w:autoSpaceDE/>
              <w:autoSpaceDN/>
              <w:adjustRightInd/>
              <w:jc w:val="center"/>
              <w:textAlignment w:val="auto"/>
              <w:rPr>
                <w:rFonts w:cs="Arial"/>
                <w:b/>
                <w:bCs/>
                <w:sz w:val="16"/>
                <w:szCs w:val="16"/>
                <w:lang w:val="en-US" w:eastAsia="ru-RU"/>
              </w:rPr>
            </w:pPr>
            <w:r w:rsidRPr="000703ED">
              <w:rPr>
                <w:rFonts w:cs="Arial"/>
                <w:b/>
                <w:bCs/>
                <w:sz w:val="16"/>
                <w:szCs w:val="16"/>
                <w:lang w:val="ru-RU" w:eastAsia="ru-RU"/>
              </w:rPr>
              <w:t>1</w:t>
            </w:r>
            <w:r>
              <w:rPr>
                <w:rFonts w:cs="Arial"/>
                <w:b/>
                <w:bCs/>
                <w:sz w:val="16"/>
                <w:szCs w:val="16"/>
                <w:lang w:val="ru-RU" w:eastAsia="ru-RU"/>
              </w:rPr>
              <w:t>1-</w:t>
            </w:r>
            <w:r w:rsidRPr="000703ED">
              <w:rPr>
                <w:rFonts w:cs="Arial"/>
                <w:b/>
                <w:bCs/>
                <w:sz w:val="16"/>
                <w:szCs w:val="16"/>
                <w:lang w:val="ru-RU" w:eastAsia="ru-RU"/>
              </w:rPr>
              <w:t>0</w:t>
            </w:r>
            <w:r>
              <w:rPr>
                <w:rFonts w:cs="Arial"/>
                <w:b/>
                <w:bCs/>
                <w:sz w:val="16"/>
                <w:szCs w:val="16"/>
                <w:lang w:val="ru-RU" w:eastAsia="ru-RU"/>
              </w:rPr>
              <w:t>4</w:t>
            </w:r>
            <w:r w:rsidRPr="000703ED">
              <w:rPr>
                <w:rFonts w:cs="Arial"/>
                <w:b/>
                <w:bCs/>
                <w:sz w:val="16"/>
                <w:szCs w:val="16"/>
                <w:lang w:val="ru-RU" w:eastAsia="ru-RU"/>
              </w:rPr>
              <w:t>-201</w:t>
            </w:r>
            <w:r>
              <w:rPr>
                <w:rFonts w:cs="Arial"/>
                <w:b/>
                <w:bCs/>
                <w:sz w:val="16"/>
                <w:szCs w:val="16"/>
                <w:lang w:val="ru-RU" w:eastAsia="ru-RU"/>
              </w:rPr>
              <w:t>8</w:t>
            </w:r>
          </w:p>
        </w:tc>
        <w:tc>
          <w:tcPr>
            <w:tcW w:w="1326" w:type="dxa"/>
            <w:tcBorders>
              <w:top w:val="single" w:sz="4" w:space="0" w:color="auto"/>
              <w:bottom w:val="single" w:sz="4" w:space="0" w:color="auto"/>
            </w:tcBorders>
            <w:vAlign w:val="bottom"/>
          </w:tcPr>
          <w:p w:rsidR="0010182D" w:rsidRPr="000703E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w:t>
            </w:r>
            <w:r w:rsidRPr="000703ED">
              <w:rPr>
                <w:rFonts w:cs="Arial"/>
                <w:b/>
                <w:bCs/>
                <w:sz w:val="16"/>
                <w:szCs w:val="16"/>
                <w:lang w:val="ru-RU" w:eastAsia="ru-RU"/>
              </w:rPr>
              <w:t>0-</w:t>
            </w:r>
            <w:r>
              <w:rPr>
                <w:rFonts w:cs="Arial"/>
                <w:b/>
                <w:bCs/>
                <w:sz w:val="16"/>
                <w:szCs w:val="16"/>
                <w:lang w:val="ru-RU" w:eastAsia="ru-RU"/>
              </w:rPr>
              <w:t>04</w:t>
            </w:r>
            <w:r w:rsidRPr="000703ED">
              <w:rPr>
                <w:rFonts w:cs="Arial"/>
                <w:b/>
                <w:bCs/>
                <w:sz w:val="16"/>
                <w:szCs w:val="16"/>
                <w:lang w:val="ru-RU" w:eastAsia="ru-RU"/>
              </w:rPr>
              <w:t>-20</w:t>
            </w:r>
            <w:r>
              <w:rPr>
                <w:rFonts w:cs="Arial"/>
                <w:b/>
                <w:bCs/>
                <w:sz w:val="16"/>
                <w:szCs w:val="16"/>
                <w:lang w:val="ru-RU" w:eastAsia="ru-RU"/>
              </w:rPr>
              <w:t>20</w:t>
            </w:r>
          </w:p>
        </w:tc>
        <w:tc>
          <w:tcPr>
            <w:tcW w:w="1586" w:type="dxa"/>
            <w:tcBorders>
              <w:top w:val="single" w:sz="4" w:space="0" w:color="auto"/>
              <w:bottom w:val="single" w:sz="4" w:space="0" w:color="auto"/>
            </w:tcBorders>
            <w:vAlign w:val="bottom"/>
          </w:tcPr>
          <w:p w:rsidR="0010182D" w:rsidRPr="000703E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8,</w:t>
            </w:r>
            <w:r w:rsidRPr="000703ED">
              <w:rPr>
                <w:rFonts w:cs="Arial"/>
                <w:b/>
                <w:bCs/>
                <w:sz w:val="16"/>
                <w:szCs w:val="16"/>
                <w:lang w:val="ru-RU" w:eastAsia="ru-RU"/>
              </w:rPr>
              <w:t>0</w:t>
            </w:r>
            <w:r>
              <w:rPr>
                <w:rFonts w:cs="Arial"/>
                <w:b/>
                <w:bCs/>
                <w:sz w:val="16"/>
                <w:szCs w:val="16"/>
                <w:lang w:val="ru-RU" w:eastAsia="ru-RU"/>
              </w:rPr>
              <w:t xml:space="preserve"> – 11,25</w:t>
            </w:r>
          </w:p>
        </w:tc>
      </w:tr>
      <w:tr w:rsidR="0010182D" w:rsidRPr="000703ED" w:rsidTr="001E0477">
        <w:tc>
          <w:tcPr>
            <w:tcW w:w="2689" w:type="dxa"/>
            <w:tcBorders>
              <w:top w:val="single" w:sz="4" w:space="0" w:color="auto"/>
              <w:bottom w:val="single" w:sz="4" w:space="0" w:color="auto"/>
            </w:tcBorders>
            <w:vAlign w:val="center"/>
          </w:tcPr>
          <w:p w:rsidR="0010182D" w:rsidRPr="00EE3CCD" w:rsidRDefault="0010182D" w:rsidP="001E0477">
            <w:pPr>
              <w:overflowPunct/>
              <w:autoSpaceDE/>
              <w:autoSpaceDN/>
              <w:adjustRightInd/>
              <w:textAlignment w:val="auto"/>
              <w:rPr>
                <w:rFonts w:cs="Arial"/>
                <w:b/>
                <w:bCs/>
                <w:sz w:val="16"/>
                <w:szCs w:val="16"/>
                <w:lang w:val="ru-RU" w:eastAsia="ru-RU"/>
              </w:rPr>
            </w:pPr>
            <w:r>
              <w:rPr>
                <w:rFonts w:cs="Arial"/>
                <w:b/>
                <w:bCs/>
                <w:sz w:val="16"/>
                <w:szCs w:val="16"/>
                <w:lang w:val="ru-RU" w:eastAsia="ru-RU"/>
              </w:rPr>
              <w:t>Облигации кредитных организаций дисконтные</w:t>
            </w:r>
          </w:p>
        </w:tc>
        <w:tc>
          <w:tcPr>
            <w:tcW w:w="956" w:type="dxa"/>
            <w:tcBorders>
              <w:top w:val="single" w:sz="4" w:space="0" w:color="auto"/>
              <w:bottom w:val="single" w:sz="4" w:space="0" w:color="auto"/>
            </w:tcBorders>
            <w:vAlign w:val="center"/>
          </w:tcPr>
          <w:p w:rsidR="0010182D" w:rsidRPr="000703ED" w:rsidRDefault="0010182D" w:rsidP="00702C3F">
            <w:pPr>
              <w:overflowPunct/>
              <w:autoSpaceDE/>
              <w:autoSpaceDN/>
              <w:adjustRightInd/>
              <w:jc w:val="center"/>
              <w:textAlignment w:val="auto"/>
              <w:rPr>
                <w:rFonts w:cs="Arial"/>
                <w:b/>
                <w:bCs/>
                <w:sz w:val="16"/>
                <w:szCs w:val="16"/>
                <w:lang w:val="ru-RU" w:eastAsia="ru-RU"/>
              </w:rPr>
            </w:pPr>
            <w:r w:rsidRPr="000703ED">
              <w:rPr>
                <w:rFonts w:cs="Arial"/>
                <w:b/>
                <w:bCs/>
                <w:sz w:val="16"/>
                <w:szCs w:val="16"/>
                <w:lang w:val="ru-RU" w:eastAsia="ru-RU"/>
              </w:rPr>
              <w:t>165 658</w:t>
            </w:r>
          </w:p>
        </w:tc>
        <w:tc>
          <w:tcPr>
            <w:tcW w:w="1085" w:type="dxa"/>
            <w:tcBorders>
              <w:top w:val="single" w:sz="4" w:space="0" w:color="auto"/>
              <w:bottom w:val="single" w:sz="4" w:space="0" w:color="auto"/>
            </w:tcBorders>
            <w:vAlign w:val="center"/>
          </w:tcPr>
          <w:p w:rsidR="0010182D" w:rsidRPr="000703ED" w:rsidRDefault="0010182D" w:rsidP="00702C3F">
            <w:pPr>
              <w:overflowPunct/>
              <w:autoSpaceDE/>
              <w:autoSpaceDN/>
              <w:adjustRightInd/>
              <w:jc w:val="center"/>
              <w:textAlignment w:val="auto"/>
              <w:rPr>
                <w:rFonts w:cs="Arial"/>
                <w:b/>
                <w:bCs/>
                <w:sz w:val="16"/>
                <w:szCs w:val="16"/>
                <w:lang w:val="ru-RU" w:eastAsia="ru-RU"/>
              </w:rPr>
            </w:pPr>
            <w:r w:rsidRPr="000703ED">
              <w:rPr>
                <w:rFonts w:cs="Arial"/>
                <w:b/>
                <w:bCs/>
                <w:sz w:val="16"/>
                <w:szCs w:val="16"/>
                <w:lang w:val="ru-RU" w:eastAsia="ru-RU"/>
              </w:rPr>
              <w:t>166 000</w:t>
            </w:r>
          </w:p>
        </w:tc>
        <w:tc>
          <w:tcPr>
            <w:tcW w:w="1713" w:type="dxa"/>
            <w:tcBorders>
              <w:top w:val="single" w:sz="4" w:space="0" w:color="auto"/>
              <w:bottom w:val="single" w:sz="4" w:space="0" w:color="auto"/>
            </w:tcBorders>
            <w:vAlign w:val="center"/>
          </w:tcPr>
          <w:p w:rsidR="0010182D" w:rsidRPr="000703ED" w:rsidRDefault="0010182D" w:rsidP="00702C3F">
            <w:pPr>
              <w:overflowPunct/>
              <w:autoSpaceDE/>
              <w:autoSpaceDN/>
              <w:adjustRightInd/>
              <w:jc w:val="center"/>
              <w:textAlignment w:val="auto"/>
              <w:rPr>
                <w:rFonts w:cs="Arial"/>
                <w:b/>
                <w:bCs/>
                <w:sz w:val="16"/>
                <w:szCs w:val="16"/>
                <w:lang w:val="ru-RU" w:eastAsia="ru-RU"/>
              </w:rPr>
            </w:pPr>
            <w:r w:rsidRPr="000703ED">
              <w:rPr>
                <w:rFonts w:cs="Arial"/>
                <w:b/>
                <w:bCs/>
                <w:sz w:val="16"/>
                <w:szCs w:val="16"/>
                <w:lang w:val="ru-RU" w:eastAsia="ru-RU"/>
              </w:rPr>
              <w:t>09-01-2018</w:t>
            </w:r>
          </w:p>
        </w:tc>
        <w:tc>
          <w:tcPr>
            <w:tcW w:w="1326" w:type="dxa"/>
            <w:tcBorders>
              <w:top w:val="single" w:sz="4" w:space="0" w:color="auto"/>
              <w:bottom w:val="single" w:sz="4" w:space="0" w:color="auto"/>
            </w:tcBorders>
            <w:vAlign w:val="center"/>
          </w:tcPr>
          <w:p w:rsidR="0010182D" w:rsidRPr="000703ED" w:rsidRDefault="0010182D" w:rsidP="00702C3F">
            <w:pPr>
              <w:overflowPunct/>
              <w:autoSpaceDE/>
              <w:autoSpaceDN/>
              <w:adjustRightInd/>
              <w:jc w:val="center"/>
              <w:textAlignment w:val="auto"/>
              <w:rPr>
                <w:rFonts w:cs="Arial"/>
                <w:b/>
                <w:bCs/>
                <w:sz w:val="16"/>
                <w:szCs w:val="16"/>
                <w:lang w:val="ru-RU" w:eastAsia="ru-RU"/>
              </w:rPr>
            </w:pPr>
            <w:r w:rsidRPr="000703ED">
              <w:rPr>
                <w:rFonts w:cs="Arial"/>
                <w:b/>
                <w:bCs/>
                <w:sz w:val="16"/>
                <w:szCs w:val="16"/>
                <w:lang w:val="ru-RU" w:eastAsia="ru-RU"/>
              </w:rPr>
              <w:t>09-01-2018</w:t>
            </w:r>
          </w:p>
        </w:tc>
        <w:tc>
          <w:tcPr>
            <w:tcW w:w="1586" w:type="dxa"/>
            <w:tcBorders>
              <w:top w:val="single" w:sz="4" w:space="0" w:color="auto"/>
              <w:bottom w:val="single" w:sz="4" w:space="0" w:color="auto"/>
            </w:tcBorders>
            <w:vAlign w:val="center"/>
          </w:tcPr>
          <w:p w:rsidR="0010182D" w:rsidRPr="000703ED"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w:t>
            </w:r>
          </w:p>
        </w:tc>
      </w:tr>
      <w:tr w:rsidR="0010182D" w:rsidRPr="00E04CE7" w:rsidTr="001E0477">
        <w:tc>
          <w:tcPr>
            <w:tcW w:w="2689" w:type="dxa"/>
            <w:tcBorders>
              <w:top w:val="single" w:sz="4" w:space="0" w:color="auto"/>
            </w:tcBorders>
            <w:vAlign w:val="center"/>
          </w:tcPr>
          <w:p w:rsidR="0010182D" w:rsidRPr="008B4444"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8B4444">
              <w:rPr>
                <w:rFonts w:cs="Arial"/>
                <w:sz w:val="16"/>
                <w:szCs w:val="16"/>
                <w:lang w:val="ru-RU" w:eastAsia="ru-RU"/>
              </w:rPr>
              <w:t>блигации предприятий финансового сектора</w:t>
            </w:r>
          </w:p>
        </w:tc>
        <w:tc>
          <w:tcPr>
            <w:tcW w:w="956" w:type="dxa"/>
            <w:tcBorders>
              <w:top w:val="single" w:sz="4" w:space="0" w:color="auto"/>
            </w:tcBorders>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1 294 528</w:t>
            </w:r>
          </w:p>
        </w:tc>
        <w:tc>
          <w:tcPr>
            <w:tcW w:w="1085" w:type="dxa"/>
            <w:tcBorders>
              <w:top w:val="single" w:sz="4" w:space="0" w:color="auto"/>
            </w:tcBorders>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1 24</w:t>
            </w:r>
            <w:r w:rsidRPr="000D1C58">
              <w:rPr>
                <w:rFonts w:cs="Arial"/>
                <w:sz w:val="16"/>
                <w:szCs w:val="16"/>
                <w:lang w:val="ru-RU" w:eastAsia="ru-RU"/>
              </w:rPr>
              <w:t>8</w:t>
            </w:r>
            <w:r w:rsidRPr="000D1C58">
              <w:rPr>
                <w:rFonts w:cs="Arial"/>
                <w:sz w:val="16"/>
                <w:szCs w:val="16"/>
                <w:lang w:val="en-US" w:eastAsia="ru-RU"/>
              </w:rPr>
              <w:t xml:space="preserve"> 255</w:t>
            </w:r>
          </w:p>
        </w:tc>
        <w:tc>
          <w:tcPr>
            <w:tcW w:w="1713" w:type="dxa"/>
            <w:tcBorders>
              <w:top w:val="single" w:sz="4" w:space="0" w:color="auto"/>
            </w:tcBorders>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13-03-2018</w:t>
            </w:r>
          </w:p>
        </w:tc>
        <w:tc>
          <w:tcPr>
            <w:tcW w:w="1326" w:type="dxa"/>
            <w:tcBorders>
              <w:top w:val="single" w:sz="4" w:space="0" w:color="auto"/>
            </w:tcBorders>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18-03-2021</w:t>
            </w:r>
          </w:p>
        </w:tc>
        <w:tc>
          <w:tcPr>
            <w:tcW w:w="1586" w:type="dxa"/>
            <w:tcBorders>
              <w:top w:val="single" w:sz="4" w:space="0" w:color="auto"/>
            </w:tcBorders>
            <w:vAlign w:val="bottom"/>
          </w:tcPr>
          <w:p w:rsidR="0010182D" w:rsidRPr="00E04CE7" w:rsidRDefault="0010182D" w:rsidP="00702C3F">
            <w:pPr>
              <w:overflowPunct/>
              <w:autoSpaceDE/>
              <w:autoSpaceDN/>
              <w:adjustRightInd/>
              <w:jc w:val="center"/>
              <w:textAlignment w:val="auto"/>
              <w:rPr>
                <w:rFonts w:cs="Arial"/>
                <w:sz w:val="16"/>
                <w:szCs w:val="16"/>
                <w:lang w:val="ru-RU" w:eastAsia="ru-RU"/>
              </w:rPr>
            </w:pPr>
          </w:p>
          <w:p w:rsidR="0010182D" w:rsidRPr="00E04CE7" w:rsidRDefault="0010182D" w:rsidP="00702C3F">
            <w:pPr>
              <w:overflowPunct/>
              <w:autoSpaceDE/>
              <w:autoSpaceDN/>
              <w:adjustRightInd/>
              <w:jc w:val="center"/>
              <w:textAlignment w:val="auto"/>
              <w:rPr>
                <w:rFonts w:cs="Arial"/>
                <w:sz w:val="16"/>
                <w:szCs w:val="16"/>
                <w:lang w:val="en-US" w:eastAsia="ru-RU"/>
              </w:rPr>
            </w:pPr>
            <w:r w:rsidRPr="00E04CE7">
              <w:rPr>
                <w:rFonts w:cs="Arial"/>
                <w:sz w:val="16"/>
                <w:szCs w:val="16"/>
                <w:lang w:val="ru-RU" w:eastAsia="ru-RU"/>
              </w:rPr>
              <w:t>8,10 – 14,75</w:t>
            </w:r>
          </w:p>
        </w:tc>
      </w:tr>
      <w:tr w:rsidR="0010182D" w:rsidRPr="00E04CE7" w:rsidTr="001E0477">
        <w:tc>
          <w:tcPr>
            <w:tcW w:w="2689" w:type="dxa"/>
            <w:vAlign w:val="center"/>
          </w:tcPr>
          <w:p w:rsidR="0010182D" w:rsidRPr="00911EAA" w:rsidRDefault="0010182D" w:rsidP="001E0477">
            <w:pPr>
              <w:overflowPunct/>
              <w:autoSpaceDE/>
              <w:autoSpaceDN/>
              <w:adjustRightInd/>
              <w:textAlignment w:val="auto"/>
              <w:rPr>
                <w:rFonts w:cs="Arial"/>
                <w:sz w:val="16"/>
                <w:szCs w:val="16"/>
                <w:lang w:val="ru-RU" w:eastAsia="ru-RU"/>
              </w:rPr>
            </w:pPr>
          </w:p>
          <w:p w:rsidR="0010182D" w:rsidRPr="00911EAA"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Об</w:t>
            </w:r>
            <w:r w:rsidRPr="00911EAA">
              <w:rPr>
                <w:rFonts w:cs="Arial"/>
                <w:sz w:val="16"/>
                <w:szCs w:val="16"/>
                <w:lang w:val="ru-RU" w:eastAsia="ru-RU"/>
              </w:rPr>
              <w:t>лигации</w:t>
            </w:r>
            <w:r>
              <w:rPr>
                <w:rFonts w:cs="Arial"/>
                <w:sz w:val="16"/>
                <w:szCs w:val="16"/>
                <w:lang w:val="ru-RU" w:eastAsia="ru-RU"/>
              </w:rPr>
              <w:t xml:space="preserve"> </w:t>
            </w:r>
            <w:r w:rsidRPr="00911EAA">
              <w:rPr>
                <w:rFonts w:cs="Arial"/>
                <w:sz w:val="16"/>
                <w:szCs w:val="16"/>
                <w:lang w:val="ru-RU" w:eastAsia="ru-RU"/>
              </w:rPr>
              <w:t>телекоммуникаци</w:t>
            </w:r>
            <w:r>
              <w:rPr>
                <w:rFonts w:cs="Arial"/>
                <w:sz w:val="16"/>
                <w:szCs w:val="16"/>
                <w:lang w:val="ru-RU" w:eastAsia="ru-RU"/>
              </w:rPr>
              <w:t xml:space="preserve">онных </w:t>
            </w:r>
            <w:r>
              <w:rPr>
                <w:rFonts w:cs="Arial"/>
                <w:sz w:val="16"/>
                <w:szCs w:val="16"/>
                <w:lang w:val="ru-RU" w:eastAsia="ru-RU"/>
              </w:rPr>
              <w:lastRenderedPageBreak/>
              <w:t>компаний</w:t>
            </w:r>
            <w:r w:rsidRPr="00911EAA">
              <w:rPr>
                <w:rFonts w:cs="Arial"/>
                <w:sz w:val="16"/>
                <w:szCs w:val="16"/>
                <w:lang w:val="ru-RU" w:eastAsia="ru-RU"/>
              </w:rPr>
              <w:t xml:space="preserve">                                       </w:t>
            </w: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lastRenderedPageBreak/>
              <w:t>1 026 470</w:t>
            </w: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994 978</w:t>
            </w: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en-US" w:eastAsia="ru-RU"/>
              </w:rPr>
              <w:t>19-06-2018</w:t>
            </w: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en-US" w:eastAsia="ru-RU"/>
              </w:rPr>
              <w:t>18-11-20</w:t>
            </w:r>
            <w:r w:rsidRPr="000D1C58">
              <w:rPr>
                <w:rFonts w:cs="Arial"/>
                <w:sz w:val="16"/>
                <w:szCs w:val="16"/>
                <w:lang w:val="ru-RU" w:eastAsia="ru-RU"/>
              </w:rPr>
              <w:t>22</w:t>
            </w: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eastAsia="ru-RU"/>
              </w:rPr>
            </w:pPr>
            <w:r w:rsidRPr="00E04CE7">
              <w:rPr>
                <w:rFonts w:cs="Arial"/>
                <w:sz w:val="16"/>
                <w:szCs w:val="16"/>
                <w:lang w:val="ru-RU" w:eastAsia="ru-RU"/>
              </w:rPr>
              <w:t>7,70 – 11,30</w:t>
            </w:r>
          </w:p>
        </w:tc>
      </w:tr>
      <w:tr w:rsidR="0010182D" w:rsidRPr="00E04CE7" w:rsidTr="001E0477">
        <w:tc>
          <w:tcPr>
            <w:tcW w:w="2689" w:type="dxa"/>
            <w:vAlign w:val="center"/>
          </w:tcPr>
          <w:p w:rsidR="0010182D" w:rsidRPr="004C285F" w:rsidRDefault="0010182D" w:rsidP="001E0477">
            <w:pPr>
              <w:overflowPunct/>
              <w:autoSpaceDE/>
              <w:autoSpaceDN/>
              <w:adjustRightInd/>
              <w:textAlignment w:val="auto"/>
              <w:rPr>
                <w:rFonts w:cs="Arial"/>
                <w:sz w:val="16"/>
                <w:szCs w:val="16"/>
                <w:lang w:val="ru-RU" w:eastAsia="ru-RU"/>
              </w:rPr>
            </w:pPr>
          </w:p>
          <w:p w:rsidR="0010182D" w:rsidRPr="004C285F" w:rsidRDefault="0010182D" w:rsidP="001E0477">
            <w:pPr>
              <w:overflowPunct/>
              <w:autoSpaceDE/>
              <w:autoSpaceDN/>
              <w:adjustRightInd/>
              <w:textAlignment w:val="auto"/>
              <w:rPr>
                <w:rFonts w:cs="Arial"/>
                <w:sz w:val="16"/>
                <w:szCs w:val="16"/>
                <w:lang w:val="ru-RU" w:eastAsia="ru-RU"/>
              </w:rPr>
            </w:pPr>
            <w:r>
              <w:rPr>
                <w:rFonts w:cs="Arial"/>
                <w:sz w:val="16"/>
                <w:szCs w:val="16"/>
                <w:lang w:val="ru-RU" w:eastAsia="ru-RU"/>
              </w:rPr>
              <w:t>О</w:t>
            </w:r>
            <w:r w:rsidRPr="004C285F">
              <w:rPr>
                <w:rFonts w:cs="Arial"/>
                <w:sz w:val="16"/>
                <w:szCs w:val="16"/>
                <w:lang w:val="ru-RU" w:eastAsia="ru-RU"/>
              </w:rPr>
              <w:t>блигации предприятия по добыче сырой нефти</w:t>
            </w: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461 283</w:t>
            </w: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451 355</w:t>
            </w: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16-03-2018</w:t>
            </w: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17-10-2022</w:t>
            </w: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rPr>
            </w:pPr>
          </w:p>
          <w:p w:rsidR="0010182D" w:rsidRPr="00E04CE7" w:rsidRDefault="0010182D" w:rsidP="00702C3F">
            <w:pPr>
              <w:overflowPunct/>
              <w:autoSpaceDE/>
              <w:autoSpaceDN/>
              <w:adjustRightInd/>
              <w:jc w:val="center"/>
              <w:textAlignment w:val="auto"/>
              <w:rPr>
                <w:rFonts w:cs="Arial"/>
                <w:sz w:val="16"/>
                <w:szCs w:val="16"/>
                <w:lang w:val="ru-RU"/>
              </w:rPr>
            </w:pPr>
          </w:p>
          <w:p w:rsidR="0010182D" w:rsidRPr="00E04CE7" w:rsidRDefault="0010182D" w:rsidP="00702C3F">
            <w:pPr>
              <w:overflowPunct/>
              <w:autoSpaceDE/>
              <w:autoSpaceDN/>
              <w:adjustRightInd/>
              <w:jc w:val="center"/>
              <w:textAlignment w:val="auto"/>
              <w:rPr>
                <w:rFonts w:cs="Arial"/>
                <w:sz w:val="16"/>
                <w:szCs w:val="16"/>
                <w:lang w:val="ru-RU"/>
              </w:rPr>
            </w:pPr>
            <w:r w:rsidRPr="00E04CE7">
              <w:rPr>
                <w:rFonts w:cs="Arial"/>
                <w:sz w:val="16"/>
                <w:szCs w:val="16"/>
                <w:lang w:val="en-US"/>
              </w:rPr>
              <w:t>7</w:t>
            </w:r>
            <w:r w:rsidRPr="00E04CE7">
              <w:rPr>
                <w:rFonts w:cs="Arial"/>
                <w:sz w:val="16"/>
                <w:szCs w:val="16"/>
                <w:lang w:val="ru-RU"/>
              </w:rPr>
              <w:t>,</w:t>
            </w:r>
            <w:r w:rsidRPr="00E04CE7">
              <w:rPr>
                <w:rFonts w:cs="Arial"/>
                <w:sz w:val="16"/>
                <w:szCs w:val="16"/>
                <w:lang w:val="en-US"/>
              </w:rPr>
              <w:t>90 –</w:t>
            </w:r>
            <w:r w:rsidRPr="00E04CE7">
              <w:rPr>
                <w:rFonts w:cs="Arial"/>
                <w:sz w:val="16"/>
                <w:szCs w:val="16"/>
                <w:lang w:val="ru-RU"/>
              </w:rPr>
              <w:t xml:space="preserve"> 8,0</w:t>
            </w:r>
          </w:p>
        </w:tc>
      </w:tr>
      <w:tr w:rsidR="0010182D" w:rsidRPr="00E04CE7" w:rsidTr="001E0477">
        <w:tc>
          <w:tcPr>
            <w:tcW w:w="2689" w:type="dxa"/>
            <w:vAlign w:val="center"/>
          </w:tcPr>
          <w:p w:rsidR="0010182D" w:rsidRPr="00766965" w:rsidRDefault="0010182D" w:rsidP="001E0477">
            <w:pPr>
              <w:overflowPunct/>
              <w:textAlignment w:val="auto"/>
              <w:rPr>
                <w:rFonts w:cs="Arial"/>
                <w:sz w:val="16"/>
                <w:szCs w:val="16"/>
                <w:lang w:val="ru-RU" w:eastAsia="ru-RU"/>
              </w:rPr>
            </w:pP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rPr>
            </w:pPr>
          </w:p>
        </w:tc>
      </w:tr>
      <w:tr w:rsidR="0010182D" w:rsidRPr="00E04CE7" w:rsidTr="001E0477">
        <w:tc>
          <w:tcPr>
            <w:tcW w:w="2689" w:type="dxa"/>
            <w:vAlign w:val="center"/>
          </w:tcPr>
          <w:p w:rsidR="0010182D" w:rsidRPr="00171746"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Облигации предприятия</w:t>
            </w:r>
            <w:r w:rsidRPr="00171746">
              <w:rPr>
                <w:rFonts w:cs="Arial"/>
                <w:sz w:val="16"/>
                <w:szCs w:val="16"/>
                <w:lang w:val="ru-RU"/>
              </w:rPr>
              <w:t xml:space="preserve">, занимающегося производством и распределением эл/энергии                                               </w:t>
            </w: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205 058</w:t>
            </w: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200 000</w:t>
            </w: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2</w:t>
            </w:r>
            <w:r w:rsidRPr="000D1C58">
              <w:rPr>
                <w:rFonts w:cs="Arial"/>
                <w:sz w:val="16"/>
                <w:szCs w:val="16"/>
                <w:lang w:val="ru-RU"/>
              </w:rPr>
              <w:t>1-</w:t>
            </w:r>
            <w:r w:rsidRPr="000D1C58">
              <w:rPr>
                <w:rFonts w:cs="Arial"/>
                <w:sz w:val="16"/>
                <w:szCs w:val="16"/>
                <w:lang w:val="en-US"/>
              </w:rPr>
              <w:t>1</w:t>
            </w:r>
            <w:r w:rsidRPr="000D1C58">
              <w:rPr>
                <w:rFonts w:cs="Arial"/>
                <w:sz w:val="16"/>
                <w:szCs w:val="16"/>
                <w:lang w:val="ru-RU"/>
              </w:rPr>
              <w:t>0-20</w:t>
            </w:r>
            <w:r w:rsidRPr="000D1C58">
              <w:rPr>
                <w:rFonts w:cs="Arial"/>
                <w:sz w:val="16"/>
                <w:szCs w:val="16"/>
                <w:lang w:val="en-US"/>
              </w:rPr>
              <w:t>22</w:t>
            </w: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en-US"/>
              </w:rPr>
            </w:pPr>
            <w:r w:rsidRPr="000D1C58">
              <w:rPr>
                <w:rFonts w:cs="Arial"/>
                <w:sz w:val="16"/>
                <w:szCs w:val="16"/>
                <w:lang w:val="en-US"/>
              </w:rPr>
              <w:t>2</w:t>
            </w:r>
            <w:r w:rsidRPr="000D1C58">
              <w:rPr>
                <w:rFonts w:cs="Arial"/>
                <w:sz w:val="16"/>
                <w:szCs w:val="16"/>
                <w:lang w:val="ru-RU"/>
              </w:rPr>
              <w:t>1-</w:t>
            </w:r>
            <w:r w:rsidRPr="000D1C58">
              <w:rPr>
                <w:rFonts w:cs="Arial"/>
                <w:sz w:val="16"/>
                <w:szCs w:val="16"/>
                <w:lang w:val="en-US"/>
              </w:rPr>
              <w:t>10</w:t>
            </w:r>
            <w:r w:rsidRPr="000D1C58">
              <w:rPr>
                <w:rFonts w:cs="Arial"/>
                <w:sz w:val="16"/>
                <w:szCs w:val="16"/>
                <w:lang w:val="ru-RU"/>
              </w:rPr>
              <w:t>-20</w:t>
            </w:r>
            <w:r w:rsidRPr="000D1C58">
              <w:rPr>
                <w:rFonts w:cs="Arial"/>
                <w:sz w:val="16"/>
                <w:szCs w:val="16"/>
                <w:lang w:val="en-US"/>
              </w:rPr>
              <w:t>22</w:t>
            </w: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rPr>
            </w:pPr>
            <w:r w:rsidRPr="00E04CE7">
              <w:rPr>
                <w:rFonts w:cs="Arial"/>
                <w:sz w:val="16"/>
                <w:szCs w:val="16"/>
                <w:lang w:val="en-US"/>
              </w:rPr>
              <w:t>7,75</w:t>
            </w:r>
          </w:p>
        </w:tc>
      </w:tr>
      <w:tr w:rsidR="0010182D" w:rsidRPr="00E04CE7" w:rsidTr="001E0477">
        <w:tc>
          <w:tcPr>
            <w:tcW w:w="2689" w:type="dxa"/>
            <w:vAlign w:val="center"/>
          </w:tcPr>
          <w:p w:rsidR="0010182D" w:rsidRPr="00C3632C" w:rsidRDefault="0010182D" w:rsidP="001E0477">
            <w:pPr>
              <w:overflowPunct/>
              <w:autoSpaceDE/>
              <w:autoSpaceDN/>
              <w:adjustRightInd/>
              <w:textAlignment w:val="auto"/>
              <w:rPr>
                <w:rFonts w:cs="Arial"/>
                <w:sz w:val="16"/>
                <w:szCs w:val="16"/>
                <w:highlight w:val="yellow"/>
                <w:lang w:val="ru-RU"/>
              </w:rPr>
            </w:pP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ru-RU"/>
              </w:rPr>
            </w:pP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rPr>
            </w:pPr>
          </w:p>
        </w:tc>
      </w:tr>
      <w:tr w:rsidR="0010182D" w:rsidRPr="00E04CE7" w:rsidTr="001E0477">
        <w:tc>
          <w:tcPr>
            <w:tcW w:w="2689" w:type="dxa"/>
            <w:vAlign w:val="center"/>
          </w:tcPr>
          <w:p w:rsidR="0010182D" w:rsidRPr="009A6416"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w:t>
            </w:r>
            <w:r w:rsidRPr="00736DDF">
              <w:rPr>
                <w:rFonts w:cs="Arial"/>
                <w:sz w:val="16"/>
                <w:szCs w:val="16"/>
                <w:lang w:val="ru-RU"/>
              </w:rPr>
              <w:t>блигации предприяти</w:t>
            </w:r>
            <w:r>
              <w:rPr>
                <w:rFonts w:cs="Arial"/>
                <w:sz w:val="16"/>
                <w:szCs w:val="16"/>
                <w:lang w:val="ru-RU"/>
              </w:rPr>
              <w:t>я, занимающегося</w:t>
            </w:r>
            <w:r w:rsidRPr="00736DDF">
              <w:rPr>
                <w:rFonts w:cs="Arial"/>
                <w:sz w:val="16"/>
                <w:szCs w:val="16"/>
                <w:lang w:val="ru-RU"/>
              </w:rPr>
              <w:t xml:space="preserve"> </w:t>
            </w:r>
            <w:r>
              <w:rPr>
                <w:rFonts w:cs="Arial"/>
                <w:sz w:val="16"/>
                <w:szCs w:val="16"/>
                <w:lang w:val="ru-RU"/>
              </w:rPr>
              <w:t>эмиссионной деятельностью</w:t>
            </w: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34 717</w:t>
            </w: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34 263</w:t>
            </w: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06</w:t>
            </w:r>
            <w:r w:rsidRPr="000D1C58">
              <w:rPr>
                <w:rFonts w:cs="Arial"/>
                <w:sz w:val="16"/>
                <w:szCs w:val="16"/>
                <w:lang w:val="en-US" w:eastAsia="ru-RU"/>
              </w:rPr>
              <w:t>-0</w:t>
            </w:r>
            <w:r w:rsidRPr="000D1C58">
              <w:rPr>
                <w:rFonts w:cs="Arial"/>
                <w:sz w:val="16"/>
                <w:szCs w:val="16"/>
                <w:lang w:val="ru-RU" w:eastAsia="ru-RU"/>
              </w:rPr>
              <w:t>5</w:t>
            </w:r>
            <w:r w:rsidRPr="000D1C58">
              <w:rPr>
                <w:rFonts w:cs="Arial"/>
                <w:sz w:val="16"/>
                <w:szCs w:val="16"/>
                <w:lang w:val="en-US" w:eastAsia="ru-RU"/>
              </w:rPr>
              <w:t>-201</w:t>
            </w:r>
            <w:r w:rsidRPr="000D1C58">
              <w:rPr>
                <w:rFonts w:cs="Arial"/>
                <w:sz w:val="16"/>
                <w:szCs w:val="16"/>
                <w:lang w:val="ru-RU" w:eastAsia="ru-RU"/>
              </w:rPr>
              <w:t>9</w:t>
            </w: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06</w:t>
            </w:r>
            <w:r w:rsidRPr="000D1C58">
              <w:rPr>
                <w:rFonts w:cs="Arial"/>
                <w:sz w:val="16"/>
                <w:szCs w:val="16"/>
                <w:lang w:val="en-US" w:eastAsia="ru-RU"/>
              </w:rPr>
              <w:t>-0</w:t>
            </w:r>
            <w:r w:rsidRPr="000D1C58">
              <w:rPr>
                <w:rFonts w:cs="Arial"/>
                <w:sz w:val="16"/>
                <w:szCs w:val="16"/>
                <w:lang w:val="ru-RU" w:eastAsia="ru-RU"/>
              </w:rPr>
              <w:t>5</w:t>
            </w:r>
            <w:r w:rsidRPr="000D1C58">
              <w:rPr>
                <w:rFonts w:cs="Arial"/>
                <w:sz w:val="16"/>
                <w:szCs w:val="16"/>
                <w:lang w:val="en-US" w:eastAsia="ru-RU"/>
              </w:rPr>
              <w:t>-201</w:t>
            </w:r>
            <w:r w:rsidRPr="000D1C58">
              <w:rPr>
                <w:rFonts w:cs="Arial"/>
                <w:sz w:val="16"/>
                <w:szCs w:val="16"/>
                <w:lang w:val="ru-RU" w:eastAsia="ru-RU"/>
              </w:rPr>
              <w:t>9</w:t>
            </w: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eastAsia="ru-RU"/>
              </w:rPr>
            </w:pPr>
            <w:r w:rsidRPr="00E04CE7">
              <w:rPr>
                <w:rFonts w:cs="Arial"/>
                <w:sz w:val="16"/>
                <w:szCs w:val="16"/>
                <w:lang w:val="ru-RU" w:eastAsia="ru-RU"/>
              </w:rPr>
              <w:t>7,95</w:t>
            </w:r>
          </w:p>
        </w:tc>
      </w:tr>
      <w:tr w:rsidR="0010182D" w:rsidRPr="00E04CE7" w:rsidTr="001E0477">
        <w:tc>
          <w:tcPr>
            <w:tcW w:w="2689" w:type="dxa"/>
            <w:vAlign w:val="center"/>
          </w:tcPr>
          <w:p w:rsidR="0010182D" w:rsidRPr="00C3632C" w:rsidRDefault="0010182D" w:rsidP="001E0477">
            <w:pPr>
              <w:overflowPunct/>
              <w:autoSpaceDE/>
              <w:autoSpaceDN/>
              <w:adjustRightInd/>
              <w:textAlignment w:val="auto"/>
              <w:rPr>
                <w:rFonts w:cs="Arial"/>
                <w:sz w:val="16"/>
                <w:szCs w:val="16"/>
                <w:highlight w:val="yellow"/>
                <w:lang w:val="ru-RU" w:eastAsia="ru-RU"/>
              </w:rPr>
            </w:pP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eastAsia="ru-RU"/>
              </w:rPr>
            </w:pPr>
          </w:p>
        </w:tc>
      </w:tr>
      <w:tr w:rsidR="0010182D" w:rsidRPr="00E04CE7" w:rsidTr="001E0477">
        <w:tc>
          <w:tcPr>
            <w:tcW w:w="2689" w:type="dxa"/>
            <w:vAlign w:val="center"/>
          </w:tcPr>
          <w:p w:rsidR="0010182D" w:rsidRPr="001F543F" w:rsidRDefault="0010182D" w:rsidP="001E0477">
            <w:pPr>
              <w:overflowPunct/>
              <w:autoSpaceDE/>
              <w:autoSpaceDN/>
              <w:adjustRightInd/>
              <w:textAlignment w:val="auto"/>
              <w:rPr>
                <w:rFonts w:cs="Arial"/>
                <w:sz w:val="16"/>
                <w:szCs w:val="16"/>
                <w:lang w:val="ru-RU" w:eastAsia="ru-RU"/>
              </w:rPr>
            </w:pPr>
            <w:r>
              <w:rPr>
                <w:rFonts w:cs="Arial"/>
                <w:sz w:val="16"/>
                <w:szCs w:val="16"/>
                <w:lang w:val="ru-RU"/>
              </w:rPr>
              <w:t>О</w:t>
            </w:r>
            <w:r w:rsidRPr="001F543F">
              <w:rPr>
                <w:rFonts w:cs="Arial"/>
                <w:sz w:val="16"/>
                <w:szCs w:val="16"/>
                <w:lang w:val="ru-RU"/>
              </w:rPr>
              <w:t>блигации предприяти</w:t>
            </w:r>
            <w:r>
              <w:rPr>
                <w:rFonts w:cs="Arial"/>
                <w:sz w:val="16"/>
                <w:szCs w:val="16"/>
                <w:lang w:val="ru-RU"/>
              </w:rPr>
              <w:t>я</w:t>
            </w:r>
            <w:r w:rsidRPr="001F543F">
              <w:rPr>
                <w:rFonts w:cs="Arial"/>
                <w:sz w:val="16"/>
                <w:szCs w:val="16"/>
                <w:lang w:val="ru-RU"/>
              </w:rPr>
              <w:t xml:space="preserve"> по производству машин и оборудования                   </w:t>
            </w:r>
          </w:p>
        </w:tc>
        <w:tc>
          <w:tcPr>
            <w:tcW w:w="956"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ru-RU" w:eastAsia="ru-RU"/>
              </w:rPr>
              <w:t>2</w:t>
            </w:r>
            <w:r w:rsidRPr="000D1C58">
              <w:rPr>
                <w:rFonts w:cs="Arial"/>
                <w:sz w:val="16"/>
                <w:szCs w:val="16"/>
                <w:lang w:val="en-US" w:eastAsia="ru-RU"/>
              </w:rPr>
              <w:t>89</w:t>
            </w:r>
            <w:r>
              <w:rPr>
                <w:rFonts w:cs="Arial"/>
                <w:sz w:val="16"/>
                <w:szCs w:val="16"/>
                <w:lang w:val="ru-RU" w:eastAsia="ru-RU"/>
              </w:rPr>
              <w:t xml:space="preserve"> </w:t>
            </w:r>
            <w:r w:rsidRPr="000D1C58">
              <w:rPr>
                <w:rFonts w:cs="Arial"/>
                <w:sz w:val="16"/>
                <w:szCs w:val="16"/>
                <w:lang w:val="ru-RU" w:eastAsia="ru-RU"/>
              </w:rPr>
              <w:t xml:space="preserve"> </w:t>
            </w:r>
            <w:r w:rsidRPr="000D1C58">
              <w:rPr>
                <w:rFonts w:cs="Arial"/>
                <w:sz w:val="16"/>
                <w:szCs w:val="16"/>
                <w:lang w:val="en-US" w:eastAsia="ru-RU"/>
              </w:rPr>
              <w:t>313</w:t>
            </w:r>
          </w:p>
        </w:tc>
        <w:tc>
          <w:tcPr>
            <w:tcW w:w="1085" w:type="dxa"/>
            <w:vAlign w:val="bottom"/>
          </w:tcPr>
          <w:p w:rsidR="0010182D" w:rsidRPr="000D1C58" w:rsidRDefault="0010182D" w:rsidP="00702C3F">
            <w:pPr>
              <w:overflowPunct/>
              <w:autoSpaceDE/>
              <w:autoSpaceDN/>
              <w:adjustRightInd/>
              <w:jc w:val="center"/>
              <w:textAlignment w:val="auto"/>
              <w:rPr>
                <w:rFonts w:cs="Arial"/>
                <w:sz w:val="16"/>
                <w:szCs w:val="16"/>
                <w:lang w:val="en-US" w:eastAsia="ru-RU"/>
              </w:rPr>
            </w:pPr>
            <w:r w:rsidRPr="000D1C58">
              <w:rPr>
                <w:rFonts w:cs="Arial"/>
                <w:sz w:val="16"/>
                <w:szCs w:val="16"/>
                <w:lang w:val="en-US" w:eastAsia="ru-RU"/>
              </w:rPr>
              <w:t>283 368</w:t>
            </w:r>
          </w:p>
        </w:tc>
        <w:tc>
          <w:tcPr>
            <w:tcW w:w="1713"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30</w:t>
            </w:r>
            <w:r w:rsidRPr="000D1C58">
              <w:rPr>
                <w:rFonts w:cs="Arial"/>
                <w:sz w:val="16"/>
                <w:szCs w:val="16"/>
                <w:lang w:val="en-US" w:eastAsia="ru-RU"/>
              </w:rPr>
              <w:t>-</w:t>
            </w:r>
            <w:r w:rsidRPr="000D1C58">
              <w:rPr>
                <w:rFonts w:cs="Arial"/>
                <w:sz w:val="16"/>
                <w:szCs w:val="16"/>
                <w:lang w:val="ru-RU" w:eastAsia="ru-RU"/>
              </w:rPr>
              <w:t>09</w:t>
            </w:r>
            <w:r w:rsidRPr="000D1C58">
              <w:rPr>
                <w:rFonts w:cs="Arial"/>
                <w:sz w:val="16"/>
                <w:szCs w:val="16"/>
                <w:lang w:val="en-US" w:eastAsia="ru-RU"/>
              </w:rPr>
              <w:t>-201</w:t>
            </w:r>
            <w:r w:rsidRPr="000D1C58">
              <w:rPr>
                <w:rFonts w:cs="Arial"/>
                <w:sz w:val="16"/>
                <w:szCs w:val="16"/>
                <w:lang w:val="ru-RU" w:eastAsia="ru-RU"/>
              </w:rPr>
              <w:t>9</w:t>
            </w:r>
          </w:p>
        </w:tc>
        <w:tc>
          <w:tcPr>
            <w:tcW w:w="1326" w:type="dxa"/>
            <w:vAlign w:val="bottom"/>
          </w:tcPr>
          <w:p w:rsidR="0010182D" w:rsidRPr="000D1C58" w:rsidRDefault="0010182D" w:rsidP="00702C3F">
            <w:pPr>
              <w:overflowPunct/>
              <w:autoSpaceDE/>
              <w:autoSpaceDN/>
              <w:adjustRightInd/>
              <w:jc w:val="center"/>
              <w:textAlignment w:val="auto"/>
              <w:rPr>
                <w:rFonts w:cs="Arial"/>
                <w:sz w:val="16"/>
                <w:szCs w:val="16"/>
                <w:lang w:val="ru-RU" w:eastAsia="ru-RU"/>
              </w:rPr>
            </w:pPr>
            <w:r w:rsidRPr="000D1C58">
              <w:rPr>
                <w:rFonts w:cs="Arial"/>
                <w:sz w:val="16"/>
                <w:szCs w:val="16"/>
                <w:lang w:val="ru-RU" w:eastAsia="ru-RU"/>
              </w:rPr>
              <w:t>30</w:t>
            </w:r>
            <w:r w:rsidRPr="000D1C58">
              <w:rPr>
                <w:rFonts w:cs="Arial"/>
                <w:sz w:val="16"/>
                <w:szCs w:val="16"/>
                <w:lang w:val="en-US" w:eastAsia="ru-RU"/>
              </w:rPr>
              <w:t>-</w:t>
            </w:r>
            <w:r w:rsidRPr="000D1C58">
              <w:rPr>
                <w:rFonts w:cs="Arial"/>
                <w:sz w:val="16"/>
                <w:szCs w:val="16"/>
                <w:lang w:val="ru-RU" w:eastAsia="ru-RU"/>
              </w:rPr>
              <w:t>09</w:t>
            </w:r>
            <w:r w:rsidRPr="000D1C58">
              <w:rPr>
                <w:rFonts w:cs="Arial"/>
                <w:sz w:val="16"/>
                <w:szCs w:val="16"/>
                <w:lang w:val="en-US" w:eastAsia="ru-RU"/>
              </w:rPr>
              <w:t>-201</w:t>
            </w:r>
            <w:r w:rsidRPr="000D1C58">
              <w:rPr>
                <w:rFonts w:cs="Arial"/>
                <w:sz w:val="16"/>
                <w:szCs w:val="16"/>
                <w:lang w:val="ru-RU" w:eastAsia="ru-RU"/>
              </w:rPr>
              <w:t>9</w:t>
            </w:r>
          </w:p>
        </w:tc>
        <w:tc>
          <w:tcPr>
            <w:tcW w:w="1586" w:type="dxa"/>
            <w:vAlign w:val="bottom"/>
          </w:tcPr>
          <w:p w:rsidR="0010182D" w:rsidRPr="00E04CE7" w:rsidRDefault="0010182D" w:rsidP="00702C3F">
            <w:pPr>
              <w:overflowPunct/>
              <w:autoSpaceDE/>
              <w:autoSpaceDN/>
              <w:adjustRightInd/>
              <w:jc w:val="center"/>
              <w:textAlignment w:val="auto"/>
              <w:rPr>
                <w:rFonts w:cs="Arial"/>
                <w:sz w:val="16"/>
                <w:szCs w:val="16"/>
                <w:lang w:val="ru-RU" w:eastAsia="ru-RU"/>
              </w:rPr>
            </w:pPr>
            <w:r w:rsidRPr="00E04CE7">
              <w:rPr>
                <w:rFonts w:cs="Arial"/>
                <w:sz w:val="16"/>
                <w:szCs w:val="16"/>
                <w:lang w:val="ru-RU" w:eastAsia="ru-RU"/>
              </w:rPr>
              <w:t>9,</w:t>
            </w:r>
            <w:r w:rsidRPr="00E04CE7">
              <w:rPr>
                <w:rFonts w:cs="Arial"/>
                <w:sz w:val="16"/>
                <w:szCs w:val="16"/>
                <w:lang w:val="en-US" w:eastAsia="ru-RU"/>
              </w:rPr>
              <w:t>9</w:t>
            </w:r>
            <w:r w:rsidRPr="00E04CE7">
              <w:rPr>
                <w:rFonts w:cs="Arial"/>
                <w:sz w:val="16"/>
                <w:szCs w:val="16"/>
                <w:lang w:val="ru-RU" w:eastAsia="ru-RU"/>
              </w:rPr>
              <w:t>5</w:t>
            </w:r>
          </w:p>
        </w:tc>
      </w:tr>
      <w:tr w:rsidR="0010182D" w:rsidRPr="002348CD" w:rsidTr="001E0477">
        <w:tc>
          <w:tcPr>
            <w:tcW w:w="2689" w:type="dxa"/>
            <w:tcBorders>
              <w:top w:val="single" w:sz="4" w:space="0" w:color="auto"/>
              <w:bottom w:val="single" w:sz="4" w:space="0" w:color="auto"/>
            </w:tcBorders>
            <w:vAlign w:val="center"/>
          </w:tcPr>
          <w:p w:rsidR="0010182D" w:rsidRPr="00FC6D02" w:rsidRDefault="0010182D" w:rsidP="001E0477">
            <w:pPr>
              <w:overflowPunct/>
              <w:autoSpaceDE/>
              <w:autoSpaceDN/>
              <w:adjustRightInd/>
              <w:textAlignment w:val="auto"/>
              <w:rPr>
                <w:rFonts w:cs="Arial"/>
                <w:b/>
                <w:bCs/>
                <w:sz w:val="16"/>
                <w:szCs w:val="16"/>
                <w:lang w:val="ru-RU" w:eastAsia="ru-RU"/>
              </w:rPr>
            </w:pPr>
            <w:r w:rsidRPr="00FC6D02">
              <w:rPr>
                <w:rFonts w:cs="Arial"/>
                <w:b/>
                <w:bCs/>
                <w:sz w:val="16"/>
                <w:szCs w:val="16"/>
                <w:lang w:val="ru-RU" w:eastAsia="ru-RU"/>
              </w:rPr>
              <w:t>Итого по облигациям прочих резидентов</w:t>
            </w:r>
          </w:p>
        </w:tc>
        <w:tc>
          <w:tcPr>
            <w:tcW w:w="956" w:type="dxa"/>
            <w:tcBorders>
              <w:top w:val="single" w:sz="4" w:space="0" w:color="auto"/>
              <w:bottom w:val="single" w:sz="4" w:space="0" w:color="auto"/>
            </w:tcBorders>
            <w:vAlign w:val="bottom"/>
          </w:tcPr>
          <w:p w:rsidR="0010182D" w:rsidRPr="00B26DE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3 311 369</w:t>
            </w:r>
          </w:p>
        </w:tc>
        <w:tc>
          <w:tcPr>
            <w:tcW w:w="1085" w:type="dxa"/>
            <w:tcBorders>
              <w:top w:val="single" w:sz="4" w:space="0" w:color="auto"/>
              <w:bottom w:val="single" w:sz="4" w:space="0" w:color="auto"/>
            </w:tcBorders>
            <w:vAlign w:val="bottom"/>
          </w:tcPr>
          <w:p w:rsidR="0010182D" w:rsidRPr="00B26DE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3 212 219</w:t>
            </w:r>
          </w:p>
        </w:tc>
        <w:tc>
          <w:tcPr>
            <w:tcW w:w="1713" w:type="dxa"/>
            <w:tcBorders>
              <w:top w:val="single" w:sz="4" w:space="0" w:color="auto"/>
              <w:bottom w:val="single" w:sz="4" w:space="0" w:color="auto"/>
            </w:tcBorders>
            <w:vAlign w:val="bottom"/>
          </w:tcPr>
          <w:p w:rsidR="0010182D" w:rsidRPr="00B26DED" w:rsidRDefault="0010182D" w:rsidP="00702C3F">
            <w:pPr>
              <w:overflowPunct/>
              <w:autoSpaceDE/>
              <w:autoSpaceDN/>
              <w:adjustRightInd/>
              <w:jc w:val="center"/>
              <w:textAlignment w:val="auto"/>
              <w:rPr>
                <w:rFonts w:cs="Arial"/>
                <w:b/>
                <w:bCs/>
                <w:sz w:val="16"/>
                <w:szCs w:val="16"/>
                <w:lang w:val="en-US" w:eastAsia="ru-RU"/>
              </w:rPr>
            </w:pPr>
            <w:r>
              <w:rPr>
                <w:rFonts w:cs="Arial"/>
                <w:b/>
                <w:bCs/>
                <w:sz w:val="16"/>
                <w:szCs w:val="16"/>
                <w:lang w:val="en-US" w:eastAsia="ru-RU"/>
              </w:rPr>
              <w:t>13-03-2018</w:t>
            </w:r>
          </w:p>
        </w:tc>
        <w:tc>
          <w:tcPr>
            <w:tcW w:w="1326" w:type="dxa"/>
            <w:tcBorders>
              <w:top w:val="single" w:sz="4" w:space="0" w:color="auto"/>
              <w:bottom w:val="single" w:sz="4" w:space="0" w:color="auto"/>
            </w:tcBorders>
            <w:vAlign w:val="bottom"/>
          </w:tcPr>
          <w:p w:rsidR="0010182D" w:rsidRPr="00BD5586" w:rsidRDefault="0010182D" w:rsidP="001D2BC3">
            <w:pPr>
              <w:overflowPunct/>
              <w:autoSpaceDE/>
              <w:autoSpaceDN/>
              <w:adjustRightInd/>
              <w:jc w:val="center"/>
              <w:textAlignment w:val="auto"/>
              <w:rPr>
                <w:rFonts w:cs="Arial"/>
                <w:b/>
                <w:bCs/>
                <w:sz w:val="16"/>
                <w:szCs w:val="16"/>
                <w:lang w:val="en-US" w:eastAsia="ru-RU"/>
              </w:rPr>
            </w:pPr>
            <w:r w:rsidRPr="00BE27CD">
              <w:rPr>
                <w:rFonts w:cs="Arial"/>
                <w:b/>
                <w:bCs/>
                <w:sz w:val="16"/>
                <w:szCs w:val="16"/>
                <w:lang w:val="en-US" w:eastAsia="ru-RU"/>
              </w:rPr>
              <w:t>18-11-</w:t>
            </w:r>
            <w:r w:rsidR="001D2BC3" w:rsidRPr="00BE27CD">
              <w:rPr>
                <w:rFonts w:cs="Arial"/>
                <w:b/>
                <w:bCs/>
                <w:sz w:val="16"/>
                <w:szCs w:val="16"/>
                <w:lang w:val="ru-RU" w:eastAsia="ru-RU"/>
              </w:rPr>
              <w:t>20</w:t>
            </w:r>
            <w:r w:rsidRPr="00BE27CD">
              <w:rPr>
                <w:rFonts w:cs="Arial"/>
                <w:b/>
                <w:bCs/>
                <w:sz w:val="16"/>
                <w:szCs w:val="16"/>
                <w:lang w:val="en-US" w:eastAsia="ru-RU"/>
              </w:rPr>
              <w:t>22</w:t>
            </w:r>
          </w:p>
        </w:tc>
        <w:tc>
          <w:tcPr>
            <w:tcW w:w="1586" w:type="dxa"/>
            <w:tcBorders>
              <w:top w:val="single" w:sz="4" w:space="0" w:color="auto"/>
              <w:bottom w:val="single" w:sz="4" w:space="0" w:color="auto"/>
            </w:tcBorders>
            <w:vAlign w:val="bottom"/>
          </w:tcPr>
          <w:p w:rsidR="0010182D" w:rsidRPr="00E04CE7" w:rsidRDefault="0010182D" w:rsidP="00702C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7,75 – 14,75</w:t>
            </w:r>
          </w:p>
        </w:tc>
      </w:tr>
      <w:tr w:rsidR="0010182D" w:rsidRPr="002348CD" w:rsidTr="001E0477">
        <w:tc>
          <w:tcPr>
            <w:tcW w:w="2689" w:type="dxa"/>
            <w:tcBorders>
              <w:top w:val="single" w:sz="4" w:space="0" w:color="auto"/>
              <w:bottom w:val="double" w:sz="4" w:space="0" w:color="auto"/>
            </w:tcBorders>
            <w:vAlign w:val="center"/>
          </w:tcPr>
          <w:p w:rsidR="0010182D" w:rsidRPr="00EE3CCD" w:rsidRDefault="0010182D" w:rsidP="001E0477">
            <w:pPr>
              <w:overflowPunct/>
              <w:autoSpaceDE/>
              <w:autoSpaceDN/>
              <w:adjustRightInd/>
              <w:textAlignment w:val="auto"/>
              <w:rPr>
                <w:rFonts w:cs="Arial"/>
                <w:b/>
                <w:bCs/>
                <w:sz w:val="16"/>
                <w:szCs w:val="16"/>
                <w:lang w:val="ru-RU" w:eastAsia="ru-RU"/>
              </w:rPr>
            </w:pPr>
          </w:p>
          <w:p w:rsidR="0010182D" w:rsidRPr="00EE3CCD" w:rsidRDefault="0010182D" w:rsidP="001E0477">
            <w:pPr>
              <w:overflowPunct/>
              <w:autoSpaceDE/>
              <w:autoSpaceDN/>
              <w:adjustRightInd/>
              <w:textAlignment w:val="auto"/>
              <w:rPr>
                <w:rFonts w:cs="Arial"/>
                <w:b/>
                <w:bCs/>
                <w:sz w:val="16"/>
                <w:szCs w:val="16"/>
                <w:lang w:val="ru-RU" w:eastAsia="ru-RU"/>
              </w:rPr>
            </w:pPr>
            <w:r w:rsidRPr="00EE3CCD">
              <w:rPr>
                <w:rFonts w:cs="Arial"/>
                <w:b/>
                <w:bCs/>
                <w:sz w:val="16"/>
                <w:szCs w:val="16"/>
                <w:lang w:val="ru-RU" w:eastAsia="ru-RU"/>
              </w:rPr>
              <w:t>Итого по еврооблигациям</w:t>
            </w:r>
          </w:p>
        </w:tc>
        <w:tc>
          <w:tcPr>
            <w:tcW w:w="956" w:type="dxa"/>
            <w:tcBorders>
              <w:top w:val="single" w:sz="4" w:space="0" w:color="auto"/>
              <w:bottom w:val="double" w:sz="4" w:space="0" w:color="auto"/>
            </w:tcBorders>
            <w:vAlign w:val="bottom"/>
          </w:tcPr>
          <w:p w:rsidR="0010182D" w:rsidRPr="00B26DED" w:rsidRDefault="0010182D" w:rsidP="00702C3F">
            <w:pPr>
              <w:overflowPunct/>
              <w:autoSpaceDE/>
              <w:autoSpaceDN/>
              <w:adjustRightInd/>
              <w:jc w:val="center"/>
              <w:textAlignment w:val="auto"/>
              <w:rPr>
                <w:rFonts w:cs="Arial"/>
                <w:b/>
                <w:sz w:val="16"/>
                <w:szCs w:val="16"/>
                <w:lang w:val="ru-RU" w:eastAsia="ru-RU"/>
              </w:rPr>
            </w:pPr>
            <w:r w:rsidRPr="00B26DED">
              <w:rPr>
                <w:rFonts w:cs="Arial"/>
                <w:b/>
                <w:sz w:val="16"/>
                <w:szCs w:val="16"/>
                <w:lang w:val="ru-RU" w:eastAsia="ru-RU"/>
              </w:rPr>
              <w:t>1 479 358</w:t>
            </w:r>
          </w:p>
        </w:tc>
        <w:tc>
          <w:tcPr>
            <w:tcW w:w="1085" w:type="dxa"/>
            <w:tcBorders>
              <w:top w:val="single" w:sz="4" w:space="0" w:color="auto"/>
              <w:bottom w:val="double" w:sz="4" w:space="0" w:color="auto"/>
            </w:tcBorders>
            <w:vAlign w:val="bottom"/>
          </w:tcPr>
          <w:p w:rsidR="0010182D" w:rsidRPr="00B26DED" w:rsidRDefault="0010182D" w:rsidP="00702C3F">
            <w:pPr>
              <w:overflowPunct/>
              <w:autoSpaceDE/>
              <w:autoSpaceDN/>
              <w:adjustRightInd/>
              <w:jc w:val="center"/>
              <w:textAlignment w:val="auto"/>
              <w:rPr>
                <w:rFonts w:cs="Arial"/>
                <w:b/>
                <w:sz w:val="16"/>
                <w:szCs w:val="16"/>
                <w:lang w:val="ru-RU" w:eastAsia="ru-RU"/>
              </w:rPr>
            </w:pPr>
            <w:r w:rsidRPr="00B26DED">
              <w:rPr>
                <w:rFonts w:cs="Arial"/>
                <w:b/>
                <w:sz w:val="16"/>
                <w:szCs w:val="16"/>
                <w:lang w:val="ru-RU" w:eastAsia="ru-RU"/>
              </w:rPr>
              <w:t>24 930</w:t>
            </w:r>
          </w:p>
        </w:tc>
        <w:tc>
          <w:tcPr>
            <w:tcW w:w="1713" w:type="dxa"/>
            <w:tcBorders>
              <w:top w:val="single" w:sz="4" w:space="0" w:color="auto"/>
              <w:bottom w:val="double" w:sz="4" w:space="0" w:color="auto"/>
            </w:tcBorders>
            <w:vAlign w:val="bottom"/>
          </w:tcPr>
          <w:p w:rsidR="0010182D" w:rsidRPr="00B26DED" w:rsidRDefault="0010182D" w:rsidP="00702C3F">
            <w:pPr>
              <w:overflowPunct/>
              <w:autoSpaceDE/>
              <w:autoSpaceDN/>
              <w:adjustRightInd/>
              <w:jc w:val="center"/>
              <w:textAlignment w:val="auto"/>
              <w:rPr>
                <w:rFonts w:cs="Arial"/>
                <w:b/>
                <w:sz w:val="16"/>
                <w:szCs w:val="16"/>
                <w:lang w:val="ru-RU" w:eastAsia="ru-RU"/>
              </w:rPr>
            </w:pPr>
            <w:r w:rsidRPr="00B26DED">
              <w:rPr>
                <w:rFonts w:cs="Arial"/>
                <w:b/>
                <w:sz w:val="16"/>
                <w:szCs w:val="16"/>
                <w:lang w:val="en-US" w:eastAsia="ru-RU"/>
              </w:rPr>
              <w:t>27-01-2018</w:t>
            </w:r>
          </w:p>
        </w:tc>
        <w:tc>
          <w:tcPr>
            <w:tcW w:w="1326" w:type="dxa"/>
            <w:tcBorders>
              <w:top w:val="single" w:sz="4" w:space="0" w:color="auto"/>
              <w:bottom w:val="double" w:sz="4" w:space="0" w:color="auto"/>
            </w:tcBorders>
            <w:vAlign w:val="bottom"/>
          </w:tcPr>
          <w:p w:rsidR="0010182D" w:rsidRPr="00B26DED" w:rsidRDefault="0010182D" w:rsidP="00702C3F">
            <w:pPr>
              <w:overflowPunct/>
              <w:autoSpaceDE/>
              <w:autoSpaceDN/>
              <w:adjustRightInd/>
              <w:jc w:val="center"/>
              <w:textAlignment w:val="auto"/>
              <w:rPr>
                <w:rFonts w:cs="Arial"/>
                <w:b/>
                <w:sz w:val="16"/>
                <w:szCs w:val="16"/>
                <w:lang w:val="ru-RU" w:eastAsia="ru-RU"/>
              </w:rPr>
            </w:pPr>
            <w:r w:rsidRPr="00B26DED">
              <w:rPr>
                <w:rFonts w:cs="Arial"/>
                <w:b/>
                <w:sz w:val="16"/>
                <w:szCs w:val="16"/>
                <w:lang w:val="ru-RU" w:eastAsia="ru-RU"/>
              </w:rPr>
              <w:t>19</w:t>
            </w:r>
            <w:r w:rsidRPr="00B26DED">
              <w:rPr>
                <w:rFonts w:cs="Arial"/>
                <w:b/>
                <w:sz w:val="16"/>
                <w:szCs w:val="16"/>
                <w:lang w:val="en-US" w:eastAsia="ru-RU"/>
              </w:rPr>
              <w:t>-</w:t>
            </w:r>
            <w:r w:rsidRPr="00B26DED">
              <w:rPr>
                <w:rFonts w:cs="Arial"/>
                <w:b/>
                <w:sz w:val="16"/>
                <w:szCs w:val="16"/>
                <w:lang w:val="ru-RU" w:eastAsia="ru-RU"/>
              </w:rPr>
              <w:t>1</w:t>
            </w:r>
            <w:r w:rsidRPr="00B26DED">
              <w:rPr>
                <w:rFonts w:cs="Arial"/>
                <w:b/>
                <w:sz w:val="16"/>
                <w:szCs w:val="16"/>
                <w:lang w:val="en-US" w:eastAsia="ru-RU"/>
              </w:rPr>
              <w:t>0-202</w:t>
            </w:r>
            <w:r w:rsidRPr="00B26DED">
              <w:rPr>
                <w:rFonts w:cs="Arial"/>
                <w:b/>
                <w:sz w:val="16"/>
                <w:szCs w:val="16"/>
                <w:lang w:val="ru-RU" w:eastAsia="ru-RU"/>
              </w:rPr>
              <w:t>4</w:t>
            </w:r>
          </w:p>
        </w:tc>
        <w:tc>
          <w:tcPr>
            <w:tcW w:w="1586" w:type="dxa"/>
            <w:tcBorders>
              <w:top w:val="single" w:sz="4" w:space="0" w:color="auto"/>
              <w:bottom w:val="double" w:sz="4" w:space="0" w:color="auto"/>
            </w:tcBorders>
            <w:vAlign w:val="bottom"/>
          </w:tcPr>
          <w:p w:rsidR="0010182D" w:rsidRPr="00E04CE7" w:rsidRDefault="0010182D" w:rsidP="00702C3F">
            <w:pPr>
              <w:overflowPunct/>
              <w:autoSpaceDE/>
              <w:autoSpaceDN/>
              <w:adjustRightInd/>
              <w:jc w:val="center"/>
              <w:textAlignment w:val="auto"/>
              <w:rPr>
                <w:rFonts w:cs="Arial"/>
                <w:b/>
                <w:sz w:val="16"/>
                <w:szCs w:val="16"/>
                <w:lang w:val="ru-RU" w:eastAsia="ru-RU"/>
              </w:rPr>
            </w:pPr>
            <w:r>
              <w:rPr>
                <w:rFonts w:cs="Arial"/>
                <w:b/>
                <w:sz w:val="16"/>
                <w:szCs w:val="16"/>
                <w:lang w:val="ru-RU" w:eastAsia="ru-RU"/>
              </w:rPr>
              <w:t>3,416 – 7,9</w:t>
            </w:r>
          </w:p>
        </w:tc>
      </w:tr>
    </w:tbl>
    <w:p w:rsidR="0010182D" w:rsidRPr="006C1E8B" w:rsidRDefault="0010182D" w:rsidP="0010182D">
      <w:pPr>
        <w:pStyle w:val="2normal"/>
        <w:jc w:val="both"/>
        <w:rPr>
          <w:sz w:val="20"/>
          <w:szCs w:val="20"/>
          <w:highlight w:val="yellow"/>
          <w:lang w:val="ru-RU"/>
        </w:rPr>
      </w:pPr>
    </w:p>
    <w:p w:rsidR="0010182D" w:rsidRPr="001F2838" w:rsidRDefault="0010182D" w:rsidP="0010182D">
      <w:pPr>
        <w:pStyle w:val="Default"/>
        <w:jc w:val="both"/>
        <w:rPr>
          <w:sz w:val="20"/>
          <w:szCs w:val="20"/>
          <w:lang w:val="ru-RU"/>
        </w:rPr>
      </w:pPr>
      <w:r>
        <w:rPr>
          <w:sz w:val="20"/>
          <w:szCs w:val="20"/>
          <w:lang w:val="ru-RU"/>
        </w:rPr>
        <w:t>За 3</w:t>
      </w:r>
      <w:r w:rsidRPr="009A4A3F">
        <w:rPr>
          <w:sz w:val="20"/>
          <w:szCs w:val="20"/>
          <w:lang w:val="ru-RU"/>
        </w:rPr>
        <w:t>1</w:t>
      </w:r>
      <w:r>
        <w:rPr>
          <w:sz w:val="20"/>
          <w:szCs w:val="20"/>
          <w:lang w:val="ru-RU"/>
        </w:rPr>
        <w:t xml:space="preserve"> декабря</w:t>
      </w:r>
      <w:r w:rsidRPr="00422456">
        <w:rPr>
          <w:sz w:val="20"/>
          <w:szCs w:val="20"/>
          <w:lang w:val="ru-RU"/>
        </w:rPr>
        <w:t xml:space="preserve"> 2017 года в портфеле Банка находятся рублевые облигации российских компаний и банков, срок погашения которых с </w:t>
      </w:r>
      <w:r>
        <w:rPr>
          <w:sz w:val="20"/>
          <w:szCs w:val="20"/>
          <w:lang w:val="ru-RU"/>
        </w:rPr>
        <w:t>9</w:t>
      </w:r>
      <w:r w:rsidRPr="00422456">
        <w:rPr>
          <w:sz w:val="20"/>
          <w:szCs w:val="20"/>
          <w:lang w:val="ru-RU"/>
        </w:rPr>
        <w:t xml:space="preserve"> </w:t>
      </w:r>
      <w:r>
        <w:rPr>
          <w:sz w:val="20"/>
          <w:szCs w:val="20"/>
          <w:lang w:val="ru-RU"/>
        </w:rPr>
        <w:t>января</w:t>
      </w:r>
      <w:r w:rsidRPr="00422456">
        <w:rPr>
          <w:sz w:val="20"/>
          <w:szCs w:val="20"/>
          <w:lang w:val="ru-RU"/>
        </w:rPr>
        <w:t xml:space="preserve"> 201</w:t>
      </w:r>
      <w:r>
        <w:rPr>
          <w:sz w:val="20"/>
          <w:szCs w:val="20"/>
          <w:lang w:val="ru-RU"/>
        </w:rPr>
        <w:t>8</w:t>
      </w:r>
      <w:r w:rsidRPr="00422456">
        <w:rPr>
          <w:sz w:val="20"/>
          <w:szCs w:val="20"/>
          <w:lang w:val="ru-RU"/>
        </w:rPr>
        <w:t xml:space="preserve"> года по </w:t>
      </w:r>
      <w:r>
        <w:rPr>
          <w:sz w:val="20"/>
          <w:szCs w:val="20"/>
          <w:lang w:val="ru-RU"/>
        </w:rPr>
        <w:t>18 ноября</w:t>
      </w:r>
      <w:r w:rsidRPr="00422456">
        <w:rPr>
          <w:sz w:val="20"/>
          <w:szCs w:val="20"/>
          <w:lang w:val="ru-RU"/>
        </w:rPr>
        <w:t xml:space="preserve"> 202</w:t>
      </w:r>
      <w:r>
        <w:rPr>
          <w:sz w:val="20"/>
          <w:szCs w:val="20"/>
          <w:lang w:val="ru-RU"/>
        </w:rPr>
        <w:t>2</w:t>
      </w:r>
      <w:r w:rsidRPr="00422456">
        <w:rPr>
          <w:sz w:val="20"/>
          <w:szCs w:val="20"/>
          <w:lang w:val="ru-RU"/>
        </w:rPr>
        <w:t xml:space="preserve"> года</w:t>
      </w:r>
      <w:r>
        <w:rPr>
          <w:sz w:val="20"/>
          <w:szCs w:val="20"/>
          <w:lang w:val="ru-RU"/>
        </w:rPr>
        <w:t>,</w:t>
      </w:r>
      <w:r w:rsidRPr="00422456">
        <w:rPr>
          <w:sz w:val="20"/>
          <w:szCs w:val="20"/>
          <w:lang w:val="ru-RU"/>
        </w:rPr>
        <w:t xml:space="preserve"> ставки купонной доходности </w:t>
      </w:r>
      <w:r>
        <w:rPr>
          <w:sz w:val="20"/>
          <w:szCs w:val="20"/>
          <w:lang w:val="ru-RU"/>
        </w:rPr>
        <w:t xml:space="preserve">находятся </w:t>
      </w:r>
      <w:r w:rsidRPr="00422456">
        <w:rPr>
          <w:sz w:val="20"/>
          <w:szCs w:val="20"/>
          <w:lang w:val="ru-RU"/>
        </w:rPr>
        <w:t>в размере от 7,</w:t>
      </w:r>
      <w:r>
        <w:rPr>
          <w:sz w:val="20"/>
          <w:szCs w:val="20"/>
          <w:lang w:val="ru-RU"/>
        </w:rPr>
        <w:t>5</w:t>
      </w:r>
      <w:r w:rsidRPr="00422456">
        <w:rPr>
          <w:sz w:val="20"/>
          <w:szCs w:val="20"/>
          <w:lang w:val="ru-RU"/>
        </w:rPr>
        <w:t>% до 1</w:t>
      </w:r>
      <w:r>
        <w:rPr>
          <w:sz w:val="20"/>
          <w:szCs w:val="20"/>
          <w:lang w:val="ru-RU"/>
        </w:rPr>
        <w:t>4</w:t>
      </w:r>
      <w:r w:rsidRPr="00422456">
        <w:rPr>
          <w:sz w:val="20"/>
          <w:szCs w:val="20"/>
          <w:lang w:val="ru-RU"/>
        </w:rPr>
        <w:t>,</w:t>
      </w:r>
      <w:r>
        <w:rPr>
          <w:sz w:val="20"/>
          <w:szCs w:val="20"/>
          <w:lang w:val="ru-RU"/>
        </w:rPr>
        <w:t>75</w:t>
      </w:r>
      <w:r w:rsidRPr="00422456">
        <w:rPr>
          <w:sz w:val="20"/>
          <w:szCs w:val="20"/>
          <w:lang w:val="ru-RU"/>
        </w:rPr>
        <w:t>%.</w:t>
      </w:r>
      <w:r>
        <w:rPr>
          <w:sz w:val="20"/>
          <w:szCs w:val="20"/>
          <w:lang w:val="ru-RU"/>
        </w:rPr>
        <w:t xml:space="preserve"> </w:t>
      </w:r>
      <w:r w:rsidRPr="001F2838">
        <w:rPr>
          <w:color w:val="auto"/>
          <w:sz w:val="20"/>
          <w:szCs w:val="20"/>
          <w:lang w:val="ru-RU"/>
        </w:rPr>
        <w:t xml:space="preserve">Купонные облигации Банка России </w:t>
      </w:r>
      <w:r>
        <w:rPr>
          <w:sz w:val="20"/>
          <w:szCs w:val="20"/>
          <w:lang w:val="ru-RU"/>
        </w:rPr>
        <w:t xml:space="preserve">в портфеле Банка на сумму </w:t>
      </w:r>
      <w:r w:rsidRPr="001F2838">
        <w:rPr>
          <w:sz w:val="20"/>
          <w:szCs w:val="20"/>
          <w:lang w:val="ru-RU"/>
        </w:rPr>
        <w:t>804</w:t>
      </w:r>
      <w:r>
        <w:rPr>
          <w:sz w:val="20"/>
          <w:szCs w:val="20"/>
          <w:lang w:val="ru-RU"/>
        </w:rPr>
        <w:t>,</w:t>
      </w:r>
      <w:r w:rsidRPr="001F2838">
        <w:rPr>
          <w:sz w:val="20"/>
          <w:szCs w:val="20"/>
          <w:lang w:val="ru-RU"/>
        </w:rPr>
        <w:t>08</w:t>
      </w:r>
      <w:r>
        <w:rPr>
          <w:sz w:val="20"/>
          <w:szCs w:val="20"/>
          <w:lang w:val="ru-RU"/>
        </w:rPr>
        <w:t xml:space="preserve"> млн.</w:t>
      </w:r>
      <w:r w:rsidR="00F84A17">
        <w:rPr>
          <w:sz w:val="20"/>
          <w:szCs w:val="20"/>
          <w:lang w:val="ru-RU"/>
        </w:rPr>
        <w:t xml:space="preserve"> руб.</w:t>
      </w:r>
      <w:r>
        <w:rPr>
          <w:sz w:val="20"/>
          <w:szCs w:val="20"/>
          <w:lang w:val="ru-RU"/>
        </w:rPr>
        <w:t>, срок погашения 1</w:t>
      </w:r>
      <w:r w:rsidRPr="001F2838">
        <w:rPr>
          <w:sz w:val="20"/>
          <w:szCs w:val="20"/>
          <w:lang w:val="ru-RU"/>
        </w:rPr>
        <w:t>4</w:t>
      </w:r>
      <w:r>
        <w:rPr>
          <w:sz w:val="20"/>
          <w:szCs w:val="20"/>
          <w:lang w:val="ru-RU"/>
        </w:rPr>
        <w:t xml:space="preserve"> марта 2018</w:t>
      </w:r>
      <w:r w:rsidR="001D2BC3">
        <w:rPr>
          <w:sz w:val="20"/>
          <w:szCs w:val="20"/>
          <w:lang w:val="ru-RU"/>
        </w:rPr>
        <w:t xml:space="preserve"> </w:t>
      </w:r>
      <w:r>
        <w:rPr>
          <w:sz w:val="20"/>
          <w:szCs w:val="20"/>
          <w:lang w:val="ru-RU"/>
        </w:rPr>
        <w:t>года, ставка по купону 7,75%.</w:t>
      </w:r>
      <w:r w:rsidRPr="001F2838">
        <w:rPr>
          <w:sz w:val="20"/>
          <w:szCs w:val="20"/>
          <w:lang w:val="ru-RU"/>
        </w:rPr>
        <w:t xml:space="preserve"> </w:t>
      </w:r>
    </w:p>
    <w:p w:rsidR="0010182D" w:rsidRPr="00E67CEC" w:rsidRDefault="0010182D" w:rsidP="0010182D">
      <w:pPr>
        <w:pStyle w:val="2normal"/>
        <w:jc w:val="both"/>
        <w:rPr>
          <w:sz w:val="20"/>
          <w:szCs w:val="20"/>
          <w:lang w:val="ru-RU"/>
        </w:rPr>
      </w:pPr>
    </w:p>
    <w:p w:rsidR="0010182D" w:rsidRPr="00422456" w:rsidRDefault="0010182D" w:rsidP="0010182D">
      <w:pPr>
        <w:pStyle w:val="2normal"/>
        <w:jc w:val="both"/>
        <w:rPr>
          <w:sz w:val="20"/>
          <w:szCs w:val="20"/>
          <w:lang w:val="ru-RU"/>
        </w:rPr>
      </w:pPr>
      <w:r>
        <w:rPr>
          <w:sz w:val="20"/>
          <w:szCs w:val="20"/>
          <w:lang w:val="ru-RU"/>
        </w:rPr>
        <w:t>За</w:t>
      </w:r>
      <w:r w:rsidRPr="00422456">
        <w:rPr>
          <w:sz w:val="20"/>
          <w:szCs w:val="20"/>
          <w:lang w:val="ru-RU"/>
        </w:rPr>
        <w:t xml:space="preserve"> </w:t>
      </w:r>
      <w:r>
        <w:rPr>
          <w:sz w:val="20"/>
          <w:szCs w:val="20"/>
          <w:lang w:val="ru-RU"/>
        </w:rPr>
        <w:t xml:space="preserve">31 декабря </w:t>
      </w:r>
      <w:r w:rsidRPr="00422456">
        <w:rPr>
          <w:sz w:val="20"/>
          <w:szCs w:val="20"/>
          <w:lang w:val="ru-RU"/>
        </w:rPr>
        <w:t xml:space="preserve">2017 года Банк имеет еврооблигации нерезидентов, конечным эмитентом которых являются </w:t>
      </w:r>
      <w:r>
        <w:rPr>
          <w:sz w:val="20"/>
          <w:szCs w:val="20"/>
          <w:lang w:val="ru-RU"/>
        </w:rPr>
        <w:t>крупные российские предприятия</w:t>
      </w:r>
      <w:r w:rsidRPr="00D8002D">
        <w:rPr>
          <w:sz w:val="20"/>
          <w:szCs w:val="20"/>
          <w:lang w:val="ru-RU"/>
        </w:rPr>
        <w:t xml:space="preserve"> </w:t>
      </w:r>
      <w:r>
        <w:rPr>
          <w:sz w:val="20"/>
          <w:szCs w:val="20"/>
          <w:lang w:val="ru-RU"/>
        </w:rPr>
        <w:t xml:space="preserve">ГМК «Норильский Никель» ОАО, </w:t>
      </w:r>
      <w:r w:rsidRPr="005A7725">
        <w:rPr>
          <w:sz w:val="20"/>
          <w:szCs w:val="20"/>
          <w:lang w:val="ru-RU"/>
        </w:rPr>
        <w:t>ПАО «Лукойл</w:t>
      </w:r>
      <w:r>
        <w:rPr>
          <w:sz w:val="20"/>
          <w:szCs w:val="20"/>
          <w:lang w:val="ru-RU"/>
        </w:rPr>
        <w:t xml:space="preserve">», </w:t>
      </w:r>
      <w:r w:rsidRPr="005A7725">
        <w:rPr>
          <w:rFonts w:cs="Arial"/>
          <w:sz w:val="19"/>
          <w:szCs w:val="19"/>
          <w:lang w:val="ru-RU"/>
        </w:rPr>
        <w:t>междунаро</w:t>
      </w:r>
      <w:r>
        <w:rPr>
          <w:rFonts w:cs="Arial"/>
          <w:sz w:val="19"/>
          <w:szCs w:val="19"/>
          <w:lang w:val="ru-RU"/>
        </w:rPr>
        <w:t xml:space="preserve">дная золотодобывающая компания </w:t>
      </w:r>
      <w:r w:rsidRPr="005A7725">
        <w:rPr>
          <w:rFonts w:cs="Arial"/>
          <w:sz w:val="19"/>
          <w:szCs w:val="19"/>
        </w:rPr>
        <w:t>Nord</w:t>
      </w:r>
      <w:r w:rsidRPr="005A7725">
        <w:rPr>
          <w:rFonts w:cs="Arial"/>
          <w:sz w:val="19"/>
          <w:szCs w:val="19"/>
          <w:lang w:val="ru-RU"/>
        </w:rPr>
        <w:t xml:space="preserve"> </w:t>
      </w:r>
      <w:r w:rsidRPr="005A7725">
        <w:rPr>
          <w:rFonts w:cs="Arial"/>
          <w:sz w:val="19"/>
          <w:szCs w:val="19"/>
        </w:rPr>
        <w:t>Gold</w:t>
      </w:r>
      <w:r w:rsidRPr="005A7725">
        <w:rPr>
          <w:rFonts w:cs="Arial"/>
          <w:sz w:val="19"/>
          <w:szCs w:val="19"/>
          <w:lang w:val="ru-RU"/>
        </w:rPr>
        <w:t xml:space="preserve"> </w:t>
      </w:r>
      <w:r w:rsidRPr="005A7725">
        <w:rPr>
          <w:rFonts w:cs="Arial"/>
          <w:sz w:val="19"/>
          <w:szCs w:val="19"/>
        </w:rPr>
        <w:t>N</w:t>
      </w:r>
      <w:r w:rsidRPr="005A7725">
        <w:rPr>
          <w:rFonts w:cs="Arial"/>
          <w:sz w:val="19"/>
          <w:szCs w:val="19"/>
          <w:lang w:val="ru-RU"/>
        </w:rPr>
        <w:t>.</w:t>
      </w:r>
      <w:r w:rsidRPr="005A7725">
        <w:rPr>
          <w:rFonts w:cs="Arial"/>
          <w:sz w:val="19"/>
          <w:szCs w:val="19"/>
        </w:rPr>
        <w:t>V</w:t>
      </w:r>
      <w:r w:rsidRPr="005A7725">
        <w:rPr>
          <w:rFonts w:cs="Arial"/>
          <w:sz w:val="19"/>
          <w:szCs w:val="19"/>
          <w:lang w:val="ru-RU"/>
        </w:rPr>
        <w:t>., ПАО «СИБУР Холдинг»,</w:t>
      </w:r>
      <w:r>
        <w:rPr>
          <w:rFonts w:cs="Arial"/>
          <w:sz w:val="19"/>
          <w:szCs w:val="19"/>
          <w:lang w:val="ru-RU"/>
        </w:rPr>
        <w:t xml:space="preserve"> ПАО «ТМК», ОАО «РЖД»</w:t>
      </w:r>
      <w:r>
        <w:rPr>
          <w:sz w:val="20"/>
          <w:szCs w:val="20"/>
          <w:lang w:val="ru-RU"/>
        </w:rPr>
        <w:t>.</w:t>
      </w:r>
      <w:r w:rsidRPr="00422456">
        <w:rPr>
          <w:sz w:val="20"/>
          <w:szCs w:val="20"/>
          <w:lang w:val="ru-RU"/>
        </w:rPr>
        <w:t xml:space="preserve">  </w:t>
      </w:r>
      <w:r>
        <w:rPr>
          <w:sz w:val="20"/>
          <w:szCs w:val="20"/>
          <w:lang w:val="ru-RU"/>
        </w:rPr>
        <w:t>Сроки погашения с 27</w:t>
      </w:r>
      <w:r w:rsidRPr="001548AE">
        <w:rPr>
          <w:sz w:val="20"/>
          <w:szCs w:val="20"/>
          <w:lang w:val="ru-RU"/>
        </w:rPr>
        <w:t xml:space="preserve"> января 2018 года по </w:t>
      </w:r>
      <w:r>
        <w:rPr>
          <w:sz w:val="20"/>
          <w:szCs w:val="20"/>
          <w:lang w:val="ru-RU"/>
        </w:rPr>
        <w:t>05</w:t>
      </w:r>
      <w:r w:rsidRPr="001548AE">
        <w:rPr>
          <w:sz w:val="20"/>
          <w:szCs w:val="20"/>
          <w:lang w:val="ru-RU"/>
        </w:rPr>
        <w:t xml:space="preserve"> </w:t>
      </w:r>
      <w:r>
        <w:rPr>
          <w:sz w:val="20"/>
          <w:szCs w:val="20"/>
          <w:lang w:val="ru-RU"/>
        </w:rPr>
        <w:t>окт</w:t>
      </w:r>
      <w:r w:rsidRPr="001548AE">
        <w:rPr>
          <w:sz w:val="20"/>
          <w:szCs w:val="20"/>
          <w:lang w:val="ru-RU"/>
        </w:rPr>
        <w:t>ября 202</w:t>
      </w:r>
      <w:r>
        <w:rPr>
          <w:sz w:val="20"/>
          <w:szCs w:val="20"/>
          <w:lang w:val="ru-RU"/>
        </w:rPr>
        <w:t>3</w:t>
      </w:r>
      <w:r w:rsidRPr="001548AE">
        <w:rPr>
          <w:sz w:val="20"/>
          <w:szCs w:val="20"/>
          <w:lang w:val="ru-RU"/>
        </w:rPr>
        <w:t xml:space="preserve"> года, ставка по купону от 3,416% до 7,</w:t>
      </w:r>
      <w:r>
        <w:rPr>
          <w:sz w:val="20"/>
          <w:szCs w:val="20"/>
          <w:lang w:val="ru-RU"/>
        </w:rPr>
        <w:t>9</w:t>
      </w:r>
      <w:r w:rsidRPr="001548AE">
        <w:rPr>
          <w:sz w:val="20"/>
          <w:szCs w:val="20"/>
          <w:lang w:val="ru-RU"/>
        </w:rPr>
        <w:t>%.</w:t>
      </w:r>
      <w:r w:rsidRPr="00422456">
        <w:rPr>
          <w:sz w:val="20"/>
          <w:szCs w:val="20"/>
          <w:lang w:val="ru-RU"/>
        </w:rPr>
        <w:t xml:space="preserve"> </w:t>
      </w:r>
    </w:p>
    <w:p w:rsidR="0010182D" w:rsidRDefault="0010182D" w:rsidP="0010182D">
      <w:pPr>
        <w:pStyle w:val="2normal"/>
        <w:jc w:val="both"/>
        <w:rPr>
          <w:sz w:val="20"/>
          <w:szCs w:val="20"/>
          <w:lang w:val="ru-RU"/>
        </w:rPr>
      </w:pPr>
    </w:p>
    <w:p w:rsidR="0010182D" w:rsidRPr="004B5E55" w:rsidRDefault="0010182D" w:rsidP="0010182D">
      <w:pPr>
        <w:pStyle w:val="2normal"/>
        <w:jc w:val="both"/>
        <w:rPr>
          <w:sz w:val="20"/>
          <w:szCs w:val="20"/>
          <w:lang w:val="ru-RU"/>
        </w:rPr>
      </w:pPr>
      <w:r w:rsidRPr="004B5E55">
        <w:rPr>
          <w:sz w:val="20"/>
          <w:szCs w:val="20"/>
          <w:lang w:val="ru-RU"/>
        </w:rPr>
        <w:t>По состоянию за 3</w:t>
      </w:r>
      <w:r>
        <w:rPr>
          <w:sz w:val="20"/>
          <w:szCs w:val="20"/>
          <w:lang w:val="ru-RU"/>
        </w:rPr>
        <w:t>1</w:t>
      </w:r>
      <w:r w:rsidR="001D2BC3">
        <w:rPr>
          <w:sz w:val="20"/>
          <w:szCs w:val="20"/>
          <w:lang w:val="ru-RU"/>
        </w:rPr>
        <w:t xml:space="preserve"> </w:t>
      </w:r>
      <w:r>
        <w:rPr>
          <w:sz w:val="20"/>
          <w:szCs w:val="20"/>
          <w:lang w:val="ru-RU"/>
        </w:rPr>
        <w:t>декабря</w:t>
      </w:r>
      <w:r w:rsidRPr="004B5E55">
        <w:rPr>
          <w:sz w:val="20"/>
          <w:szCs w:val="20"/>
          <w:lang w:val="ru-RU"/>
        </w:rPr>
        <w:t xml:space="preserve"> 201</w:t>
      </w:r>
      <w:r>
        <w:rPr>
          <w:sz w:val="20"/>
          <w:szCs w:val="20"/>
          <w:lang w:val="ru-RU"/>
        </w:rPr>
        <w:t>8</w:t>
      </w:r>
      <w:r w:rsidRPr="004B5E55">
        <w:rPr>
          <w:sz w:val="20"/>
          <w:szCs w:val="20"/>
          <w:lang w:val="ru-RU"/>
        </w:rPr>
        <w:t xml:space="preserve"> и за 31 декабря 201</w:t>
      </w:r>
      <w:r>
        <w:rPr>
          <w:sz w:val="20"/>
          <w:szCs w:val="20"/>
          <w:lang w:val="ru-RU"/>
        </w:rPr>
        <w:t>7</w:t>
      </w:r>
      <w:r w:rsidRPr="004B5E55">
        <w:rPr>
          <w:sz w:val="20"/>
          <w:szCs w:val="20"/>
          <w:lang w:val="ru-RU"/>
        </w:rPr>
        <w:t xml:space="preserve"> года ценные бумаги Банка не были заложены по ломбардным кредитам, по договорам РЕПО.</w:t>
      </w:r>
    </w:p>
    <w:p w:rsidR="0010182D" w:rsidRPr="006C1E8B" w:rsidRDefault="0010182D" w:rsidP="0010182D">
      <w:pPr>
        <w:pStyle w:val="2normal"/>
        <w:jc w:val="both"/>
        <w:rPr>
          <w:sz w:val="20"/>
          <w:szCs w:val="20"/>
          <w:highlight w:val="yellow"/>
          <w:lang w:val="ru-RU"/>
        </w:rPr>
      </w:pPr>
    </w:p>
    <w:p w:rsidR="0010182D" w:rsidRPr="002F26BD" w:rsidRDefault="0010182D" w:rsidP="0010182D">
      <w:pPr>
        <w:pStyle w:val="aff5"/>
        <w:rPr>
          <w:i w:val="0"/>
          <w:sz w:val="20"/>
          <w:szCs w:val="20"/>
        </w:rPr>
      </w:pPr>
      <w:r w:rsidRPr="002F26BD">
        <w:rPr>
          <w:i w:val="0"/>
          <w:sz w:val="20"/>
          <w:szCs w:val="20"/>
        </w:rPr>
        <w:t>Производные финансовые инструменты</w:t>
      </w:r>
    </w:p>
    <w:p w:rsidR="0010182D" w:rsidRDefault="00A14556" w:rsidP="0010182D">
      <w:pPr>
        <w:pStyle w:val="2normal"/>
        <w:jc w:val="both"/>
        <w:rPr>
          <w:rFonts w:cs="Arial"/>
          <w:sz w:val="20"/>
          <w:szCs w:val="20"/>
          <w:lang w:val="ru-RU"/>
        </w:rPr>
      </w:pPr>
      <w:r>
        <w:rPr>
          <w:sz w:val="20"/>
          <w:szCs w:val="20"/>
          <w:lang w:val="ru-RU"/>
        </w:rPr>
        <w:t>В течение</w:t>
      </w:r>
      <w:r w:rsidR="0010182D">
        <w:rPr>
          <w:sz w:val="20"/>
          <w:szCs w:val="20"/>
          <w:lang w:val="ru-RU"/>
        </w:rPr>
        <w:t xml:space="preserve"> 2017 и 2018 </w:t>
      </w:r>
      <w:r w:rsidR="0010182D" w:rsidRPr="00A4401F">
        <w:rPr>
          <w:rFonts w:cs="Arial"/>
          <w:sz w:val="20"/>
          <w:szCs w:val="20"/>
          <w:lang w:val="ru-RU"/>
        </w:rPr>
        <w:t>год</w:t>
      </w:r>
      <w:r w:rsidR="0010182D">
        <w:rPr>
          <w:rFonts w:cs="Arial"/>
          <w:sz w:val="20"/>
          <w:szCs w:val="20"/>
          <w:lang w:val="ru-RU"/>
        </w:rPr>
        <w:t>ов</w:t>
      </w:r>
      <w:r w:rsidR="0010182D" w:rsidRPr="00A4401F">
        <w:rPr>
          <w:rFonts w:cs="Arial"/>
          <w:sz w:val="20"/>
          <w:szCs w:val="20"/>
          <w:lang w:val="ru-RU"/>
        </w:rPr>
        <w:t xml:space="preserve"> Банк </w:t>
      </w:r>
      <w:r w:rsidR="0010182D">
        <w:rPr>
          <w:rFonts w:cs="Arial"/>
          <w:sz w:val="20"/>
          <w:szCs w:val="20"/>
          <w:lang w:val="ru-RU"/>
        </w:rPr>
        <w:t xml:space="preserve">не </w:t>
      </w:r>
      <w:r w:rsidR="0010182D" w:rsidRPr="00A4401F">
        <w:rPr>
          <w:rFonts w:cs="Arial"/>
          <w:sz w:val="20"/>
          <w:szCs w:val="20"/>
          <w:lang w:val="ru-RU"/>
        </w:rPr>
        <w:t xml:space="preserve">заключал сделки с использованием производных финансовых инструментов и сделок, подобных ПФИ. </w:t>
      </w:r>
    </w:p>
    <w:p w:rsidR="0010182D" w:rsidRDefault="0010182D" w:rsidP="0010182D">
      <w:pPr>
        <w:pStyle w:val="2normal"/>
        <w:jc w:val="both"/>
        <w:rPr>
          <w:sz w:val="20"/>
          <w:szCs w:val="20"/>
          <w:lang w:val="ru-RU"/>
        </w:rPr>
      </w:pPr>
    </w:p>
    <w:p w:rsidR="0010182D" w:rsidRPr="002F26BD" w:rsidRDefault="0010182D" w:rsidP="0010182D">
      <w:pPr>
        <w:pStyle w:val="aff5"/>
        <w:rPr>
          <w:i w:val="0"/>
          <w:sz w:val="20"/>
          <w:szCs w:val="20"/>
        </w:rPr>
      </w:pPr>
      <w:r w:rsidRPr="002F26BD">
        <w:rPr>
          <w:i w:val="0"/>
          <w:sz w:val="20"/>
          <w:szCs w:val="20"/>
        </w:rPr>
        <w:t>Валютный своп (</w:t>
      </w:r>
      <w:r w:rsidRPr="002F26BD">
        <w:rPr>
          <w:i w:val="0"/>
          <w:sz w:val="20"/>
          <w:szCs w:val="20"/>
          <w:lang w:val="en-US"/>
        </w:rPr>
        <w:t>SWAP</w:t>
      </w:r>
      <w:r w:rsidRPr="002F26BD">
        <w:rPr>
          <w:i w:val="0"/>
          <w:sz w:val="20"/>
          <w:szCs w:val="20"/>
        </w:rPr>
        <w:t>)</w:t>
      </w:r>
    </w:p>
    <w:p w:rsidR="0010182D" w:rsidRPr="00786D66" w:rsidRDefault="0010182D" w:rsidP="0010182D">
      <w:pPr>
        <w:pStyle w:val="2normal"/>
        <w:spacing w:line="230" w:lineRule="auto"/>
        <w:jc w:val="both"/>
        <w:rPr>
          <w:rFonts w:cs="Arial"/>
          <w:sz w:val="20"/>
          <w:szCs w:val="20"/>
          <w:lang w:val="ru-RU"/>
        </w:rPr>
      </w:pPr>
      <w:r w:rsidRPr="00F50D47">
        <w:rPr>
          <w:rFonts w:cs="Arial"/>
          <w:sz w:val="20"/>
          <w:szCs w:val="20"/>
          <w:lang w:val="ru-RU"/>
        </w:rPr>
        <w:t>Банк заключает внебиржевые сделки валю</w:t>
      </w:r>
      <w:r>
        <w:rPr>
          <w:rFonts w:cs="Arial"/>
          <w:sz w:val="20"/>
          <w:szCs w:val="20"/>
          <w:lang w:val="ru-RU"/>
        </w:rPr>
        <w:t>тный своп с банками–резидентами</w:t>
      </w:r>
      <w:r w:rsidRPr="00F50D47">
        <w:rPr>
          <w:rFonts w:cs="Arial"/>
          <w:sz w:val="20"/>
          <w:szCs w:val="20"/>
          <w:lang w:val="ru-RU"/>
        </w:rPr>
        <w:t>, которые представляют собой комбинацию двух противоположных конверсионных сделок на одинаковую сумму с разными датами валютирования.</w:t>
      </w:r>
      <w:r>
        <w:rPr>
          <w:rFonts w:cs="Arial"/>
          <w:sz w:val="20"/>
          <w:szCs w:val="20"/>
          <w:lang w:val="ru-RU"/>
        </w:rPr>
        <w:t xml:space="preserve"> </w:t>
      </w:r>
      <w:r w:rsidRPr="00105BAF">
        <w:rPr>
          <w:rFonts w:cs="Arial"/>
          <w:sz w:val="20"/>
          <w:szCs w:val="20"/>
          <w:lang w:val="ru-RU"/>
        </w:rPr>
        <w:t>За 3</w:t>
      </w:r>
      <w:r>
        <w:rPr>
          <w:rFonts w:cs="Arial"/>
          <w:sz w:val="20"/>
          <w:szCs w:val="20"/>
          <w:lang w:val="ru-RU"/>
        </w:rPr>
        <w:t>1</w:t>
      </w:r>
      <w:r w:rsidRPr="00105BAF">
        <w:rPr>
          <w:rFonts w:cs="Arial"/>
          <w:sz w:val="20"/>
          <w:szCs w:val="20"/>
          <w:lang w:val="ru-RU"/>
        </w:rPr>
        <w:t xml:space="preserve"> </w:t>
      </w:r>
      <w:r>
        <w:rPr>
          <w:rFonts w:cs="Arial"/>
          <w:sz w:val="20"/>
          <w:szCs w:val="20"/>
          <w:lang w:val="ru-RU"/>
        </w:rPr>
        <w:t xml:space="preserve">декабря </w:t>
      </w:r>
      <w:r w:rsidRPr="00105BAF">
        <w:rPr>
          <w:rFonts w:cs="Arial"/>
          <w:sz w:val="20"/>
          <w:szCs w:val="20"/>
          <w:lang w:val="ru-RU"/>
        </w:rPr>
        <w:t>2018 года у Банка за</w:t>
      </w:r>
      <w:r>
        <w:rPr>
          <w:rFonts w:cs="Arial"/>
          <w:sz w:val="20"/>
          <w:szCs w:val="20"/>
          <w:lang w:val="ru-RU"/>
        </w:rPr>
        <w:t>ключены сделки валютный своп с ОАО АКБ «Металлинвестбанк» и АО «АЛЬФА-БАНК</w:t>
      </w:r>
      <w:r w:rsidRPr="00104F3E">
        <w:rPr>
          <w:rFonts w:cs="Arial"/>
          <w:sz w:val="20"/>
          <w:szCs w:val="20"/>
          <w:lang w:val="ru-RU"/>
        </w:rPr>
        <w:t xml:space="preserve">» на сумму 139 445 тыс. рублей. За 31 декабря 2017 года у Банка заключены сделки валютный своп с ПАО </w:t>
      </w:r>
      <w:r>
        <w:rPr>
          <w:rFonts w:cs="Arial"/>
          <w:sz w:val="20"/>
          <w:szCs w:val="20"/>
          <w:lang w:val="ru-RU"/>
        </w:rPr>
        <w:t>«Московская биржа» на сумму 1 2</w:t>
      </w:r>
      <w:r w:rsidRPr="003B1872">
        <w:rPr>
          <w:rFonts w:cs="Arial"/>
          <w:sz w:val="20"/>
          <w:szCs w:val="20"/>
          <w:lang w:val="ru-RU"/>
        </w:rPr>
        <w:t>36</w:t>
      </w:r>
      <w:r w:rsidRPr="00104F3E">
        <w:rPr>
          <w:rFonts w:cs="Arial"/>
          <w:sz w:val="20"/>
          <w:szCs w:val="20"/>
          <w:lang w:val="ru-RU"/>
        </w:rPr>
        <w:t> 1</w:t>
      </w:r>
      <w:r w:rsidRPr="003B1872">
        <w:rPr>
          <w:rFonts w:cs="Arial"/>
          <w:sz w:val="20"/>
          <w:szCs w:val="20"/>
          <w:lang w:val="ru-RU"/>
        </w:rPr>
        <w:t>22</w:t>
      </w:r>
      <w:r w:rsidRPr="00104F3E">
        <w:rPr>
          <w:rFonts w:cs="Arial"/>
          <w:sz w:val="20"/>
          <w:szCs w:val="20"/>
          <w:lang w:val="ru-RU"/>
        </w:rPr>
        <w:t>,</w:t>
      </w:r>
      <w:r w:rsidRPr="003B1872">
        <w:rPr>
          <w:rFonts w:cs="Arial"/>
          <w:sz w:val="20"/>
          <w:szCs w:val="20"/>
          <w:lang w:val="ru-RU"/>
        </w:rPr>
        <w:t>0</w:t>
      </w:r>
      <w:r w:rsidRPr="00104F3E">
        <w:rPr>
          <w:rFonts w:cs="Arial"/>
          <w:sz w:val="20"/>
          <w:szCs w:val="20"/>
          <w:lang w:val="ru-RU"/>
        </w:rPr>
        <w:t xml:space="preserve"> тыс. рублей.</w:t>
      </w:r>
    </w:p>
    <w:p w:rsidR="0010182D" w:rsidRPr="00786D66" w:rsidRDefault="0010182D" w:rsidP="0010182D">
      <w:pPr>
        <w:pStyle w:val="2normal"/>
        <w:spacing w:line="230" w:lineRule="auto"/>
        <w:jc w:val="both"/>
        <w:rPr>
          <w:rFonts w:cs="Arial"/>
          <w:sz w:val="20"/>
          <w:szCs w:val="20"/>
          <w:lang w:val="ru-RU"/>
        </w:rPr>
      </w:pPr>
    </w:p>
    <w:p w:rsidR="0010182D" w:rsidRDefault="0010182D" w:rsidP="0010182D">
      <w:pPr>
        <w:pStyle w:val="2normal"/>
        <w:spacing w:line="230" w:lineRule="auto"/>
        <w:jc w:val="both"/>
        <w:rPr>
          <w:rFonts w:cs="Arial"/>
          <w:sz w:val="20"/>
          <w:szCs w:val="20"/>
          <w:lang w:val="ru-RU"/>
        </w:rPr>
      </w:pPr>
      <w:r w:rsidRPr="00031DA6">
        <w:rPr>
          <w:rFonts w:cs="Arial"/>
          <w:sz w:val="20"/>
          <w:szCs w:val="20"/>
          <w:lang w:val="ru-RU"/>
        </w:rPr>
        <w:t>Банк заключает самые ликвидные валютные свопы, которые торгуются на Московской бирже - это однодневные валютные свопы доллар-рубль (</w:t>
      </w:r>
      <w:r w:rsidRPr="00031DA6">
        <w:rPr>
          <w:rFonts w:cs="Arial"/>
          <w:sz w:val="20"/>
          <w:szCs w:val="20"/>
        </w:rPr>
        <w:t>USD</w:t>
      </w:r>
      <w:r w:rsidRPr="00031DA6">
        <w:rPr>
          <w:rFonts w:cs="Arial"/>
          <w:sz w:val="20"/>
          <w:szCs w:val="20"/>
          <w:lang w:val="ru-RU"/>
        </w:rPr>
        <w:t>_</w:t>
      </w:r>
      <w:r w:rsidRPr="00031DA6">
        <w:rPr>
          <w:rFonts w:cs="Arial"/>
          <w:sz w:val="20"/>
          <w:szCs w:val="20"/>
        </w:rPr>
        <w:t>TODTOM</w:t>
      </w:r>
      <w:r w:rsidRPr="00031DA6">
        <w:rPr>
          <w:rFonts w:cs="Arial"/>
          <w:sz w:val="20"/>
          <w:szCs w:val="20"/>
          <w:lang w:val="ru-RU"/>
        </w:rPr>
        <w:t>), евро-рубль (</w:t>
      </w:r>
      <w:r w:rsidRPr="00031DA6">
        <w:rPr>
          <w:rFonts w:cs="Arial"/>
          <w:sz w:val="20"/>
          <w:szCs w:val="20"/>
        </w:rPr>
        <w:t>EUR</w:t>
      </w:r>
      <w:r w:rsidRPr="00031DA6">
        <w:rPr>
          <w:rFonts w:cs="Arial"/>
          <w:sz w:val="20"/>
          <w:szCs w:val="20"/>
          <w:lang w:val="ru-RU"/>
        </w:rPr>
        <w:t>_</w:t>
      </w:r>
      <w:r w:rsidRPr="00031DA6">
        <w:rPr>
          <w:rFonts w:cs="Arial"/>
          <w:sz w:val="20"/>
          <w:szCs w:val="20"/>
        </w:rPr>
        <w:t>TODTOM</w:t>
      </w:r>
      <w:r w:rsidRPr="00031DA6">
        <w:rPr>
          <w:rFonts w:cs="Arial"/>
          <w:sz w:val="20"/>
          <w:szCs w:val="20"/>
          <w:lang w:val="ru-RU"/>
        </w:rPr>
        <w:t>) и евро-оллар (</w:t>
      </w:r>
      <w:r w:rsidRPr="00031DA6">
        <w:rPr>
          <w:rFonts w:cs="Arial"/>
          <w:sz w:val="20"/>
          <w:szCs w:val="20"/>
          <w:lang w:val="en-US"/>
        </w:rPr>
        <w:t>EURUSD</w:t>
      </w:r>
      <w:r w:rsidRPr="00031DA6">
        <w:rPr>
          <w:rFonts w:cs="Arial"/>
          <w:sz w:val="20"/>
          <w:szCs w:val="20"/>
          <w:lang w:val="ru-RU"/>
        </w:rPr>
        <w:t>_</w:t>
      </w:r>
      <w:r w:rsidRPr="00031DA6">
        <w:rPr>
          <w:rFonts w:cs="Arial"/>
          <w:sz w:val="20"/>
          <w:szCs w:val="20"/>
          <w:lang w:val="en-US"/>
        </w:rPr>
        <w:t>TODTOM</w:t>
      </w:r>
      <w:r w:rsidRPr="00031DA6">
        <w:rPr>
          <w:rFonts w:cs="Arial"/>
          <w:sz w:val="20"/>
          <w:szCs w:val="20"/>
          <w:lang w:val="ru-RU"/>
        </w:rPr>
        <w:t>).</w:t>
      </w:r>
      <w:r>
        <w:rPr>
          <w:rFonts w:cs="Arial"/>
          <w:sz w:val="20"/>
          <w:szCs w:val="20"/>
          <w:lang w:val="ru-RU"/>
        </w:rPr>
        <w:t xml:space="preserve">   </w:t>
      </w:r>
    </w:p>
    <w:p w:rsidR="0010182D" w:rsidRPr="00806487" w:rsidRDefault="0010182D" w:rsidP="0010182D">
      <w:pPr>
        <w:pStyle w:val="2normal"/>
        <w:jc w:val="right"/>
        <w:rPr>
          <w:rFonts w:cs="Arial"/>
          <w:sz w:val="20"/>
          <w:szCs w:val="20"/>
          <w:lang w:val="ru-RU"/>
        </w:rPr>
      </w:pPr>
    </w:p>
    <w:tbl>
      <w:tblPr>
        <w:tblStyle w:val="affc"/>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559"/>
        <w:gridCol w:w="851"/>
        <w:gridCol w:w="1134"/>
        <w:gridCol w:w="1167"/>
        <w:gridCol w:w="851"/>
        <w:gridCol w:w="1101"/>
      </w:tblGrid>
      <w:tr w:rsidR="0010182D" w:rsidRPr="00282056" w:rsidTr="001E0477">
        <w:tc>
          <w:tcPr>
            <w:tcW w:w="2660" w:type="dxa"/>
            <w:tcBorders>
              <w:top w:val="single" w:sz="4" w:space="0" w:color="auto"/>
              <w:bottom w:val="single" w:sz="4" w:space="0" w:color="auto"/>
            </w:tcBorders>
          </w:tcPr>
          <w:p w:rsidR="0010182D" w:rsidRPr="00282056" w:rsidRDefault="0010182D" w:rsidP="001E0477">
            <w:pPr>
              <w:pStyle w:val="2normal"/>
              <w:jc w:val="both"/>
              <w:rPr>
                <w:rFonts w:cs="Arial"/>
                <w:sz w:val="16"/>
                <w:szCs w:val="16"/>
                <w:lang w:val="ru-RU"/>
              </w:rPr>
            </w:pPr>
          </w:p>
        </w:tc>
        <w:tc>
          <w:tcPr>
            <w:tcW w:w="3544" w:type="dxa"/>
            <w:gridSpan w:val="3"/>
            <w:tcBorders>
              <w:top w:val="single" w:sz="4" w:space="0" w:color="auto"/>
              <w:bottom w:val="single" w:sz="4" w:space="0" w:color="auto"/>
            </w:tcBorders>
          </w:tcPr>
          <w:p w:rsidR="0010182D" w:rsidRPr="00282056" w:rsidRDefault="0010182D" w:rsidP="001E0477">
            <w:pPr>
              <w:pStyle w:val="2normal"/>
              <w:jc w:val="center"/>
              <w:rPr>
                <w:rFonts w:cs="Arial"/>
                <w:b/>
                <w:sz w:val="16"/>
                <w:szCs w:val="16"/>
                <w:lang w:val="ru-RU"/>
              </w:rPr>
            </w:pPr>
            <w:r w:rsidRPr="00282056">
              <w:rPr>
                <w:rFonts w:cs="Arial"/>
                <w:b/>
                <w:sz w:val="16"/>
                <w:szCs w:val="16"/>
                <w:lang w:val="ru-RU"/>
              </w:rPr>
              <w:t>Справедливая стоимость</w:t>
            </w:r>
          </w:p>
          <w:p w:rsidR="0010182D" w:rsidRPr="00282056" w:rsidRDefault="0010182D" w:rsidP="001E0477">
            <w:pPr>
              <w:pStyle w:val="2normal"/>
              <w:jc w:val="center"/>
              <w:rPr>
                <w:rFonts w:cs="Arial"/>
                <w:b/>
                <w:sz w:val="16"/>
                <w:szCs w:val="16"/>
                <w:lang w:val="ru-RU"/>
              </w:rPr>
            </w:pPr>
            <w:r>
              <w:rPr>
                <w:rFonts w:cs="Arial"/>
                <w:b/>
                <w:sz w:val="16"/>
                <w:szCs w:val="16"/>
                <w:lang w:val="ru-RU"/>
              </w:rPr>
              <w:t>за</w:t>
            </w:r>
            <w:r w:rsidRPr="00282056">
              <w:rPr>
                <w:rFonts w:cs="Arial"/>
                <w:b/>
                <w:sz w:val="16"/>
                <w:szCs w:val="16"/>
                <w:lang w:val="en-US"/>
              </w:rPr>
              <w:t xml:space="preserve"> </w:t>
            </w:r>
            <w:r>
              <w:rPr>
                <w:rFonts w:cs="Arial"/>
                <w:b/>
                <w:sz w:val="16"/>
                <w:szCs w:val="16"/>
                <w:lang w:val="ru-RU"/>
              </w:rPr>
              <w:t>31</w:t>
            </w:r>
            <w:r w:rsidRPr="00282056">
              <w:rPr>
                <w:rFonts w:cs="Arial"/>
                <w:b/>
                <w:sz w:val="16"/>
                <w:szCs w:val="16"/>
                <w:lang w:val="ru-RU"/>
              </w:rPr>
              <w:t>.</w:t>
            </w:r>
            <w:r>
              <w:rPr>
                <w:rFonts w:cs="Arial"/>
                <w:b/>
                <w:sz w:val="16"/>
                <w:szCs w:val="16"/>
                <w:lang w:val="ru-RU"/>
              </w:rPr>
              <w:t>12</w:t>
            </w:r>
            <w:r w:rsidRPr="00282056">
              <w:rPr>
                <w:rFonts w:cs="Arial"/>
                <w:b/>
                <w:sz w:val="16"/>
                <w:szCs w:val="16"/>
                <w:lang w:val="ru-RU"/>
              </w:rPr>
              <w:t>.201</w:t>
            </w:r>
            <w:r>
              <w:rPr>
                <w:rFonts w:cs="Arial"/>
                <w:b/>
                <w:sz w:val="16"/>
                <w:szCs w:val="16"/>
                <w:lang w:val="ru-RU"/>
              </w:rPr>
              <w:t>8</w:t>
            </w:r>
          </w:p>
        </w:tc>
        <w:tc>
          <w:tcPr>
            <w:tcW w:w="3119" w:type="dxa"/>
            <w:gridSpan w:val="3"/>
            <w:tcBorders>
              <w:top w:val="single" w:sz="4" w:space="0" w:color="auto"/>
              <w:bottom w:val="single" w:sz="4" w:space="0" w:color="auto"/>
            </w:tcBorders>
          </w:tcPr>
          <w:p w:rsidR="0010182D" w:rsidRPr="00282056" w:rsidRDefault="0010182D" w:rsidP="001E0477">
            <w:pPr>
              <w:pStyle w:val="2normal"/>
              <w:jc w:val="center"/>
              <w:rPr>
                <w:rFonts w:cs="Arial"/>
                <w:b/>
                <w:sz w:val="16"/>
                <w:szCs w:val="16"/>
                <w:lang w:val="ru-RU"/>
              </w:rPr>
            </w:pPr>
            <w:r w:rsidRPr="00282056">
              <w:rPr>
                <w:rFonts w:cs="Arial"/>
                <w:b/>
                <w:sz w:val="16"/>
                <w:szCs w:val="16"/>
                <w:lang w:val="ru-RU"/>
              </w:rPr>
              <w:t>Справедливая стоимость</w:t>
            </w:r>
          </w:p>
          <w:p w:rsidR="0010182D" w:rsidRPr="00282056" w:rsidRDefault="0010182D" w:rsidP="001E0477">
            <w:pPr>
              <w:pStyle w:val="2normal"/>
              <w:jc w:val="center"/>
              <w:rPr>
                <w:rFonts w:cs="Arial"/>
                <w:b/>
                <w:sz w:val="16"/>
                <w:szCs w:val="16"/>
                <w:lang w:val="ru-RU"/>
              </w:rPr>
            </w:pPr>
            <w:r>
              <w:rPr>
                <w:rFonts w:cs="Arial"/>
                <w:b/>
                <w:sz w:val="16"/>
                <w:szCs w:val="16"/>
                <w:lang w:val="ru-RU"/>
              </w:rPr>
              <w:t>за 31.12.</w:t>
            </w:r>
            <w:r w:rsidRPr="00282056">
              <w:rPr>
                <w:rFonts w:cs="Arial"/>
                <w:b/>
                <w:sz w:val="16"/>
                <w:szCs w:val="16"/>
                <w:lang w:val="ru-RU"/>
              </w:rPr>
              <w:t>201</w:t>
            </w:r>
            <w:r>
              <w:rPr>
                <w:rFonts w:cs="Arial"/>
                <w:b/>
                <w:sz w:val="16"/>
                <w:szCs w:val="16"/>
                <w:lang w:val="ru-RU"/>
              </w:rPr>
              <w:t>7</w:t>
            </w:r>
          </w:p>
        </w:tc>
      </w:tr>
      <w:tr w:rsidR="0010182D" w:rsidRPr="00282056" w:rsidTr="001E0477">
        <w:tc>
          <w:tcPr>
            <w:tcW w:w="2660" w:type="dxa"/>
            <w:tcBorders>
              <w:top w:val="single" w:sz="4" w:space="0" w:color="auto"/>
              <w:bottom w:val="single" w:sz="4" w:space="0" w:color="auto"/>
            </w:tcBorders>
          </w:tcPr>
          <w:p w:rsidR="0010182D" w:rsidRPr="00282056" w:rsidRDefault="0010182D" w:rsidP="001E0477">
            <w:pPr>
              <w:pStyle w:val="2normal"/>
              <w:jc w:val="both"/>
              <w:rPr>
                <w:rFonts w:cs="Arial"/>
                <w:sz w:val="16"/>
                <w:szCs w:val="16"/>
                <w:lang w:val="ru-RU"/>
              </w:rPr>
            </w:pPr>
          </w:p>
        </w:tc>
        <w:tc>
          <w:tcPr>
            <w:tcW w:w="1559"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r w:rsidRPr="00282056">
              <w:rPr>
                <w:rFonts w:cs="Arial"/>
                <w:b/>
                <w:sz w:val="16"/>
                <w:szCs w:val="16"/>
                <w:lang w:val="ru-RU"/>
              </w:rPr>
              <w:t>Условная основная сумма</w:t>
            </w:r>
          </w:p>
        </w:tc>
        <w:tc>
          <w:tcPr>
            <w:tcW w:w="851"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p>
          <w:p w:rsidR="0010182D" w:rsidRPr="00282056" w:rsidRDefault="0010182D" w:rsidP="001E0477">
            <w:pPr>
              <w:pStyle w:val="2normal"/>
              <w:jc w:val="right"/>
              <w:rPr>
                <w:rFonts w:cs="Arial"/>
                <w:b/>
                <w:sz w:val="16"/>
                <w:szCs w:val="16"/>
                <w:lang w:val="ru-RU"/>
              </w:rPr>
            </w:pPr>
            <w:r w:rsidRPr="00282056">
              <w:rPr>
                <w:rFonts w:cs="Arial"/>
                <w:b/>
                <w:sz w:val="16"/>
                <w:szCs w:val="16"/>
                <w:lang w:val="ru-RU"/>
              </w:rPr>
              <w:t>Актив</w:t>
            </w:r>
          </w:p>
        </w:tc>
        <w:tc>
          <w:tcPr>
            <w:tcW w:w="1134"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r w:rsidRPr="00282056">
              <w:rPr>
                <w:rFonts w:cs="Arial"/>
                <w:b/>
                <w:sz w:val="16"/>
                <w:szCs w:val="16"/>
                <w:lang w:val="ru-RU"/>
              </w:rPr>
              <w:t>Обязательство</w:t>
            </w:r>
          </w:p>
        </w:tc>
        <w:tc>
          <w:tcPr>
            <w:tcW w:w="1167"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r w:rsidRPr="00282056">
              <w:rPr>
                <w:rFonts w:cs="Arial"/>
                <w:b/>
                <w:sz w:val="16"/>
                <w:szCs w:val="16"/>
                <w:lang w:val="ru-RU"/>
              </w:rPr>
              <w:t>Условная основная сумма</w:t>
            </w:r>
          </w:p>
        </w:tc>
        <w:tc>
          <w:tcPr>
            <w:tcW w:w="851"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p>
          <w:p w:rsidR="0010182D" w:rsidRPr="00282056" w:rsidRDefault="0010182D" w:rsidP="001E0477">
            <w:pPr>
              <w:pStyle w:val="2normal"/>
              <w:jc w:val="right"/>
              <w:rPr>
                <w:rFonts w:cs="Arial"/>
                <w:b/>
                <w:sz w:val="16"/>
                <w:szCs w:val="16"/>
                <w:lang w:val="ru-RU"/>
              </w:rPr>
            </w:pPr>
            <w:r w:rsidRPr="00282056">
              <w:rPr>
                <w:rFonts w:cs="Arial"/>
                <w:b/>
                <w:sz w:val="16"/>
                <w:szCs w:val="16"/>
                <w:lang w:val="ru-RU"/>
              </w:rPr>
              <w:t>Актив</w:t>
            </w:r>
          </w:p>
        </w:tc>
        <w:tc>
          <w:tcPr>
            <w:tcW w:w="1101" w:type="dxa"/>
            <w:tcBorders>
              <w:top w:val="single" w:sz="4" w:space="0" w:color="auto"/>
              <w:bottom w:val="single" w:sz="4" w:space="0" w:color="auto"/>
            </w:tcBorders>
          </w:tcPr>
          <w:p w:rsidR="0010182D" w:rsidRPr="00282056" w:rsidRDefault="0010182D" w:rsidP="001E0477">
            <w:pPr>
              <w:pStyle w:val="2normal"/>
              <w:jc w:val="right"/>
              <w:rPr>
                <w:rFonts w:cs="Arial"/>
                <w:b/>
                <w:sz w:val="16"/>
                <w:szCs w:val="16"/>
                <w:lang w:val="ru-RU"/>
              </w:rPr>
            </w:pPr>
            <w:r w:rsidRPr="00282056">
              <w:rPr>
                <w:rFonts w:cs="Arial"/>
                <w:b/>
                <w:sz w:val="16"/>
                <w:szCs w:val="16"/>
                <w:lang w:val="ru-RU"/>
              </w:rPr>
              <w:t>Обязательство</w:t>
            </w:r>
          </w:p>
        </w:tc>
      </w:tr>
      <w:tr w:rsidR="0010182D" w:rsidRPr="00282056" w:rsidTr="001E0477">
        <w:tc>
          <w:tcPr>
            <w:tcW w:w="2660" w:type="dxa"/>
            <w:tcBorders>
              <w:top w:val="single" w:sz="4" w:space="0" w:color="auto"/>
            </w:tcBorders>
          </w:tcPr>
          <w:p w:rsidR="0010182D" w:rsidRDefault="0010182D" w:rsidP="001E0477">
            <w:pPr>
              <w:pStyle w:val="2normal"/>
              <w:jc w:val="both"/>
              <w:rPr>
                <w:rFonts w:cs="Arial"/>
                <w:b/>
                <w:sz w:val="16"/>
                <w:szCs w:val="16"/>
                <w:lang w:val="ru-RU"/>
              </w:rPr>
            </w:pPr>
          </w:p>
          <w:p w:rsidR="0010182D" w:rsidRPr="00282056" w:rsidRDefault="0010182D" w:rsidP="001E0477">
            <w:pPr>
              <w:pStyle w:val="2normal"/>
              <w:jc w:val="both"/>
              <w:rPr>
                <w:rFonts w:cs="Arial"/>
                <w:b/>
                <w:sz w:val="16"/>
                <w:szCs w:val="16"/>
                <w:lang w:val="ru-RU"/>
              </w:rPr>
            </w:pPr>
            <w:r w:rsidRPr="00282056">
              <w:rPr>
                <w:rFonts w:cs="Arial"/>
                <w:b/>
                <w:sz w:val="16"/>
                <w:szCs w:val="16"/>
                <w:lang w:val="ru-RU"/>
              </w:rPr>
              <w:t xml:space="preserve">Валютные контракты </w:t>
            </w:r>
            <w:r w:rsidRPr="00282056">
              <w:rPr>
                <w:rFonts w:cs="Arial"/>
                <w:b/>
                <w:sz w:val="16"/>
                <w:szCs w:val="16"/>
                <w:lang w:val="en-US"/>
              </w:rPr>
              <w:t>SWAP</w:t>
            </w:r>
          </w:p>
        </w:tc>
        <w:tc>
          <w:tcPr>
            <w:tcW w:w="1559" w:type="dxa"/>
            <w:tcBorders>
              <w:top w:val="single" w:sz="4" w:space="0" w:color="auto"/>
            </w:tcBorders>
          </w:tcPr>
          <w:p w:rsidR="0010182D" w:rsidRDefault="0010182D" w:rsidP="00A14556">
            <w:pPr>
              <w:pStyle w:val="2normal"/>
              <w:jc w:val="center"/>
              <w:rPr>
                <w:rFonts w:cs="Arial"/>
                <w:sz w:val="16"/>
                <w:szCs w:val="16"/>
                <w:lang w:val="ru-RU"/>
              </w:rPr>
            </w:pPr>
          </w:p>
          <w:p w:rsidR="0010182D" w:rsidRPr="00FE0CEF" w:rsidRDefault="0010182D" w:rsidP="00A14556">
            <w:pPr>
              <w:pStyle w:val="2normal"/>
              <w:jc w:val="center"/>
              <w:rPr>
                <w:rFonts w:cs="Arial"/>
                <w:sz w:val="16"/>
                <w:szCs w:val="16"/>
                <w:lang w:val="en-US"/>
              </w:rPr>
            </w:pPr>
            <w:r>
              <w:rPr>
                <w:rFonts w:cs="Arial"/>
                <w:sz w:val="16"/>
                <w:szCs w:val="16"/>
                <w:lang w:val="en-US"/>
              </w:rPr>
              <w:t>-</w:t>
            </w:r>
          </w:p>
        </w:tc>
        <w:tc>
          <w:tcPr>
            <w:tcW w:w="851" w:type="dxa"/>
            <w:tcBorders>
              <w:top w:val="single" w:sz="4" w:space="0" w:color="auto"/>
            </w:tcBorders>
          </w:tcPr>
          <w:p w:rsidR="0010182D" w:rsidRDefault="0010182D" w:rsidP="00A14556">
            <w:pPr>
              <w:pStyle w:val="2normal"/>
              <w:jc w:val="center"/>
              <w:rPr>
                <w:rFonts w:cs="Arial"/>
                <w:sz w:val="16"/>
                <w:szCs w:val="16"/>
                <w:lang w:val="ru-RU"/>
              </w:rPr>
            </w:pPr>
          </w:p>
          <w:p w:rsidR="0010182D" w:rsidRPr="00E629DD" w:rsidRDefault="0010182D" w:rsidP="00A14556">
            <w:pPr>
              <w:pStyle w:val="2normal"/>
              <w:jc w:val="center"/>
              <w:rPr>
                <w:rFonts w:cs="Arial"/>
                <w:sz w:val="16"/>
                <w:szCs w:val="16"/>
                <w:lang w:val="en-US"/>
              </w:rPr>
            </w:pPr>
            <w:r>
              <w:rPr>
                <w:rFonts w:cs="Arial"/>
                <w:sz w:val="16"/>
                <w:szCs w:val="16"/>
                <w:lang w:val="en-US"/>
              </w:rPr>
              <w:t>139 445</w:t>
            </w:r>
          </w:p>
        </w:tc>
        <w:tc>
          <w:tcPr>
            <w:tcW w:w="1134" w:type="dxa"/>
            <w:tcBorders>
              <w:top w:val="single" w:sz="4" w:space="0" w:color="auto"/>
            </w:tcBorders>
          </w:tcPr>
          <w:p w:rsidR="0010182D" w:rsidRDefault="0010182D" w:rsidP="00A14556">
            <w:pPr>
              <w:pStyle w:val="2normal"/>
              <w:jc w:val="center"/>
              <w:rPr>
                <w:rFonts w:cs="Arial"/>
                <w:sz w:val="16"/>
                <w:szCs w:val="16"/>
                <w:lang w:val="ru-RU"/>
              </w:rPr>
            </w:pPr>
          </w:p>
          <w:p w:rsidR="0010182D" w:rsidRPr="00282056" w:rsidRDefault="0010182D" w:rsidP="00A14556">
            <w:pPr>
              <w:pStyle w:val="2normal"/>
              <w:jc w:val="center"/>
              <w:rPr>
                <w:rFonts w:cs="Arial"/>
                <w:sz w:val="16"/>
                <w:szCs w:val="16"/>
                <w:lang w:val="ru-RU"/>
              </w:rPr>
            </w:pPr>
            <w:r>
              <w:rPr>
                <w:rFonts w:cs="Arial"/>
                <w:sz w:val="16"/>
                <w:szCs w:val="16"/>
                <w:lang w:val="ru-RU"/>
              </w:rPr>
              <w:t>139 368</w:t>
            </w:r>
          </w:p>
        </w:tc>
        <w:tc>
          <w:tcPr>
            <w:tcW w:w="1167" w:type="dxa"/>
            <w:tcBorders>
              <w:top w:val="single" w:sz="4" w:space="0" w:color="auto"/>
            </w:tcBorders>
          </w:tcPr>
          <w:p w:rsidR="0010182D" w:rsidRDefault="0010182D" w:rsidP="00A14556">
            <w:pPr>
              <w:pStyle w:val="2normal"/>
              <w:jc w:val="center"/>
              <w:rPr>
                <w:rFonts w:cs="Arial"/>
                <w:sz w:val="16"/>
                <w:szCs w:val="16"/>
                <w:lang w:val="ru-RU"/>
              </w:rPr>
            </w:pPr>
          </w:p>
          <w:p w:rsidR="0010182D" w:rsidRPr="003B1872" w:rsidRDefault="0010182D" w:rsidP="00FC5D59">
            <w:pPr>
              <w:pStyle w:val="2normal"/>
              <w:numPr>
                <w:ilvl w:val="0"/>
                <w:numId w:val="67"/>
              </w:numPr>
              <w:jc w:val="center"/>
              <w:rPr>
                <w:rFonts w:cs="Arial"/>
                <w:sz w:val="16"/>
                <w:szCs w:val="16"/>
                <w:lang w:val="en-US"/>
              </w:rPr>
            </w:pPr>
          </w:p>
        </w:tc>
        <w:tc>
          <w:tcPr>
            <w:tcW w:w="851" w:type="dxa"/>
            <w:tcBorders>
              <w:top w:val="single" w:sz="4" w:space="0" w:color="auto"/>
            </w:tcBorders>
          </w:tcPr>
          <w:p w:rsidR="0010182D" w:rsidRDefault="0010182D" w:rsidP="00A14556">
            <w:pPr>
              <w:pStyle w:val="2normal"/>
              <w:jc w:val="center"/>
              <w:rPr>
                <w:rFonts w:cs="Arial"/>
                <w:sz w:val="16"/>
                <w:szCs w:val="16"/>
                <w:lang w:val="ru-RU"/>
              </w:rPr>
            </w:pPr>
          </w:p>
          <w:p w:rsidR="0010182D" w:rsidRPr="003B1872" w:rsidRDefault="0010182D" w:rsidP="00A14556">
            <w:pPr>
              <w:pStyle w:val="2normal"/>
              <w:ind w:left="-358" w:right="-141" w:firstLine="142"/>
              <w:jc w:val="center"/>
              <w:rPr>
                <w:rFonts w:cs="Arial"/>
                <w:sz w:val="16"/>
                <w:szCs w:val="16"/>
                <w:lang w:val="en-US"/>
              </w:rPr>
            </w:pPr>
            <w:r>
              <w:rPr>
                <w:rFonts w:cs="Arial"/>
                <w:sz w:val="16"/>
                <w:szCs w:val="16"/>
                <w:lang w:val="ru-RU"/>
              </w:rPr>
              <w:t>1</w:t>
            </w:r>
            <w:r w:rsidR="00A14556">
              <w:rPr>
                <w:rFonts w:cs="Arial"/>
                <w:sz w:val="16"/>
                <w:szCs w:val="16"/>
                <w:lang w:val="en-US"/>
              </w:rPr>
              <w:t>1</w:t>
            </w:r>
            <w:r w:rsidR="00A14556">
              <w:rPr>
                <w:rFonts w:cs="Arial"/>
                <w:sz w:val="16"/>
                <w:szCs w:val="16"/>
                <w:lang w:val="ru-RU"/>
              </w:rPr>
              <w:t xml:space="preserve"> </w:t>
            </w:r>
            <w:r>
              <w:rPr>
                <w:rFonts w:cs="Arial"/>
                <w:sz w:val="16"/>
                <w:szCs w:val="16"/>
                <w:lang w:val="ru-RU"/>
              </w:rPr>
              <w:t>236</w:t>
            </w:r>
            <w:r>
              <w:rPr>
                <w:rFonts w:cs="Arial"/>
                <w:sz w:val="16"/>
                <w:szCs w:val="16"/>
                <w:lang w:val="en-US"/>
              </w:rPr>
              <w:t xml:space="preserve"> 122</w:t>
            </w:r>
          </w:p>
        </w:tc>
        <w:tc>
          <w:tcPr>
            <w:tcW w:w="1101" w:type="dxa"/>
            <w:tcBorders>
              <w:top w:val="single" w:sz="4" w:space="0" w:color="auto"/>
            </w:tcBorders>
          </w:tcPr>
          <w:p w:rsidR="0010182D" w:rsidRDefault="0010182D" w:rsidP="00A14556">
            <w:pPr>
              <w:pStyle w:val="2normal"/>
              <w:jc w:val="center"/>
              <w:rPr>
                <w:rFonts w:cs="Arial"/>
                <w:sz w:val="16"/>
                <w:szCs w:val="16"/>
                <w:lang w:val="ru-RU"/>
              </w:rPr>
            </w:pPr>
          </w:p>
          <w:p w:rsidR="0010182D" w:rsidRPr="003B1872" w:rsidRDefault="00A14556" w:rsidP="00A14556">
            <w:pPr>
              <w:pStyle w:val="2normal"/>
              <w:jc w:val="center"/>
              <w:rPr>
                <w:rFonts w:cs="Arial"/>
                <w:sz w:val="16"/>
                <w:szCs w:val="16"/>
                <w:lang w:val="en-US"/>
              </w:rPr>
            </w:pPr>
            <w:r>
              <w:rPr>
                <w:rFonts w:cs="Arial"/>
                <w:sz w:val="16"/>
                <w:szCs w:val="16"/>
                <w:lang w:val="en-US"/>
              </w:rPr>
              <w:t>1</w:t>
            </w:r>
            <w:r>
              <w:rPr>
                <w:rFonts w:cs="Arial"/>
                <w:sz w:val="16"/>
                <w:szCs w:val="16"/>
                <w:lang w:val="ru-RU"/>
              </w:rPr>
              <w:t> </w:t>
            </w:r>
            <w:r>
              <w:rPr>
                <w:rFonts w:cs="Arial"/>
                <w:sz w:val="16"/>
                <w:szCs w:val="16"/>
                <w:lang w:val="en-US"/>
              </w:rPr>
              <w:t>236</w:t>
            </w:r>
            <w:r>
              <w:rPr>
                <w:rFonts w:cs="Arial"/>
                <w:sz w:val="16"/>
                <w:szCs w:val="16"/>
                <w:lang w:val="ru-RU"/>
              </w:rPr>
              <w:t xml:space="preserve"> </w:t>
            </w:r>
            <w:r w:rsidR="0010182D">
              <w:rPr>
                <w:rFonts w:cs="Arial"/>
                <w:sz w:val="16"/>
                <w:szCs w:val="16"/>
                <w:lang w:val="en-US"/>
              </w:rPr>
              <w:t>024</w:t>
            </w:r>
          </w:p>
        </w:tc>
      </w:tr>
      <w:tr w:rsidR="0010182D" w:rsidRPr="00282056" w:rsidTr="001E0477">
        <w:tc>
          <w:tcPr>
            <w:tcW w:w="2660" w:type="dxa"/>
          </w:tcPr>
          <w:p w:rsidR="0010182D" w:rsidRPr="00282056" w:rsidRDefault="0010182D" w:rsidP="001E0477">
            <w:pPr>
              <w:pStyle w:val="2normal"/>
              <w:jc w:val="both"/>
              <w:rPr>
                <w:rFonts w:cs="Arial"/>
                <w:b/>
                <w:sz w:val="16"/>
                <w:szCs w:val="16"/>
                <w:lang w:val="ru-RU"/>
              </w:rPr>
            </w:pPr>
          </w:p>
        </w:tc>
        <w:tc>
          <w:tcPr>
            <w:tcW w:w="1559" w:type="dxa"/>
          </w:tcPr>
          <w:p w:rsidR="0010182D" w:rsidRPr="004765D0" w:rsidRDefault="0010182D" w:rsidP="00A14556">
            <w:pPr>
              <w:pStyle w:val="2normal"/>
              <w:jc w:val="center"/>
              <w:rPr>
                <w:rFonts w:cs="Arial"/>
                <w:sz w:val="16"/>
                <w:szCs w:val="16"/>
                <w:lang w:val="en-US"/>
              </w:rPr>
            </w:pPr>
          </w:p>
        </w:tc>
        <w:tc>
          <w:tcPr>
            <w:tcW w:w="851" w:type="dxa"/>
          </w:tcPr>
          <w:p w:rsidR="0010182D" w:rsidRPr="00282056" w:rsidRDefault="0010182D" w:rsidP="00A14556">
            <w:pPr>
              <w:pStyle w:val="2normal"/>
              <w:jc w:val="center"/>
              <w:rPr>
                <w:rFonts w:cs="Arial"/>
                <w:sz w:val="16"/>
                <w:szCs w:val="16"/>
                <w:lang w:val="ru-RU"/>
              </w:rPr>
            </w:pPr>
          </w:p>
        </w:tc>
        <w:tc>
          <w:tcPr>
            <w:tcW w:w="1134" w:type="dxa"/>
          </w:tcPr>
          <w:p w:rsidR="0010182D" w:rsidRPr="00282056" w:rsidRDefault="0010182D" w:rsidP="00A14556">
            <w:pPr>
              <w:pStyle w:val="2normal"/>
              <w:jc w:val="center"/>
              <w:rPr>
                <w:rFonts w:cs="Arial"/>
                <w:sz w:val="16"/>
                <w:szCs w:val="16"/>
                <w:lang w:val="ru-RU"/>
              </w:rPr>
            </w:pPr>
          </w:p>
        </w:tc>
        <w:tc>
          <w:tcPr>
            <w:tcW w:w="1167" w:type="dxa"/>
          </w:tcPr>
          <w:p w:rsidR="0010182D" w:rsidRPr="00282056" w:rsidRDefault="0010182D" w:rsidP="00A14556">
            <w:pPr>
              <w:pStyle w:val="2normal"/>
              <w:jc w:val="center"/>
              <w:rPr>
                <w:rFonts w:cs="Arial"/>
                <w:sz w:val="16"/>
                <w:szCs w:val="16"/>
                <w:lang w:val="ru-RU"/>
              </w:rPr>
            </w:pPr>
          </w:p>
        </w:tc>
        <w:tc>
          <w:tcPr>
            <w:tcW w:w="851" w:type="dxa"/>
          </w:tcPr>
          <w:p w:rsidR="0010182D" w:rsidRPr="00282056" w:rsidRDefault="0010182D" w:rsidP="00A14556">
            <w:pPr>
              <w:pStyle w:val="2normal"/>
              <w:jc w:val="center"/>
              <w:rPr>
                <w:rFonts w:cs="Arial"/>
                <w:sz w:val="16"/>
                <w:szCs w:val="16"/>
                <w:lang w:val="ru-RU"/>
              </w:rPr>
            </w:pPr>
          </w:p>
        </w:tc>
        <w:tc>
          <w:tcPr>
            <w:tcW w:w="1101" w:type="dxa"/>
          </w:tcPr>
          <w:p w:rsidR="0010182D" w:rsidRPr="00282056" w:rsidRDefault="0010182D" w:rsidP="00A14556">
            <w:pPr>
              <w:pStyle w:val="2normal"/>
              <w:jc w:val="center"/>
              <w:rPr>
                <w:rFonts w:cs="Arial"/>
                <w:sz w:val="16"/>
                <w:szCs w:val="16"/>
                <w:lang w:val="ru-RU"/>
              </w:rPr>
            </w:pPr>
          </w:p>
        </w:tc>
      </w:tr>
      <w:tr w:rsidR="0010182D" w:rsidRPr="00282056" w:rsidTr="001E0477">
        <w:tc>
          <w:tcPr>
            <w:tcW w:w="2660" w:type="dxa"/>
            <w:tcBorders>
              <w:bottom w:val="single" w:sz="4" w:space="0" w:color="auto"/>
            </w:tcBorders>
          </w:tcPr>
          <w:p w:rsidR="0010182D" w:rsidRPr="00282056" w:rsidRDefault="0010182D" w:rsidP="001E0477">
            <w:pPr>
              <w:pStyle w:val="2normal"/>
              <w:jc w:val="both"/>
              <w:rPr>
                <w:rFonts w:cs="Arial"/>
                <w:sz w:val="16"/>
                <w:szCs w:val="16"/>
                <w:lang w:val="ru-RU"/>
              </w:rPr>
            </w:pPr>
          </w:p>
        </w:tc>
        <w:tc>
          <w:tcPr>
            <w:tcW w:w="1559" w:type="dxa"/>
            <w:tcBorders>
              <w:bottom w:val="single" w:sz="4" w:space="0" w:color="auto"/>
            </w:tcBorders>
          </w:tcPr>
          <w:p w:rsidR="0010182D" w:rsidRPr="00282056" w:rsidRDefault="0010182D" w:rsidP="00A14556">
            <w:pPr>
              <w:pStyle w:val="2normal"/>
              <w:jc w:val="center"/>
              <w:rPr>
                <w:rFonts w:cs="Arial"/>
                <w:sz w:val="16"/>
                <w:szCs w:val="16"/>
                <w:lang w:val="ru-RU"/>
              </w:rPr>
            </w:pPr>
          </w:p>
        </w:tc>
        <w:tc>
          <w:tcPr>
            <w:tcW w:w="851" w:type="dxa"/>
            <w:tcBorders>
              <w:bottom w:val="single" w:sz="4" w:space="0" w:color="auto"/>
            </w:tcBorders>
          </w:tcPr>
          <w:p w:rsidR="0010182D" w:rsidRPr="00282056" w:rsidRDefault="0010182D" w:rsidP="00A14556">
            <w:pPr>
              <w:pStyle w:val="2normal"/>
              <w:jc w:val="center"/>
              <w:rPr>
                <w:rFonts w:cs="Arial"/>
                <w:sz w:val="16"/>
                <w:szCs w:val="16"/>
                <w:lang w:val="ru-RU"/>
              </w:rPr>
            </w:pPr>
          </w:p>
        </w:tc>
        <w:tc>
          <w:tcPr>
            <w:tcW w:w="1134" w:type="dxa"/>
            <w:tcBorders>
              <w:bottom w:val="single" w:sz="4" w:space="0" w:color="auto"/>
            </w:tcBorders>
          </w:tcPr>
          <w:p w:rsidR="0010182D" w:rsidRPr="00282056" w:rsidRDefault="0010182D" w:rsidP="00A14556">
            <w:pPr>
              <w:pStyle w:val="2normal"/>
              <w:jc w:val="center"/>
              <w:rPr>
                <w:rFonts w:cs="Arial"/>
                <w:sz w:val="16"/>
                <w:szCs w:val="16"/>
                <w:lang w:val="ru-RU"/>
              </w:rPr>
            </w:pPr>
          </w:p>
        </w:tc>
        <w:tc>
          <w:tcPr>
            <w:tcW w:w="1167" w:type="dxa"/>
            <w:tcBorders>
              <w:bottom w:val="single" w:sz="4" w:space="0" w:color="auto"/>
            </w:tcBorders>
          </w:tcPr>
          <w:p w:rsidR="0010182D" w:rsidRPr="00282056" w:rsidRDefault="0010182D" w:rsidP="00A14556">
            <w:pPr>
              <w:pStyle w:val="2normal"/>
              <w:jc w:val="center"/>
              <w:rPr>
                <w:rFonts w:cs="Arial"/>
                <w:sz w:val="16"/>
                <w:szCs w:val="16"/>
                <w:lang w:val="ru-RU"/>
              </w:rPr>
            </w:pPr>
          </w:p>
        </w:tc>
        <w:tc>
          <w:tcPr>
            <w:tcW w:w="851" w:type="dxa"/>
            <w:tcBorders>
              <w:bottom w:val="single" w:sz="4" w:space="0" w:color="auto"/>
            </w:tcBorders>
          </w:tcPr>
          <w:p w:rsidR="0010182D" w:rsidRPr="00282056" w:rsidRDefault="0010182D" w:rsidP="00A14556">
            <w:pPr>
              <w:pStyle w:val="2normal"/>
              <w:jc w:val="center"/>
              <w:rPr>
                <w:rFonts w:cs="Arial"/>
                <w:sz w:val="16"/>
                <w:szCs w:val="16"/>
                <w:lang w:val="ru-RU"/>
              </w:rPr>
            </w:pPr>
          </w:p>
        </w:tc>
        <w:tc>
          <w:tcPr>
            <w:tcW w:w="1101" w:type="dxa"/>
            <w:tcBorders>
              <w:bottom w:val="single" w:sz="4" w:space="0" w:color="auto"/>
            </w:tcBorders>
          </w:tcPr>
          <w:p w:rsidR="0010182D" w:rsidRPr="00282056" w:rsidRDefault="0010182D" w:rsidP="00A14556">
            <w:pPr>
              <w:pStyle w:val="2normal"/>
              <w:jc w:val="center"/>
              <w:rPr>
                <w:rFonts w:cs="Arial"/>
                <w:sz w:val="16"/>
                <w:szCs w:val="16"/>
                <w:lang w:val="ru-RU"/>
              </w:rPr>
            </w:pPr>
          </w:p>
        </w:tc>
      </w:tr>
      <w:tr w:rsidR="0010182D" w:rsidRPr="00282056" w:rsidTr="001E0477">
        <w:tc>
          <w:tcPr>
            <w:tcW w:w="2660" w:type="dxa"/>
            <w:tcBorders>
              <w:top w:val="single" w:sz="4" w:space="0" w:color="auto"/>
              <w:bottom w:val="double" w:sz="4" w:space="0" w:color="auto"/>
            </w:tcBorders>
          </w:tcPr>
          <w:p w:rsidR="0010182D" w:rsidRPr="00282056" w:rsidRDefault="0010182D" w:rsidP="001E0477">
            <w:pPr>
              <w:pStyle w:val="2normal"/>
              <w:rPr>
                <w:rFonts w:cs="Arial"/>
                <w:sz w:val="16"/>
                <w:szCs w:val="16"/>
                <w:lang w:val="ru-RU"/>
              </w:rPr>
            </w:pPr>
            <w:r w:rsidRPr="00282056">
              <w:rPr>
                <w:rFonts w:cs="Arial"/>
                <w:b/>
                <w:bCs/>
                <w:sz w:val="16"/>
                <w:szCs w:val="16"/>
                <w:lang w:val="en-US"/>
              </w:rPr>
              <w:t>Итого производные активы/обязательства</w:t>
            </w:r>
          </w:p>
        </w:tc>
        <w:tc>
          <w:tcPr>
            <w:tcW w:w="1559" w:type="dxa"/>
            <w:tcBorders>
              <w:top w:val="single" w:sz="4" w:space="0" w:color="auto"/>
              <w:bottom w:val="double" w:sz="4" w:space="0" w:color="auto"/>
            </w:tcBorders>
          </w:tcPr>
          <w:p w:rsidR="0010182D" w:rsidRPr="00282056" w:rsidRDefault="0010182D" w:rsidP="00A14556">
            <w:pPr>
              <w:pStyle w:val="2normal"/>
              <w:jc w:val="center"/>
              <w:rPr>
                <w:rFonts w:cs="Arial"/>
                <w:sz w:val="16"/>
                <w:szCs w:val="16"/>
                <w:lang w:val="ru-RU"/>
              </w:rPr>
            </w:pPr>
          </w:p>
          <w:p w:rsidR="0010182D" w:rsidRPr="00253BC6" w:rsidRDefault="0010182D" w:rsidP="00A14556">
            <w:pPr>
              <w:pStyle w:val="2normal"/>
              <w:jc w:val="center"/>
              <w:rPr>
                <w:rFonts w:cs="Arial"/>
                <w:sz w:val="16"/>
                <w:szCs w:val="16"/>
                <w:lang w:val="en-US"/>
              </w:rPr>
            </w:pPr>
            <w:r>
              <w:rPr>
                <w:rFonts w:cs="Arial"/>
                <w:sz w:val="16"/>
                <w:szCs w:val="16"/>
                <w:lang w:val="ru-RU"/>
              </w:rPr>
              <w:t>-</w:t>
            </w:r>
          </w:p>
          <w:p w:rsidR="0010182D" w:rsidRPr="00282056" w:rsidRDefault="0010182D" w:rsidP="00A14556">
            <w:pPr>
              <w:pStyle w:val="2normal"/>
              <w:jc w:val="center"/>
              <w:rPr>
                <w:rFonts w:cs="Arial"/>
                <w:sz w:val="16"/>
                <w:szCs w:val="16"/>
                <w:lang w:val="ru-RU"/>
              </w:rPr>
            </w:pPr>
          </w:p>
        </w:tc>
        <w:tc>
          <w:tcPr>
            <w:tcW w:w="851" w:type="dxa"/>
            <w:tcBorders>
              <w:top w:val="single" w:sz="4" w:space="0" w:color="auto"/>
              <w:bottom w:val="double" w:sz="4" w:space="0" w:color="auto"/>
            </w:tcBorders>
          </w:tcPr>
          <w:p w:rsidR="0010182D" w:rsidRPr="00282056" w:rsidRDefault="0010182D" w:rsidP="00A14556">
            <w:pPr>
              <w:pStyle w:val="2normal"/>
              <w:jc w:val="center"/>
              <w:rPr>
                <w:rFonts w:cs="Arial"/>
                <w:sz w:val="16"/>
                <w:szCs w:val="16"/>
                <w:lang w:val="ru-RU"/>
              </w:rPr>
            </w:pPr>
          </w:p>
          <w:p w:rsidR="0010182D" w:rsidRPr="00E629DD" w:rsidRDefault="0010182D" w:rsidP="00A14556">
            <w:pPr>
              <w:pStyle w:val="2normal"/>
              <w:jc w:val="center"/>
              <w:rPr>
                <w:rFonts w:cs="Arial"/>
                <w:sz w:val="16"/>
                <w:szCs w:val="16"/>
                <w:lang w:val="en-US"/>
              </w:rPr>
            </w:pPr>
            <w:r>
              <w:rPr>
                <w:rFonts w:cs="Arial"/>
                <w:sz w:val="16"/>
                <w:szCs w:val="16"/>
                <w:lang w:val="en-US"/>
              </w:rPr>
              <w:t>139 445</w:t>
            </w:r>
          </w:p>
        </w:tc>
        <w:tc>
          <w:tcPr>
            <w:tcW w:w="1134" w:type="dxa"/>
            <w:tcBorders>
              <w:top w:val="single" w:sz="4" w:space="0" w:color="auto"/>
              <w:bottom w:val="double" w:sz="4" w:space="0" w:color="auto"/>
            </w:tcBorders>
          </w:tcPr>
          <w:p w:rsidR="0010182D" w:rsidRPr="00282056" w:rsidRDefault="0010182D" w:rsidP="00A14556">
            <w:pPr>
              <w:pStyle w:val="2normal"/>
              <w:jc w:val="center"/>
              <w:rPr>
                <w:rFonts w:cs="Arial"/>
                <w:sz w:val="16"/>
                <w:szCs w:val="16"/>
                <w:lang w:val="ru-RU"/>
              </w:rPr>
            </w:pPr>
          </w:p>
          <w:p w:rsidR="0010182D" w:rsidRPr="00282056" w:rsidRDefault="0010182D" w:rsidP="00A14556">
            <w:pPr>
              <w:pStyle w:val="2normal"/>
              <w:jc w:val="center"/>
              <w:rPr>
                <w:rFonts w:cs="Arial"/>
                <w:sz w:val="16"/>
                <w:szCs w:val="16"/>
                <w:lang w:val="ru-RU"/>
              </w:rPr>
            </w:pPr>
            <w:r>
              <w:rPr>
                <w:rFonts w:cs="Arial"/>
                <w:sz w:val="16"/>
                <w:szCs w:val="16"/>
                <w:lang w:val="ru-RU"/>
              </w:rPr>
              <w:t>139 368</w:t>
            </w:r>
          </w:p>
        </w:tc>
        <w:tc>
          <w:tcPr>
            <w:tcW w:w="1167" w:type="dxa"/>
            <w:tcBorders>
              <w:top w:val="single" w:sz="4" w:space="0" w:color="auto"/>
              <w:bottom w:val="double" w:sz="4" w:space="0" w:color="auto"/>
            </w:tcBorders>
          </w:tcPr>
          <w:p w:rsidR="0010182D" w:rsidRPr="00282056" w:rsidRDefault="0010182D" w:rsidP="00A14556">
            <w:pPr>
              <w:pStyle w:val="2normal"/>
              <w:jc w:val="center"/>
              <w:rPr>
                <w:rFonts w:cs="Arial"/>
                <w:sz w:val="16"/>
                <w:szCs w:val="16"/>
                <w:lang w:val="ru-RU"/>
              </w:rPr>
            </w:pPr>
          </w:p>
          <w:p w:rsidR="0010182D" w:rsidRPr="003B1872" w:rsidRDefault="0010182D" w:rsidP="00A14556">
            <w:pPr>
              <w:pStyle w:val="2normal"/>
              <w:jc w:val="center"/>
              <w:rPr>
                <w:rFonts w:cs="Arial"/>
                <w:sz w:val="16"/>
                <w:szCs w:val="16"/>
                <w:lang w:val="en-US"/>
              </w:rPr>
            </w:pPr>
            <w:r>
              <w:rPr>
                <w:rFonts w:cs="Arial"/>
                <w:sz w:val="16"/>
                <w:szCs w:val="16"/>
                <w:lang w:val="en-US"/>
              </w:rPr>
              <w:t>-</w:t>
            </w:r>
          </w:p>
        </w:tc>
        <w:tc>
          <w:tcPr>
            <w:tcW w:w="851" w:type="dxa"/>
            <w:tcBorders>
              <w:top w:val="single" w:sz="4" w:space="0" w:color="auto"/>
              <w:bottom w:val="double" w:sz="4" w:space="0" w:color="auto"/>
            </w:tcBorders>
          </w:tcPr>
          <w:p w:rsidR="0010182D" w:rsidRDefault="0010182D" w:rsidP="00A14556">
            <w:pPr>
              <w:pStyle w:val="2normal"/>
              <w:jc w:val="center"/>
              <w:rPr>
                <w:rFonts w:cs="Arial"/>
                <w:sz w:val="16"/>
                <w:szCs w:val="16"/>
                <w:lang w:val="en-US"/>
              </w:rPr>
            </w:pPr>
          </w:p>
          <w:p w:rsidR="0010182D" w:rsidRPr="003B1872" w:rsidRDefault="00A14556" w:rsidP="00A14556">
            <w:pPr>
              <w:pStyle w:val="2normal"/>
              <w:ind w:left="-108" w:right="-108"/>
              <w:jc w:val="center"/>
              <w:rPr>
                <w:rFonts w:cs="Arial"/>
                <w:sz w:val="16"/>
                <w:szCs w:val="16"/>
                <w:lang w:val="en-US"/>
              </w:rPr>
            </w:pPr>
            <w:r>
              <w:rPr>
                <w:rFonts w:cs="Arial"/>
                <w:sz w:val="16"/>
                <w:szCs w:val="16"/>
                <w:lang w:val="en-US"/>
              </w:rPr>
              <w:t>1</w:t>
            </w:r>
            <w:r>
              <w:rPr>
                <w:rFonts w:cs="Arial"/>
                <w:sz w:val="16"/>
                <w:szCs w:val="16"/>
                <w:lang w:val="ru-RU"/>
              </w:rPr>
              <w:t xml:space="preserve"> </w:t>
            </w:r>
            <w:r w:rsidR="0010182D">
              <w:rPr>
                <w:rFonts w:cs="Arial"/>
                <w:sz w:val="16"/>
                <w:szCs w:val="16"/>
                <w:lang w:val="en-US"/>
              </w:rPr>
              <w:t>236 122</w:t>
            </w:r>
          </w:p>
          <w:p w:rsidR="0010182D" w:rsidRPr="00282056" w:rsidRDefault="0010182D" w:rsidP="00A14556">
            <w:pPr>
              <w:pStyle w:val="2normal"/>
              <w:jc w:val="center"/>
              <w:rPr>
                <w:rFonts w:cs="Arial"/>
                <w:sz w:val="16"/>
                <w:szCs w:val="16"/>
                <w:lang w:val="ru-RU"/>
              </w:rPr>
            </w:pPr>
          </w:p>
        </w:tc>
        <w:tc>
          <w:tcPr>
            <w:tcW w:w="1101" w:type="dxa"/>
            <w:tcBorders>
              <w:top w:val="single" w:sz="4" w:space="0" w:color="auto"/>
              <w:bottom w:val="double" w:sz="4" w:space="0" w:color="auto"/>
            </w:tcBorders>
          </w:tcPr>
          <w:p w:rsidR="0010182D" w:rsidRPr="00282056" w:rsidRDefault="0010182D" w:rsidP="00A14556">
            <w:pPr>
              <w:pStyle w:val="2normal"/>
              <w:jc w:val="center"/>
              <w:rPr>
                <w:rFonts w:cs="Arial"/>
                <w:sz w:val="16"/>
                <w:szCs w:val="16"/>
                <w:lang w:val="ru-RU"/>
              </w:rPr>
            </w:pPr>
          </w:p>
          <w:p w:rsidR="0010182D" w:rsidRPr="003B1872" w:rsidRDefault="00A14556" w:rsidP="00A14556">
            <w:pPr>
              <w:pStyle w:val="2normal"/>
              <w:jc w:val="center"/>
              <w:rPr>
                <w:rFonts w:cs="Arial"/>
                <w:sz w:val="16"/>
                <w:szCs w:val="16"/>
                <w:lang w:val="en-US"/>
              </w:rPr>
            </w:pPr>
            <w:r>
              <w:rPr>
                <w:rFonts w:cs="Arial"/>
                <w:sz w:val="16"/>
                <w:szCs w:val="16"/>
                <w:lang w:val="ru-RU"/>
              </w:rPr>
              <w:t xml:space="preserve">1 </w:t>
            </w:r>
            <w:r w:rsidR="0010182D">
              <w:rPr>
                <w:rFonts w:cs="Arial"/>
                <w:sz w:val="16"/>
                <w:szCs w:val="16"/>
                <w:lang w:val="ru-RU"/>
              </w:rPr>
              <w:t xml:space="preserve">236 </w:t>
            </w:r>
            <w:r w:rsidR="0010182D">
              <w:rPr>
                <w:rFonts w:cs="Arial"/>
                <w:sz w:val="16"/>
                <w:szCs w:val="16"/>
                <w:lang w:val="en-US"/>
              </w:rPr>
              <w:t>024</w:t>
            </w:r>
          </w:p>
        </w:tc>
      </w:tr>
    </w:tbl>
    <w:p w:rsidR="0010182D" w:rsidRDefault="0010182D" w:rsidP="0010182D">
      <w:pPr>
        <w:pStyle w:val="2normal"/>
        <w:jc w:val="both"/>
        <w:rPr>
          <w:rFonts w:cs="Arial"/>
          <w:sz w:val="20"/>
          <w:szCs w:val="20"/>
          <w:highlight w:val="yellow"/>
          <w:lang w:val="ru-RU"/>
        </w:rPr>
      </w:pPr>
    </w:p>
    <w:p w:rsidR="00BE27CD" w:rsidRPr="006C1E8B" w:rsidRDefault="00BE27CD" w:rsidP="0010182D">
      <w:pPr>
        <w:pStyle w:val="2normal"/>
        <w:jc w:val="both"/>
        <w:rPr>
          <w:rFonts w:cs="Arial"/>
          <w:sz w:val="20"/>
          <w:szCs w:val="20"/>
          <w:highlight w:val="yellow"/>
          <w:lang w:val="ru-RU"/>
        </w:rPr>
      </w:pPr>
    </w:p>
    <w:p w:rsidR="00B43158" w:rsidRDefault="00B43158" w:rsidP="00FC5D59">
      <w:pPr>
        <w:pStyle w:val="afd"/>
        <w:numPr>
          <w:ilvl w:val="2"/>
          <w:numId w:val="46"/>
        </w:numPr>
        <w:tabs>
          <w:tab w:val="left" w:pos="0"/>
        </w:tabs>
        <w:ind w:left="0" w:firstLine="0"/>
        <w:jc w:val="both"/>
        <w:rPr>
          <w:rFonts w:cs="Arial"/>
          <w:b/>
          <w:sz w:val="20"/>
          <w:szCs w:val="20"/>
          <w:lang w:val="ru-RU"/>
        </w:rPr>
      </w:pPr>
      <w:r w:rsidRPr="00B43158">
        <w:rPr>
          <w:rFonts w:cs="Arial"/>
          <w:b/>
          <w:sz w:val="20"/>
          <w:szCs w:val="20"/>
          <w:lang w:val="ru-RU"/>
        </w:rPr>
        <w:lastRenderedPageBreak/>
        <w:t xml:space="preserve">Информация об объеме </w:t>
      </w:r>
      <w:r>
        <w:rPr>
          <w:rFonts w:cs="Arial"/>
          <w:b/>
          <w:sz w:val="20"/>
          <w:szCs w:val="20"/>
          <w:lang w:val="ru-RU"/>
        </w:rPr>
        <w:t>и о структуре финансовых вложений в долговые и долевые ценные бумаги, имеющие в наличии для продажи</w:t>
      </w:r>
    </w:p>
    <w:p w:rsidR="00B43158" w:rsidRDefault="00B43158" w:rsidP="00B43158">
      <w:pPr>
        <w:pStyle w:val="afd"/>
        <w:tabs>
          <w:tab w:val="left" w:pos="0"/>
        </w:tabs>
        <w:ind w:left="0"/>
        <w:jc w:val="both"/>
        <w:rPr>
          <w:rFonts w:cs="Arial"/>
          <w:b/>
          <w:sz w:val="20"/>
          <w:szCs w:val="20"/>
          <w:lang w:val="ru-RU"/>
        </w:rPr>
      </w:pPr>
    </w:p>
    <w:p w:rsidR="00B43158" w:rsidRPr="00B43158" w:rsidRDefault="00B43158" w:rsidP="00B43158">
      <w:pPr>
        <w:pStyle w:val="afd"/>
        <w:ind w:left="0"/>
        <w:jc w:val="both"/>
        <w:rPr>
          <w:sz w:val="20"/>
          <w:szCs w:val="20"/>
          <w:lang w:val="ru-RU"/>
        </w:rPr>
      </w:pPr>
      <w:r w:rsidRPr="00B43158">
        <w:rPr>
          <w:sz w:val="20"/>
          <w:szCs w:val="20"/>
          <w:lang w:val="ru-RU"/>
        </w:rPr>
        <w:t>Ф</w:t>
      </w:r>
      <w:r w:rsidRPr="00B43158">
        <w:rPr>
          <w:rFonts w:cs="Arial"/>
          <w:sz w:val="20"/>
          <w:szCs w:val="20"/>
          <w:lang w:val="ru-RU"/>
        </w:rPr>
        <w:t xml:space="preserve">инансовых вложений в долговые и долевые ценные бумаги, имеющиеся в наличии для продажи, у Банка нет. </w:t>
      </w:r>
    </w:p>
    <w:p w:rsidR="00B43158" w:rsidRDefault="00B43158" w:rsidP="00B43158">
      <w:pPr>
        <w:pStyle w:val="afd"/>
        <w:tabs>
          <w:tab w:val="left" w:pos="0"/>
        </w:tabs>
        <w:ind w:left="0"/>
        <w:jc w:val="both"/>
        <w:rPr>
          <w:rFonts w:cs="Arial"/>
          <w:b/>
          <w:sz w:val="20"/>
          <w:szCs w:val="20"/>
          <w:lang w:val="ru-RU"/>
        </w:rPr>
      </w:pPr>
    </w:p>
    <w:p w:rsidR="0010182D" w:rsidRPr="00B43158" w:rsidRDefault="0010182D" w:rsidP="00FC5D59">
      <w:pPr>
        <w:pStyle w:val="afd"/>
        <w:numPr>
          <w:ilvl w:val="2"/>
          <w:numId w:val="46"/>
        </w:numPr>
        <w:tabs>
          <w:tab w:val="left" w:pos="0"/>
        </w:tabs>
        <w:ind w:left="0" w:firstLine="0"/>
        <w:jc w:val="both"/>
        <w:rPr>
          <w:rFonts w:cs="Arial"/>
          <w:b/>
          <w:sz w:val="20"/>
          <w:szCs w:val="20"/>
          <w:lang w:val="ru-RU"/>
        </w:rPr>
      </w:pPr>
      <w:r w:rsidRPr="00B43158">
        <w:rPr>
          <w:rFonts w:cs="Arial"/>
          <w:b/>
          <w:sz w:val="20"/>
          <w:szCs w:val="20"/>
          <w:lang w:val="ru-RU"/>
        </w:rPr>
        <w:t>Методы оценки активов по справедливой стоимости и исходные данные, используемые для оценки активов по справедливой стоимости</w:t>
      </w:r>
    </w:p>
    <w:p w:rsidR="0010182D" w:rsidRPr="006C1E8B" w:rsidRDefault="0010182D" w:rsidP="0010182D">
      <w:pPr>
        <w:rPr>
          <w:highlight w:val="yellow"/>
          <w:lang w:val="ru-RU"/>
        </w:rPr>
      </w:pPr>
    </w:p>
    <w:p w:rsidR="00602E1E" w:rsidRPr="00600303" w:rsidRDefault="00602E1E" w:rsidP="00602E1E">
      <w:pPr>
        <w:pStyle w:val="7"/>
        <w:spacing w:after="0" w:line="240" w:lineRule="auto"/>
        <w:jc w:val="both"/>
        <w:rPr>
          <w:sz w:val="22"/>
          <w:szCs w:val="22"/>
          <w:lang w:val="ru-RU"/>
        </w:rPr>
      </w:pPr>
      <w:r w:rsidRPr="00600303">
        <w:rPr>
          <w:sz w:val="20"/>
          <w:szCs w:val="20"/>
          <w:lang w:val="ru-RU"/>
        </w:rPr>
        <w:t xml:space="preserve">С момента первоначального признания и до прекращения признания вложения в ценные бумаги оцениваются (переоцениваются) по справедливой стоимости, либо путем создания резервов на возможные потери. Справедливая стоимость </w:t>
      </w:r>
      <w:r w:rsidRPr="00600303">
        <w:rPr>
          <w:rFonts w:eastAsia="BukoGothicRegular"/>
          <w:sz w:val="20"/>
          <w:szCs w:val="20"/>
          <w:lang w:val="ru-RU"/>
        </w:rPr>
        <w:t xml:space="preserve">— это цена, по которой проводилась бы операция, осуществляемая на организованном рынке, по продаже актива или передаче обязательства между участниками рынка на дату оценки в текущих рыночных условиях. </w:t>
      </w:r>
      <w:r w:rsidRPr="00600303">
        <w:rPr>
          <w:sz w:val="20"/>
          <w:szCs w:val="20"/>
          <w:lang w:val="ru-RU"/>
        </w:rPr>
        <w:t>При оценке справедливой стоимости ценных бумаг Банк принимает, что наиболее надежным доказательством справедливой стоимости актива являются котируемые цены на активном рынке</w:t>
      </w:r>
      <w:r w:rsidRPr="00600303">
        <w:rPr>
          <w:sz w:val="22"/>
          <w:szCs w:val="22"/>
          <w:lang w:val="ru-RU"/>
        </w:rPr>
        <w:t xml:space="preserve">. </w:t>
      </w:r>
      <w:r w:rsidRPr="00436D8A">
        <w:rPr>
          <w:sz w:val="22"/>
          <w:szCs w:val="22"/>
        </w:rPr>
        <w:t> </w:t>
      </w:r>
    </w:p>
    <w:p w:rsidR="00602E1E" w:rsidRDefault="00602E1E" w:rsidP="00602E1E">
      <w:pPr>
        <w:jc w:val="both"/>
        <w:rPr>
          <w:sz w:val="20"/>
          <w:szCs w:val="20"/>
          <w:lang w:val="ru-RU"/>
        </w:rPr>
      </w:pPr>
    </w:p>
    <w:p w:rsidR="00602E1E" w:rsidRPr="00602E1E" w:rsidRDefault="00602E1E" w:rsidP="00602E1E">
      <w:pPr>
        <w:overflowPunct/>
        <w:autoSpaceDE/>
        <w:autoSpaceDN/>
        <w:adjustRightInd/>
        <w:spacing w:after="200" w:line="276" w:lineRule="auto"/>
        <w:jc w:val="both"/>
        <w:textAlignment w:val="auto"/>
        <w:rPr>
          <w:rFonts w:cs="Arial"/>
          <w:color w:val="000000"/>
          <w:sz w:val="20"/>
          <w:szCs w:val="20"/>
          <w:lang w:val="ru-RU"/>
        </w:rPr>
      </w:pPr>
      <w:r w:rsidRPr="00602E1E">
        <w:rPr>
          <w:rFonts w:cs="Arial"/>
          <w:color w:val="000000"/>
          <w:sz w:val="20"/>
          <w:szCs w:val="20"/>
          <w:lang w:val="ru-RU"/>
        </w:rPr>
        <w:t>Для определения справедливой стоимости используются исходные данные трех уровней:</w:t>
      </w:r>
    </w:p>
    <w:p w:rsidR="00602E1E" w:rsidRPr="00830904" w:rsidRDefault="00602E1E" w:rsidP="00602E1E">
      <w:pPr>
        <w:jc w:val="both"/>
        <w:rPr>
          <w:rFonts w:eastAsia="BukoGothicRegular" w:cs="Arial"/>
          <w:sz w:val="20"/>
          <w:szCs w:val="20"/>
          <w:lang w:val="ru-RU"/>
        </w:rPr>
      </w:pPr>
      <w:r w:rsidRPr="00830904">
        <w:rPr>
          <w:rFonts w:eastAsia="BukoGothicRegular" w:cs="Arial"/>
          <w:i/>
          <w:iCs/>
          <w:sz w:val="20"/>
          <w:szCs w:val="20"/>
          <w:lang w:val="ru-RU"/>
        </w:rPr>
        <w:t xml:space="preserve">1-й уровень оценки справедливой стоимости. </w:t>
      </w:r>
      <w:r w:rsidRPr="00830904">
        <w:rPr>
          <w:rFonts w:eastAsia="BukoGothicRegular" w:cs="Arial"/>
          <w:sz w:val="20"/>
          <w:szCs w:val="20"/>
          <w:lang w:val="ru-RU"/>
        </w:rPr>
        <w:t>Надежным доказательством справедливой стоимости актива являются котируемые цены на активном рынке. Активным признается рынок, на котором операции с активом проводятся с достаточной частотой и в достаточном объеме, позволяющем получать информацию об оценках на постоянной основе.</w:t>
      </w:r>
    </w:p>
    <w:p w:rsidR="00602E1E" w:rsidRPr="00830904" w:rsidRDefault="00602E1E" w:rsidP="00602E1E">
      <w:pPr>
        <w:jc w:val="both"/>
        <w:rPr>
          <w:rFonts w:eastAsia="BukoGothicRegular" w:cs="Arial"/>
          <w:i/>
          <w:iCs/>
          <w:sz w:val="20"/>
          <w:szCs w:val="20"/>
          <w:lang w:val="ru-RU"/>
        </w:rPr>
      </w:pPr>
    </w:p>
    <w:p w:rsidR="00602E1E" w:rsidRPr="00830904" w:rsidRDefault="00602E1E" w:rsidP="00602E1E">
      <w:pPr>
        <w:jc w:val="both"/>
        <w:rPr>
          <w:rFonts w:eastAsia="BukoGothicRegular" w:cs="Arial"/>
          <w:sz w:val="20"/>
          <w:szCs w:val="20"/>
          <w:lang w:val="ru-RU"/>
        </w:rPr>
      </w:pPr>
      <w:r w:rsidRPr="00830904">
        <w:rPr>
          <w:rFonts w:eastAsia="BukoGothicRegular" w:cs="Arial"/>
          <w:i/>
          <w:iCs/>
          <w:sz w:val="20"/>
          <w:szCs w:val="20"/>
          <w:lang w:val="ru-RU"/>
        </w:rPr>
        <w:t>2-й уровень оценки справедливой стоимости</w:t>
      </w:r>
      <w:r w:rsidRPr="00830904">
        <w:rPr>
          <w:rFonts w:eastAsia="BukoGothicRegular" w:cs="Arial"/>
          <w:sz w:val="20"/>
          <w:szCs w:val="20"/>
          <w:lang w:val="ru-RU"/>
        </w:rPr>
        <w:t>. В отсутствие котируемых цен актива на активном рынке Банк использует котируемые цены на аналогичные активы, а также иные наблюдаемые исходные данные (например, кривые доходности, волатильность и кредитные спреды по данному активу).</w:t>
      </w:r>
    </w:p>
    <w:p w:rsidR="00602E1E" w:rsidRPr="00830904" w:rsidRDefault="00602E1E" w:rsidP="00602E1E">
      <w:pPr>
        <w:jc w:val="both"/>
        <w:rPr>
          <w:rFonts w:eastAsia="BukoGothicRegular" w:cs="Arial"/>
          <w:i/>
          <w:iCs/>
          <w:sz w:val="20"/>
          <w:szCs w:val="20"/>
          <w:lang w:val="ru-RU"/>
        </w:rPr>
      </w:pPr>
    </w:p>
    <w:p w:rsidR="00602E1E" w:rsidRPr="00830904" w:rsidRDefault="00602E1E" w:rsidP="00602E1E">
      <w:pPr>
        <w:jc w:val="both"/>
        <w:rPr>
          <w:rFonts w:eastAsia="BukoGothicRegular" w:cs="Arial"/>
          <w:sz w:val="20"/>
          <w:szCs w:val="20"/>
          <w:lang w:val="ru-RU"/>
        </w:rPr>
      </w:pPr>
      <w:r w:rsidRPr="00830904">
        <w:rPr>
          <w:rFonts w:eastAsia="BukoGothicRegular" w:cs="Arial"/>
          <w:i/>
          <w:iCs/>
          <w:sz w:val="20"/>
          <w:szCs w:val="20"/>
          <w:lang w:val="ru-RU"/>
        </w:rPr>
        <w:t>3-й уровень оценки справедливой стоимости</w:t>
      </w:r>
      <w:r w:rsidRPr="00830904">
        <w:rPr>
          <w:rFonts w:eastAsia="BukoGothicRegular" w:cs="Arial"/>
          <w:sz w:val="20"/>
          <w:szCs w:val="20"/>
          <w:lang w:val="ru-RU"/>
        </w:rPr>
        <w:t>. В случае отсутствия по активу наблюдаемых исходных данных для его оценки по справедливой стоимости Банк использует ненаблюдаемые исходные данные с допущением о наличии риска, присущего методу, используемому для оценки актива по справедливой стоимости (например, исторические данные</w:t>
      </w:r>
      <w:r w:rsidRPr="00600303">
        <w:rPr>
          <w:rFonts w:ascii="Times New Roman" w:eastAsia="BukoGothicRegular" w:hAnsi="Times New Roman"/>
          <w:lang w:val="ru-RU"/>
        </w:rPr>
        <w:t xml:space="preserve"> </w:t>
      </w:r>
      <w:r w:rsidRPr="00830904">
        <w:rPr>
          <w:rFonts w:eastAsia="BukoGothicRegular" w:cs="Arial"/>
          <w:sz w:val="20"/>
          <w:szCs w:val="20"/>
          <w:lang w:val="ru-RU"/>
        </w:rPr>
        <w:t>по активам, аналогичным оцениваемому).</w:t>
      </w:r>
    </w:p>
    <w:p w:rsidR="00602E1E" w:rsidRDefault="00602E1E" w:rsidP="00602E1E">
      <w:pPr>
        <w:jc w:val="both"/>
        <w:rPr>
          <w:sz w:val="20"/>
          <w:szCs w:val="20"/>
          <w:lang w:val="ru-RU"/>
        </w:rPr>
      </w:pPr>
    </w:p>
    <w:p w:rsidR="00602E1E" w:rsidRPr="00F96D31" w:rsidRDefault="00602E1E" w:rsidP="00602E1E">
      <w:pPr>
        <w:jc w:val="both"/>
        <w:rPr>
          <w:rFonts w:ascii="Calibri" w:hAnsi="Calibri"/>
          <w:sz w:val="20"/>
          <w:szCs w:val="20"/>
          <w:lang w:val="ru-RU"/>
        </w:rPr>
      </w:pPr>
      <w:r w:rsidRPr="006F769C">
        <w:rPr>
          <w:sz w:val="20"/>
          <w:szCs w:val="20"/>
          <w:lang w:val="ru-RU"/>
        </w:rPr>
        <w:t>Ценные бумаги считаются котируемыми на активном рынке, если котировки п</w:t>
      </w:r>
      <w:r>
        <w:rPr>
          <w:sz w:val="20"/>
          <w:szCs w:val="20"/>
          <w:lang w:val="ru-RU"/>
        </w:rPr>
        <w:t xml:space="preserve">о данным инструментам регулярно </w:t>
      </w:r>
      <w:r w:rsidRPr="006F769C">
        <w:rPr>
          <w:sz w:val="20"/>
          <w:szCs w:val="20"/>
          <w:lang w:val="ru-RU"/>
        </w:rPr>
        <w:t xml:space="preserve">определяются и информация о них является доступной на фондовой бирже, а также, если эти цены отражают действительные и рыночные операции, проводимые в ходе обычной деятельности, совершаемые независимыми участниками </w:t>
      </w:r>
      <w:r>
        <w:rPr>
          <w:sz w:val="20"/>
          <w:szCs w:val="20"/>
          <w:lang w:val="ru-RU"/>
        </w:rPr>
        <w:t>рынка. Цель определения справедливой</w:t>
      </w:r>
      <w:r w:rsidRPr="006F769C">
        <w:rPr>
          <w:sz w:val="20"/>
          <w:szCs w:val="20"/>
          <w:lang w:val="ru-RU"/>
        </w:rPr>
        <w:t xml:space="preserve"> стоимости состоит в получении цены, по которой может быть совершена операция с оцениваемым финансовым инструментом на дату проведения оценки на самом благоприятном активном рынке, к которому Банк имеет непосредственный доступ. Для ценных бумаг, обращающихся на российском рынке ценных бумаг и номинированных в валюте РФ, по которым организатором торгов (</w:t>
      </w:r>
      <w:r>
        <w:rPr>
          <w:sz w:val="20"/>
          <w:szCs w:val="20"/>
          <w:lang w:val="ru-RU"/>
        </w:rPr>
        <w:t>П</w:t>
      </w:r>
      <w:r w:rsidRPr="006F769C">
        <w:rPr>
          <w:sz w:val="20"/>
          <w:szCs w:val="20"/>
          <w:lang w:val="ru-RU"/>
        </w:rPr>
        <w:t xml:space="preserve">АО «Московская Биржа») рассчитывается рыночная котировка, надежно определенной справедливой стоимостью признается средневзвешенная цена на день проведения переоценки, раскрываемая организатором торговли на рынке ценных бумаг. </w:t>
      </w:r>
      <w:r>
        <w:rPr>
          <w:sz w:val="20"/>
          <w:szCs w:val="20"/>
          <w:lang w:val="ru-RU"/>
        </w:rPr>
        <w:t>П</w:t>
      </w:r>
      <w:r w:rsidRPr="006F769C">
        <w:rPr>
          <w:sz w:val="20"/>
          <w:szCs w:val="20"/>
          <w:lang w:val="ru-RU"/>
        </w:rPr>
        <w:t>АО «Московская Биржа» раскрывает рыночные котировки в соответствии с главой 5 Положения «О деятельности по проведению организ</w:t>
      </w:r>
      <w:r>
        <w:rPr>
          <w:sz w:val="20"/>
          <w:szCs w:val="20"/>
          <w:lang w:val="ru-RU"/>
        </w:rPr>
        <w:t>ованных торгов» от 17.10.2014 №</w:t>
      </w:r>
      <w:r w:rsidRPr="006F769C">
        <w:rPr>
          <w:sz w:val="20"/>
          <w:szCs w:val="20"/>
          <w:lang w:val="ru-RU"/>
        </w:rPr>
        <w:t>437-П. В случае отсутствия рыночных котировок на день проведения переоценки, справедливой стоимостью признается средневзвешенная цена на день, ближайший ко дню проведения переоценки. Максимально возможный период не должен превышать 90 календарных дней. Для ценных бумаг, приобретенных в процессе размещения, справедливой стоимостью признается средневзвешенная цена размещения.</w:t>
      </w:r>
    </w:p>
    <w:p w:rsidR="00602E1E" w:rsidRPr="006F769C" w:rsidRDefault="00602E1E" w:rsidP="00602E1E">
      <w:pPr>
        <w:jc w:val="both"/>
        <w:rPr>
          <w:sz w:val="20"/>
          <w:szCs w:val="20"/>
          <w:lang w:val="ru-RU" w:eastAsia="ru-RU"/>
        </w:rPr>
      </w:pPr>
      <w:r w:rsidRPr="006F769C">
        <w:rPr>
          <w:sz w:val="20"/>
          <w:szCs w:val="20"/>
          <w:lang w:val="ru-RU"/>
        </w:rPr>
        <w:t>Справедливую стоимость ценных бумаг, приобретенных в ходе размещения и по которым еще не завершена процедура эмиссии (не зарегистрирован отчет об итогах выпуска), Банк</w:t>
      </w:r>
      <w:r w:rsidRPr="006F769C">
        <w:rPr>
          <w:sz w:val="20"/>
          <w:szCs w:val="20"/>
        </w:rPr>
        <w:t> </w:t>
      </w:r>
      <w:r w:rsidRPr="006F769C">
        <w:rPr>
          <w:sz w:val="20"/>
          <w:szCs w:val="20"/>
          <w:lang w:val="ru-RU"/>
        </w:rPr>
        <w:t>определяет в следующем порядке:</w:t>
      </w:r>
    </w:p>
    <w:p w:rsidR="00602E1E" w:rsidRPr="0084327F" w:rsidRDefault="00602E1E" w:rsidP="00FC5D59">
      <w:pPr>
        <w:pStyle w:val="afd"/>
        <w:numPr>
          <w:ilvl w:val="0"/>
          <w:numId w:val="18"/>
        </w:numPr>
        <w:tabs>
          <w:tab w:val="left" w:pos="851"/>
        </w:tabs>
        <w:ind w:left="0" w:firstLine="567"/>
        <w:jc w:val="both"/>
        <w:rPr>
          <w:sz w:val="20"/>
          <w:szCs w:val="20"/>
          <w:lang w:val="ru-RU"/>
        </w:rPr>
      </w:pPr>
      <w:r w:rsidRPr="0084327F">
        <w:rPr>
          <w:sz w:val="20"/>
          <w:szCs w:val="20"/>
          <w:lang w:val="ru-RU"/>
        </w:rPr>
        <w:t>до завершения процедуры эмиссии/размещения – принимается равной стоимости их приобретения банком в ходе первоначального размещения</w:t>
      </w:r>
      <w:r>
        <w:rPr>
          <w:sz w:val="20"/>
          <w:szCs w:val="20"/>
          <w:lang w:val="ru-RU"/>
        </w:rPr>
        <w:t>;</w:t>
      </w:r>
    </w:p>
    <w:p w:rsidR="00602E1E" w:rsidRPr="00B373F6" w:rsidRDefault="00602E1E" w:rsidP="00FC5D59">
      <w:pPr>
        <w:pStyle w:val="afd"/>
        <w:numPr>
          <w:ilvl w:val="0"/>
          <w:numId w:val="18"/>
        </w:numPr>
        <w:tabs>
          <w:tab w:val="left" w:pos="851"/>
        </w:tabs>
        <w:ind w:left="0" w:firstLine="567"/>
        <w:jc w:val="both"/>
        <w:rPr>
          <w:sz w:val="20"/>
          <w:szCs w:val="20"/>
          <w:lang w:val="ru-RU"/>
        </w:rPr>
      </w:pPr>
      <w:r w:rsidRPr="0084327F">
        <w:rPr>
          <w:sz w:val="20"/>
          <w:szCs w:val="20"/>
          <w:lang w:val="ru-RU"/>
        </w:rPr>
        <w:t>после завершения процедуры эмиссии/размещения и начала торгов – рассчитывается так же</w:t>
      </w:r>
      <w:r>
        <w:rPr>
          <w:sz w:val="20"/>
          <w:szCs w:val="20"/>
          <w:lang w:val="ru-RU"/>
        </w:rPr>
        <w:t>,</w:t>
      </w:r>
      <w:r w:rsidRPr="0084327F">
        <w:rPr>
          <w:sz w:val="20"/>
          <w:szCs w:val="20"/>
          <w:lang w:val="ru-RU"/>
        </w:rPr>
        <w:t xml:space="preserve"> как и по ценным бумагам, допущенным к обращению через организаторов торгов</w:t>
      </w:r>
      <w:r>
        <w:rPr>
          <w:sz w:val="20"/>
          <w:szCs w:val="20"/>
          <w:lang w:val="ru-RU"/>
        </w:rPr>
        <w:t>.</w:t>
      </w:r>
    </w:p>
    <w:p w:rsidR="00602E1E" w:rsidRPr="006F769C" w:rsidRDefault="00602E1E" w:rsidP="00602E1E">
      <w:pPr>
        <w:jc w:val="both"/>
        <w:rPr>
          <w:sz w:val="20"/>
          <w:szCs w:val="20"/>
          <w:lang w:val="ru-RU"/>
        </w:rPr>
      </w:pPr>
      <w:r w:rsidRPr="006F769C">
        <w:rPr>
          <w:sz w:val="20"/>
          <w:szCs w:val="20"/>
          <w:lang w:val="ru-RU"/>
        </w:rPr>
        <w:t>Банком установлены следующие критерии</w:t>
      </w:r>
      <w:r w:rsidRPr="006F769C">
        <w:rPr>
          <w:sz w:val="20"/>
          <w:szCs w:val="20"/>
        </w:rPr>
        <w:t> </w:t>
      </w:r>
      <w:r w:rsidRPr="006F769C">
        <w:rPr>
          <w:sz w:val="20"/>
          <w:szCs w:val="20"/>
          <w:lang w:val="ru-RU"/>
        </w:rPr>
        <w:t>определения активности рынка:</w:t>
      </w:r>
    </w:p>
    <w:p w:rsidR="00602E1E" w:rsidRPr="00D66F3B" w:rsidRDefault="00602E1E" w:rsidP="00FC5D59">
      <w:pPr>
        <w:pStyle w:val="afd"/>
        <w:numPr>
          <w:ilvl w:val="0"/>
          <w:numId w:val="19"/>
        </w:numPr>
        <w:tabs>
          <w:tab w:val="left" w:pos="851"/>
        </w:tabs>
        <w:ind w:left="0" w:firstLine="567"/>
        <w:jc w:val="both"/>
        <w:rPr>
          <w:rFonts w:cs="Arial"/>
          <w:bCs/>
          <w:sz w:val="20"/>
          <w:szCs w:val="20"/>
          <w:lang w:val="ru-RU"/>
        </w:rPr>
      </w:pPr>
      <w:r w:rsidRPr="00D66F3B">
        <w:rPr>
          <w:rFonts w:cs="Arial"/>
          <w:sz w:val="20"/>
          <w:szCs w:val="20"/>
          <w:lang w:val="ru-RU"/>
        </w:rPr>
        <w:t xml:space="preserve">наличие общедоступной информации о текущих ценах на сайте основной торговой площадки для финансового инструмента, в информационных системах </w:t>
      </w:r>
      <w:r w:rsidRPr="00D66F3B">
        <w:rPr>
          <w:rFonts w:cs="Arial"/>
          <w:sz w:val="20"/>
          <w:szCs w:val="20"/>
        </w:rPr>
        <w:t>Bloomberg</w:t>
      </w:r>
      <w:r w:rsidRPr="00D66F3B">
        <w:rPr>
          <w:rFonts w:cs="Arial"/>
          <w:sz w:val="20"/>
          <w:szCs w:val="20"/>
          <w:lang w:val="ru-RU"/>
        </w:rPr>
        <w:t xml:space="preserve"> (</w:t>
      </w:r>
      <w:r w:rsidRPr="00D66F3B">
        <w:rPr>
          <w:rFonts w:cs="Arial"/>
          <w:color w:val="000000"/>
          <w:sz w:val="20"/>
          <w:szCs w:val="20"/>
          <w:lang w:val="ru-RU"/>
        </w:rPr>
        <w:t xml:space="preserve">рынок </w:t>
      </w:r>
      <w:r w:rsidRPr="00D66F3B">
        <w:rPr>
          <w:rFonts w:cs="Arial"/>
          <w:color w:val="000000"/>
          <w:sz w:val="20"/>
          <w:szCs w:val="20"/>
          <w:lang w:val="en-US"/>
        </w:rPr>
        <w:t>BGN</w:t>
      </w:r>
      <w:r w:rsidRPr="00D66F3B">
        <w:rPr>
          <w:rFonts w:cs="Arial"/>
          <w:color w:val="000000"/>
          <w:sz w:val="20"/>
          <w:szCs w:val="20"/>
          <w:lang w:val="ru-RU"/>
        </w:rPr>
        <w:t xml:space="preserve"> или </w:t>
      </w:r>
      <w:r w:rsidRPr="00D66F3B">
        <w:rPr>
          <w:rFonts w:cs="Arial"/>
          <w:color w:val="000000"/>
          <w:sz w:val="20"/>
          <w:szCs w:val="20"/>
          <w:lang w:val="en-US"/>
        </w:rPr>
        <w:t>BVAL</w:t>
      </w:r>
      <w:r w:rsidRPr="00D66F3B">
        <w:rPr>
          <w:rFonts w:cs="Arial"/>
          <w:sz w:val="20"/>
          <w:szCs w:val="20"/>
          <w:lang w:val="ru-RU"/>
        </w:rPr>
        <w:t xml:space="preserve">), </w:t>
      </w:r>
      <w:r w:rsidRPr="00D66F3B">
        <w:rPr>
          <w:rFonts w:cs="Arial"/>
          <w:sz w:val="20"/>
          <w:szCs w:val="20"/>
        </w:rPr>
        <w:t>Reuters</w:t>
      </w:r>
      <w:r w:rsidRPr="00D66F3B">
        <w:rPr>
          <w:rFonts w:cs="Arial"/>
          <w:bCs/>
          <w:sz w:val="20"/>
          <w:szCs w:val="20"/>
          <w:lang w:val="ru-RU"/>
        </w:rPr>
        <w:t>;</w:t>
      </w:r>
    </w:p>
    <w:p w:rsidR="00602E1E" w:rsidRPr="00D66F3B" w:rsidRDefault="00602E1E" w:rsidP="00FC5D59">
      <w:pPr>
        <w:pStyle w:val="afd"/>
        <w:numPr>
          <w:ilvl w:val="0"/>
          <w:numId w:val="19"/>
        </w:numPr>
        <w:tabs>
          <w:tab w:val="left" w:pos="851"/>
        </w:tabs>
        <w:ind w:left="0" w:firstLine="567"/>
        <w:jc w:val="both"/>
        <w:rPr>
          <w:rFonts w:cs="Arial"/>
          <w:bCs/>
          <w:sz w:val="20"/>
          <w:szCs w:val="20"/>
          <w:lang w:val="ru-RU"/>
        </w:rPr>
      </w:pPr>
      <w:r w:rsidRPr="00D66F3B">
        <w:rPr>
          <w:rFonts w:cs="Arial"/>
          <w:bCs/>
          <w:sz w:val="20"/>
          <w:szCs w:val="20"/>
          <w:lang w:val="ru-RU"/>
        </w:rPr>
        <w:lastRenderedPageBreak/>
        <w:t>если ценовые котировки</w:t>
      </w:r>
      <w:r w:rsidRPr="00D66F3B">
        <w:rPr>
          <w:rFonts w:cs="Arial"/>
          <w:sz w:val="20"/>
          <w:szCs w:val="20"/>
          <w:lang w:val="ru-RU"/>
        </w:rPr>
        <w:t xml:space="preserve"> можно оперативно и регулярно получать от биржи, дилера, брокера, отраслевой группы, ценовой службы или регулирующего органа, и эти цены отражают фактические и регулярные рыночные сделки, совершаемые независимыми участниками рынка;</w:t>
      </w:r>
    </w:p>
    <w:p w:rsidR="00602E1E" w:rsidRPr="00D66F3B" w:rsidRDefault="00602E1E" w:rsidP="00FC5D59">
      <w:pPr>
        <w:pStyle w:val="afd"/>
        <w:numPr>
          <w:ilvl w:val="0"/>
          <w:numId w:val="19"/>
        </w:numPr>
        <w:tabs>
          <w:tab w:val="left" w:pos="851"/>
        </w:tabs>
        <w:ind w:left="0" w:firstLine="567"/>
        <w:jc w:val="both"/>
        <w:rPr>
          <w:rFonts w:cs="Arial"/>
          <w:sz w:val="20"/>
          <w:szCs w:val="20"/>
          <w:lang w:val="ru-RU"/>
        </w:rPr>
      </w:pPr>
      <w:r w:rsidRPr="00D66F3B">
        <w:rPr>
          <w:rFonts w:cs="Arial"/>
          <w:bCs/>
          <w:sz w:val="20"/>
          <w:szCs w:val="20"/>
          <w:lang w:val="ru-RU"/>
        </w:rPr>
        <w:t>е</w:t>
      </w:r>
      <w:r w:rsidRPr="00D66F3B">
        <w:rPr>
          <w:rFonts w:cs="Arial"/>
          <w:sz w:val="20"/>
          <w:szCs w:val="20"/>
          <w:lang w:val="ru-RU"/>
        </w:rPr>
        <w:t>сли по ценной бумаге в течение последних 90 календарных дней было совершено не менее 10 сделок;</w:t>
      </w:r>
    </w:p>
    <w:p w:rsidR="00602E1E" w:rsidRPr="00B373F6" w:rsidRDefault="00602E1E" w:rsidP="00FC5D59">
      <w:pPr>
        <w:pStyle w:val="afd"/>
        <w:numPr>
          <w:ilvl w:val="0"/>
          <w:numId w:val="19"/>
        </w:numPr>
        <w:tabs>
          <w:tab w:val="left" w:pos="851"/>
        </w:tabs>
        <w:ind w:left="0" w:firstLine="567"/>
        <w:jc w:val="both"/>
        <w:rPr>
          <w:rFonts w:cs="Arial"/>
          <w:sz w:val="20"/>
          <w:szCs w:val="20"/>
          <w:lang w:val="ru-RU"/>
        </w:rPr>
      </w:pPr>
      <w:r w:rsidRPr="00D66F3B">
        <w:rPr>
          <w:rFonts w:cs="Arial"/>
          <w:sz w:val="20"/>
          <w:szCs w:val="20"/>
          <w:lang w:val="ru-RU"/>
        </w:rPr>
        <w:t>общий объем сделок, совершенный за этот период составил не менее 500 тыс. рублей.</w:t>
      </w:r>
    </w:p>
    <w:p w:rsidR="00602E1E" w:rsidRDefault="00602E1E" w:rsidP="00602E1E">
      <w:pPr>
        <w:jc w:val="both"/>
        <w:rPr>
          <w:rFonts w:cs="Arial"/>
          <w:sz w:val="20"/>
          <w:szCs w:val="20"/>
          <w:lang w:val="ru-RU"/>
        </w:rPr>
      </w:pPr>
    </w:p>
    <w:p w:rsidR="00602E1E" w:rsidRPr="00D66F3B" w:rsidRDefault="00602E1E" w:rsidP="00602E1E">
      <w:pPr>
        <w:jc w:val="both"/>
        <w:rPr>
          <w:rFonts w:cs="Arial"/>
          <w:color w:val="000000"/>
          <w:sz w:val="20"/>
          <w:szCs w:val="20"/>
          <w:lang w:val="ru-RU"/>
        </w:rPr>
      </w:pPr>
      <w:r w:rsidRPr="00D66F3B">
        <w:rPr>
          <w:rFonts w:cs="Arial"/>
          <w:sz w:val="20"/>
          <w:szCs w:val="20"/>
          <w:lang w:val="ru-RU"/>
        </w:rPr>
        <w:t>Неактивным признается рынок, не соответствующий хотя бы одному критерию активного рынка.</w:t>
      </w:r>
      <w:r w:rsidRPr="00D66F3B">
        <w:rPr>
          <w:rFonts w:cs="Arial"/>
          <w:color w:val="000000"/>
          <w:sz w:val="20"/>
          <w:szCs w:val="20"/>
          <w:lang w:val="ru-RU"/>
        </w:rPr>
        <w:t xml:space="preserve"> В отсутствие активного рынка для ценных бумаг, обращающихся на российском рынке для надежного определения справедливой стоимости признаются в порядке очередности следующие типы цен на день проведения переоценки:</w:t>
      </w:r>
    </w:p>
    <w:p w:rsidR="00602E1E" w:rsidRPr="00D66F3B" w:rsidRDefault="00602E1E" w:rsidP="00FC5D59">
      <w:pPr>
        <w:pStyle w:val="afd"/>
        <w:numPr>
          <w:ilvl w:val="0"/>
          <w:numId w:val="20"/>
        </w:numPr>
        <w:tabs>
          <w:tab w:val="left" w:pos="851"/>
        </w:tabs>
        <w:ind w:left="0" w:firstLine="567"/>
        <w:jc w:val="both"/>
        <w:rPr>
          <w:rFonts w:cs="Arial"/>
          <w:color w:val="000000"/>
          <w:sz w:val="20"/>
          <w:szCs w:val="20"/>
          <w:lang w:val="ru-RU"/>
        </w:rPr>
      </w:pPr>
      <w:r w:rsidRPr="00D66F3B">
        <w:rPr>
          <w:rFonts w:cs="Arial"/>
          <w:color w:val="000000"/>
          <w:sz w:val="20"/>
          <w:szCs w:val="20"/>
          <w:lang w:val="ru-RU"/>
        </w:rPr>
        <w:t>средневзвешенная ц</w:t>
      </w:r>
      <w:r>
        <w:rPr>
          <w:rFonts w:cs="Arial"/>
          <w:color w:val="000000"/>
          <w:sz w:val="20"/>
          <w:szCs w:val="20"/>
          <w:lang w:val="ru-RU"/>
        </w:rPr>
        <w:t xml:space="preserve">ена, рассчитываемая российским </w:t>
      </w:r>
      <w:r w:rsidRPr="00D66F3B">
        <w:rPr>
          <w:rFonts w:cs="Arial"/>
          <w:color w:val="000000"/>
          <w:sz w:val="20"/>
          <w:szCs w:val="20"/>
          <w:lang w:val="ru-RU"/>
        </w:rPr>
        <w:t>организатором торговли на рынке ценных</w:t>
      </w:r>
      <w:r>
        <w:rPr>
          <w:rFonts w:cs="Arial"/>
          <w:color w:val="000000"/>
          <w:sz w:val="20"/>
          <w:szCs w:val="20"/>
          <w:lang w:val="ru-RU"/>
        </w:rPr>
        <w:t xml:space="preserve"> бумаг, </w:t>
      </w:r>
      <w:r w:rsidRPr="00D66F3B">
        <w:rPr>
          <w:rFonts w:cs="Arial"/>
          <w:color w:val="000000"/>
          <w:sz w:val="20"/>
          <w:szCs w:val="20"/>
          <w:lang w:val="ru-RU"/>
        </w:rPr>
        <w:t>на день, ближайший ко дню проведения переоценки;</w:t>
      </w:r>
    </w:p>
    <w:p w:rsidR="00602E1E" w:rsidRPr="00D66F3B" w:rsidRDefault="00602E1E" w:rsidP="00FC5D59">
      <w:pPr>
        <w:pStyle w:val="afd"/>
        <w:numPr>
          <w:ilvl w:val="0"/>
          <w:numId w:val="20"/>
        </w:numPr>
        <w:tabs>
          <w:tab w:val="left" w:pos="851"/>
        </w:tabs>
        <w:ind w:left="0" w:firstLine="567"/>
        <w:jc w:val="both"/>
        <w:rPr>
          <w:rFonts w:cs="Arial"/>
          <w:color w:val="000000"/>
          <w:sz w:val="20"/>
          <w:szCs w:val="20"/>
          <w:lang w:val="ru-RU"/>
        </w:rPr>
      </w:pPr>
      <w:r w:rsidRPr="00D66F3B">
        <w:rPr>
          <w:rFonts w:cs="Arial"/>
          <w:color w:val="000000"/>
          <w:sz w:val="20"/>
          <w:szCs w:val="20"/>
          <w:lang w:val="ru-RU"/>
        </w:rPr>
        <w:t>котировка на покупку при закрытии;</w:t>
      </w:r>
    </w:p>
    <w:p w:rsidR="00602E1E" w:rsidRPr="00D66F3B" w:rsidRDefault="00602E1E" w:rsidP="00FC5D59">
      <w:pPr>
        <w:pStyle w:val="afd"/>
        <w:numPr>
          <w:ilvl w:val="0"/>
          <w:numId w:val="20"/>
        </w:numPr>
        <w:tabs>
          <w:tab w:val="left" w:pos="851"/>
        </w:tabs>
        <w:ind w:left="0" w:firstLine="567"/>
        <w:jc w:val="both"/>
        <w:rPr>
          <w:rFonts w:cs="Arial"/>
          <w:color w:val="000000"/>
          <w:sz w:val="20"/>
          <w:szCs w:val="20"/>
        </w:rPr>
      </w:pPr>
      <w:r w:rsidRPr="00D66F3B">
        <w:rPr>
          <w:rFonts w:cs="Arial"/>
          <w:color w:val="000000"/>
          <w:sz w:val="20"/>
          <w:szCs w:val="20"/>
        </w:rPr>
        <w:t>цена последней сделки;</w:t>
      </w:r>
    </w:p>
    <w:p w:rsidR="00602E1E" w:rsidRPr="00D66F3B" w:rsidRDefault="00602E1E" w:rsidP="00FC5D59">
      <w:pPr>
        <w:pStyle w:val="afd"/>
        <w:numPr>
          <w:ilvl w:val="0"/>
          <w:numId w:val="20"/>
        </w:numPr>
        <w:tabs>
          <w:tab w:val="left" w:pos="851"/>
        </w:tabs>
        <w:ind w:left="0" w:firstLine="567"/>
        <w:jc w:val="both"/>
        <w:rPr>
          <w:rFonts w:cs="Arial"/>
          <w:color w:val="000000"/>
          <w:sz w:val="20"/>
          <w:szCs w:val="20"/>
        </w:rPr>
      </w:pPr>
      <w:r>
        <w:rPr>
          <w:rFonts w:cs="Arial"/>
          <w:color w:val="000000"/>
          <w:sz w:val="20"/>
          <w:szCs w:val="20"/>
        </w:rPr>
        <w:t>рыночная цена.</w:t>
      </w:r>
    </w:p>
    <w:p w:rsidR="00602E1E" w:rsidRDefault="00602E1E" w:rsidP="00602E1E">
      <w:pPr>
        <w:jc w:val="both"/>
        <w:rPr>
          <w:rFonts w:cs="Arial"/>
          <w:color w:val="000000"/>
          <w:sz w:val="20"/>
          <w:szCs w:val="20"/>
          <w:lang w:val="ru-RU"/>
        </w:rPr>
      </w:pPr>
    </w:p>
    <w:p w:rsidR="00602E1E" w:rsidRPr="00B373F6" w:rsidRDefault="00602E1E" w:rsidP="00602E1E">
      <w:pPr>
        <w:jc w:val="both"/>
        <w:rPr>
          <w:rFonts w:cs="Arial"/>
          <w:sz w:val="20"/>
          <w:szCs w:val="20"/>
          <w:lang w:val="ru-RU"/>
        </w:rPr>
      </w:pPr>
      <w:r>
        <w:rPr>
          <w:rFonts w:cs="Arial"/>
          <w:color w:val="000000"/>
          <w:sz w:val="20"/>
          <w:szCs w:val="20"/>
          <w:lang w:val="ru-RU"/>
        </w:rPr>
        <w:t xml:space="preserve">Источником информации является </w:t>
      </w:r>
      <w:r>
        <w:rPr>
          <w:sz w:val="20"/>
          <w:szCs w:val="20"/>
          <w:lang w:val="ru-RU"/>
        </w:rPr>
        <w:t>П</w:t>
      </w:r>
      <w:r w:rsidRPr="006F769C">
        <w:rPr>
          <w:sz w:val="20"/>
          <w:szCs w:val="20"/>
          <w:lang w:val="ru-RU"/>
        </w:rPr>
        <w:t>АО «Московская Биржа»</w:t>
      </w:r>
      <w:r w:rsidRPr="00693A68">
        <w:rPr>
          <w:sz w:val="20"/>
          <w:szCs w:val="20"/>
          <w:lang w:val="ru-RU"/>
        </w:rPr>
        <w:t xml:space="preserve">. </w:t>
      </w:r>
      <w:r w:rsidRPr="00D66F3B">
        <w:rPr>
          <w:rFonts w:cs="Arial"/>
          <w:color w:val="000000"/>
          <w:sz w:val="20"/>
          <w:szCs w:val="20"/>
          <w:lang w:val="ru-RU"/>
        </w:rPr>
        <w:t>Для определения справедливой стоимости рассматриваются котировки в ближайший день (возможный период не должен превышать 90 календарных дней), когда торговая площадка проводила торги ценными бумагами</w:t>
      </w:r>
      <w:r>
        <w:rPr>
          <w:rFonts w:cs="Arial"/>
          <w:color w:val="000000"/>
          <w:sz w:val="20"/>
          <w:szCs w:val="20"/>
          <w:lang w:val="ru-RU"/>
        </w:rPr>
        <w:t>.</w:t>
      </w:r>
    </w:p>
    <w:p w:rsidR="00602E1E" w:rsidRPr="00E4590D" w:rsidRDefault="00602E1E" w:rsidP="00602E1E">
      <w:pPr>
        <w:jc w:val="both"/>
        <w:rPr>
          <w:sz w:val="20"/>
          <w:szCs w:val="20"/>
          <w:lang w:val="ru-RU"/>
        </w:rPr>
      </w:pPr>
      <w:r w:rsidRPr="006F769C">
        <w:rPr>
          <w:sz w:val="20"/>
          <w:szCs w:val="20"/>
          <w:lang w:val="ru-RU"/>
        </w:rPr>
        <w:t>Для ценных бумаг, не обращающихся на российском рынке ценных бумаг и номинированных</w:t>
      </w:r>
      <w:r>
        <w:rPr>
          <w:sz w:val="20"/>
          <w:szCs w:val="20"/>
          <w:lang w:val="ru-RU"/>
        </w:rPr>
        <w:t xml:space="preserve"> </w:t>
      </w:r>
      <w:r w:rsidRPr="006F769C">
        <w:rPr>
          <w:sz w:val="20"/>
          <w:szCs w:val="20"/>
          <w:lang w:val="ru-RU"/>
        </w:rPr>
        <w:t>в валюте РФ и иностранной валюте надежно определенной справедливой стоимостью признается в порядке очередности следующие типы цен на день проведения переоценки:</w:t>
      </w:r>
    </w:p>
    <w:p w:rsidR="00602E1E" w:rsidRPr="00D66F3B" w:rsidRDefault="00602E1E" w:rsidP="00FC5D59">
      <w:pPr>
        <w:pStyle w:val="afd"/>
        <w:numPr>
          <w:ilvl w:val="0"/>
          <w:numId w:val="21"/>
        </w:numPr>
        <w:tabs>
          <w:tab w:val="left" w:pos="851"/>
        </w:tabs>
        <w:ind w:left="0" w:firstLine="567"/>
        <w:jc w:val="both"/>
        <w:rPr>
          <w:sz w:val="20"/>
          <w:szCs w:val="20"/>
          <w:lang w:val="ru-RU"/>
        </w:rPr>
      </w:pPr>
      <w:r w:rsidRPr="00D66F3B">
        <w:rPr>
          <w:sz w:val="20"/>
          <w:szCs w:val="20"/>
          <w:lang w:val="ru-RU"/>
        </w:rPr>
        <w:t>цена на покупку (</w:t>
      </w:r>
      <w:r w:rsidRPr="00D66F3B">
        <w:rPr>
          <w:sz w:val="20"/>
          <w:szCs w:val="20"/>
          <w:lang w:val="en-US"/>
        </w:rPr>
        <w:t>bid</w:t>
      </w:r>
      <w:r w:rsidRPr="00D66F3B">
        <w:rPr>
          <w:sz w:val="20"/>
          <w:szCs w:val="20"/>
          <w:lang w:val="ru-RU"/>
        </w:rPr>
        <w:t xml:space="preserve"> </w:t>
      </w:r>
      <w:r w:rsidRPr="00D66F3B">
        <w:rPr>
          <w:sz w:val="20"/>
          <w:szCs w:val="20"/>
          <w:lang w:val="en-US"/>
        </w:rPr>
        <w:t>price</w:t>
      </w:r>
      <w:r w:rsidRPr="00D66F3B">
        <w:rPr>
          <w:sz w:val="20"/>
          <w:szCs w:val="20"/>
          <w:lang w:val="ru-RU"/>
        </w:rPr>
        <w:t>)</w:t>
      </w:r>
      <w:r>
        <w:rPr>
          <w:sz w:val="20"/>
          <w:szCs w:val="20"/>
          <w:lang w:val="ru-RU"/>
        </w:rPr>
        <w:t>;</w:t>
      </w:r>
    </w:p>
    <w:p w:rsidR="00602E1E" w:rsidRPr="00D66F3B" w:rsidRDefault="00602E1E" w:rsidP="00FC5D59">
      <w:pPr>
        <w:pStyle w:val="afd"/>
        <w:numPr>
          <w:ilvl w:val="0"/>
          <w:numId w:val="21"/>
        </w:numPr>
        <w:tabs>
          <w:tab w:val="left" w:pos="851"/>
        </w:tabs>
        <w:ind w:left="0" w:firstLine="567"/>
        <w:jc w:val="both"/>
        <w:rPr>
          <w:sz w:val="20"/>
          <w:szCs w:val="20"/>
          <w:lang w:val="ru-RU"/>
        </w:rPr>
      </w:pPr>
      <w:r w:rsidRPr="00D66F3B">
        <w:rPr>
          <w:sz w:val="20"/>
          <w:szCs w:val="20"/>
          <w:lang w:val="ru-RU"/>
        </w:rPr>
        <w:t>последняя цена (</w:t>
      </w:r>
      <w:r w:rsidRPr="00D66F3B">
        <w:rPr>
          <w:sz w:val="20"/>
          <w:szCs w:val="20"/>
          <w:lang w:val="en-US"/>
        </w:rPr>
        <w:t>last</w:t>
      </w:r>
      <w:r w:rsidRPr="00D66F3B">
        <w:rPr>
          <w:sz w:val="20"/>
          <w:szCs w:val="20"/>
          <w:lang w:val="ru-RU"/>
        </w:rPr>
        <w:t xml:space="preserve"> </w:t>
      </w:r>
      <w:r w:rsidRPr="00D66F3B">
        <w:rPr>
          <w:sz w:val="20"/>
          <w:szCs w:val="20"/>
          <w:lang w:val="en-US"/>
        </w:rPr>
        <w:t>price</w:t>
      </w:r>
      <w:r w:rsidRPr="00D66F3B">
        <w:rPr>
          <w:sz w:val="20"/>
          <w:szCs w:val="20"/>
          <w:lang w:val="ru-RU"/>
        </w:rPr>
        <w:t>)</w:t>
      </w:r>
      <w:r>
        <w:rPr>
          <w:sz w:val="20"/>
          <w:szCs w:val="20"/>
          <w:lang w:val="ru-RU"/>
        </w:rPr>
        <w:t>;</w:t>
      </w:r>
    </w:p>
    <w:p w:rsidR="00602E1E" w:rsidRPr="00D66F3B" w:rsidRDefault="00602E1E" w:rsidP="00FC5D59">
      <w:pPr>
        <w:pStyle w:val="afd"/>
        <w:numPr>
          <w:ilvl w:val="0"/>
          <w:numId w:val="21"/>
        </w:numPr>
        <w:tabs>
          <w:tab w:val="left" w:pos="851"/>
        </w:tabs>
        <w:ind w:left="0" w:firstLine="567"/>
        <w:jc w:val="both"/>
        <w:rPr>
          <w:sz w:val="20"/>
          <w:szCs w:val="20"/>
          <w:lang w:val="en-US"/>
        </w:rPr>
      </w:pPr>
      <w:r w:rsidRPr="00D66F3B">
        <w:rPr>
          <w:sz w:val="20"/>
          <w:szCs w:val="20"/>
          <w:lang w:val="ru-RU"/>
        </w:rPr>
        <w:t>средневзвешенная</w:t>
      </w:r>
      <w:r w:rsidRPr="00D66F3B">
        <w:rPr>
          <w:sz w:val="20"/>
          <w:szCs w:val="20"/>
          <w:lang w:val="en-US"/>
        </w:rPr>
        <w:t xml:space="preserve"> </w:t>
      </w:r>
      <w:r w:rsidRPr="00D66F3B">
        <w:rPr>
          <w:sz w:val="20"/>
          <w:szCs w:val="20"/>
          <w:lang w:val="ru-RU"/>
        </w:rPr>
        <w:t>цена</w:t>
      </w:r>
      <w:r w:rsidRPr="00D66F3B">
        <w:rPr>
          <w:sz w:val="20"/>
          <w:szCs w:val="20"/>
          <w:lang w:val="en-US"/>
        </w:rPr>
        <w:t xml:space="preserve"> (Volume Weighted Average Price (VWAP))</w:t>
      </w:r>
      <w:r w:rsidRPr="00B27A8E">
        <w:rPr>
          <w:sz w:val="20"/>
          <w:szCs w:val="20"/>
          <w:lang w:val="en-US"/>
        </w:rPr>
        <w:t>;</w:t>
      </w:r>
    </w:p>
    <w:p w:rsidR="00602E1E" w:rsidRPr="00B27A8E" w:rsidRDefault="00602E1E" w:rsidP="00FC5D59">
      <w:pPr>
        <w:pStyle w:val="afd"/>
        <w:numPr>
          <w:ilvl w:val="0"/>
          <w:numId w:val="21"/>
        </w:numPr>
        <w:tabs>
          <w:tab w:val="left" w:pos="851"/>
        </w:tabs>
        <w:ind w:left="0" w:firstLine="567"/>
        <w:jc w:val="both"/>
        <w:rPr>
          <w:sz w:val="20"/>
          <w:szCs w:val="20"/>
          <w:lang w:val="en-US"/>
        </w:rPr>
      </w:pPr>
      <w:r w:rsidRPr="00D66F3B">
        <w:rPr>
          <w:sz w:val="20"/>
          <w:szCs w:val="20"/>
          <w:lang w:val="ru-RU"/>
        </w:rPr>
        <w:t>профессиональное суждение</w:t>
      </w:r>
      <w:r>
        <w:rPr>
          <w:sz w:val="20"/>
          <w:szCs w:val="20"/>
          <w:lang w:val="ru-RU"/>
        </w:rPr>
        <w:t>.</w:t>
      </w:r>
    </w:p>
    <w:p w:rsidR="00602E1E" w:rsidRDefault="00602E1E" w:rsidP="00602E1E">
      <w:pPr>
        <w:jc w:val="both"/>
        <w:rPr>
          <w:sz w:val="20"/>
          <w:szCs w:val="20"/>
          <w:lang w:val="ru-RU"/>
        </w:rPr>
      </w:pPr>
    </w:p>
    <w:p w:rsidR="00602E1E" w:rsidRPr="006F769C" w:rsidRDefault="00602E1E" w:rsidP="00602E1E">
      <w:pPr>
        <w:jc w:val="both"/>
        <w:rPr>
          <w:sz w:val="20"/>
          <w:szCs w:val="20"/>
          <w:lang w:val="ru-RU"/>
        </w:rPr>
      </w:pPr>
      <w:r w:rsidRPr="006F769C">
        <w:rPr>
          <w:sz w:val="20"/>
          <w:szCs w:val="20"/>
          <w:lang w:val="ru-RU"/>
        </w:rPr>
        <w:t xml:space="preserve">Источники информации по данным ценным бумагам являются </w:t>
      </w:r>
      <w:r>
        <w:rPr>
          <w:sz w:val="20"/>
          <w:szCs w:val="20"/>
          <w:lang w:val="ru-RU"/>
        </w:rPr>
        <w:t>и</w:t>
      </w:r>
      <w:r w:rsidRPr="006F769C">
        <w:rPr>
          <w:sz w:val="20"/>
          <w:szCs w:val="20"/>
          <w:lang w:val="ru-RU"/>
        </w:rPr>
        <w:t xml:space="preserve">нформационные системы </w:t>
      </w:r>
      <w:r w:rsidRPr="006F769C">
        <w:rPr>
          <w:sz w:val="20"/>
          <w:szCs w:val="20"/>
          <w:lang w:val="en-US"/>
        </w:rPr>
        <w:t>Bloomberg</w:t>
      </w:r>
      <w:r w:rsidRPr="006F769C">
        <w:rPr>
          <w:sz w:val="20"/>
          <w:szCs w:val="20"/>
          <w:lang w:val="ru-RU"/>
        </w:rPr>
        <w:t xml:space="preserve"> рынок </w:t>
      </w:r>
      <w:r w:rsidRPr="006F769C">
        <w:rPr>
          <w:sz w:val="20"/>
          <w:szCs w:val="20"/>
          <w:lang w:val="en-US"/>
        </w:rPr>
        <w:t>BGN</w:t>
      </w:r>
      <w:r w:rsidRPr="006F769C">
        <w:rPr>
          <w:sz w:val="20"/>
          <w:szCs w:val="20"/>
          <w:lang w:val="ru-RU"/>
        </w:rPr>
        <w:t xml:space="preserve"> или </w:t>
      </w:r>
      <w:r w:rsidRPr="006F769C">
        <w:rPr>
          <w:sz w:val="20"/>
          <w:szCs w:val="20"/>
          <w:lang w:val="en-US"/>
        </w:rPr>
        <w:t>BVAL</w:t>
      </w:r>
      <w:r w:rsidRPr="006F769C">
        <w:rPr>
          <w:sz w:val="20"/>
          <w:szCs w:val="20"/>
          <w:lang w:val="ru-RU"/>
        </w:rPr>
        <w:t xml:space="preserve">, </w:t>
      </w:r>
      <w:r w:rsidRPr="006F769C">
        <w:rPr>
          <w:sz w:val="20"/>
          <w:szCs w:val="20"/>
          <w:lang w:val="en-US"/>
        </w:rPr>
        <w:t>Reuters</w:t>
      </w:r>
      <w:r w:rsidRPr="006F769C">
        <w:rPr>
          <w:sz w:val="20"/>
          <w:szCs w:val="20"/>
          <w:lang w:val="ru-RU"/>
        </w:rPr>
        <w:t>, с надежными источниками данных. Под надежными источниками принимаются рассчитанные информационными системами потоки котировок от участников рынка, котировки от зарубежных организаторов торгов на неорганизованном рынке финансовых инструментов.</w:t>
      </w:r>
      <w:r w:rsidRPr="006F769C">
        <w:rPr>
          <w:sz w:val="20"/>
          <w:szCs w:val="20"/>
        </w:rPr>
        <w:t>  </w:t>
      </w:r>
      <w:r w:rsidRPr="006F769C">
        <w:rPr>
          <w:sz w:val="20"/>
          <w:szCs w:val="20"/>
          <w:lang w:val="ru-RU"/>
        </w:rPr>
        <w:t xml:space="preserve"> </w:t>
      </w:r>
    </w:p>
    <w:p w:rsidR="00602E1E" w:rsidRDefault="00602E1E" w:rsidP="00602E1E">
      <w:pPr>
        <w:jc w:val="both"/>
        <w:rPr>
          <w:sz w:val="20"/>
          <w:szCs w:val="20"/>
          <w:lang w:val="ru-RU"/>
        </w:rPr>
      </w:pPr>
      <w:r w:rsidRPr="006F769C">
        <w:rPr>
          <w:sz w:val="20"/>
          <w:szCs w:val="20"/>
          <w:lang w:val="ru-RU"/>
        </w:rPr>
        <w:t>В случа</w:t>
      </w:r>
      <w:r>
        <w:rPr>
          <w:sz w:val="20"/>
          <w:szCs w:val="20"/>
          <w:lang w:val="ru-RU"/>
        </w:rPr>
        <w:t>и</w:t>
      </w:r>
      <w:r w:rsidRPr="006F769C">
        <w:rPr>
          <w:sz w:val="20"/>
          <w:szCs w:val="20"/>
          <w:lang w:val="ru-RU"/>
        </w:rPr>
        <w:t xml:space="preserve"> отсутствия данных котировок на день проведения переоценки, справедливой стоимостью признается котировка на день, ближайший ко дню проведения переоценки. </w:t>
      </w:r>
      <w:r w:rsidRPr="00DB0A3B">
        <w:rPr>
          <w:sz w:val="20"/>
          <w:szCs w:val="20"/>
          <w:lang w:val="ru-RU"/>
        </w:rPr>
        <w:t>Максимально возможный период не должен превышать 90 календарных дней.</w:t>
      </w:r>
    </w:p>
    <w:p w:rsidR="00602E1E" w:rsidRDefault="00602E1E" w:rsidP="00602E1E">
      <w:pPr>
        <w:jc w:val="both"/>
        <w:rPr>
          <w:sz w:val="20"/>
          <w:szCs w:val="20"/>
          <w:lang w:val="ru-RU"/>
        </w:rPr>
      </w:pPr>
    </w:p>
    <w:p w:rsidR="00602E1E" w:rsidRDefault="00602E1E" w:rsidP="00602E1E">
      <w:pPr>
        <w:jc w:val="both"/>
        <w:rPr>
          <w:rFonts w:cs="Arial"/>
          <w:b/>
          <w:bCs/>
          <w:sz w:val="20"/>
          <w:szCs w:val="20"/>
          <w:lang w:val="ru-RU" w:eastAsia="ru-RU"/>
        </w:rPr>
      </w:pPr>
      <w:r>
        <w:rPr>
          <w:rFonts w:cs="Arial"/>
          <w:sz w:val="20"/>
          <w:szCs w:val="20"/>
          <w:lang w:val="ru-RU"/>
        </w:rPr>
        <w:t xml:space="preserve">За 31 декабря </w:t>
      </w:r>
      <w:r w:rsidRPr="000F17F6">
        <w:rPr>
          <w:rFonts w:cs="Arial"/>
          <w:sz w:val="20"/>
          <w:szCs w:val="20"/>
          <w:lang w:val="ru-RU"/>
        </w:rPr>
        <w:t>201</w:t>
      </w:r>
      <w:r>
        <w:rPr>
          <w:rFonts w:cs="Arial"/>
          <w:sz w:val="20"/>
          <w:szCs w:val="20"/>
          <w:lang w:val="ru-RU"/>
        </w:rPr>
        <w:t>8</w:t>
      </w:r>
      <w:r w:rsidRPr="000F17F6">
        <w:rPr>
          <w:rFonts w:cs="Arial"/>
          <w:sz w:val="20"/>
          <w:szCs w:val="20"/>
          <w:lang w:val="ru-RU"/>
        </w:rPr>
        <w:t xml:space="preserve"> года </w:t>
      </w:r>
      <w:r w:rsidRPr="000F17F6">
        <w:rPr>
          <w:rFonts w:cs="Arial"/>
          <w:color w:val="000000"/>
          <w:sz w:val="20"/>
          <w:szCs w:val="20"/>
          <w:lang w:val="ru-RU"/>
        </w:rPr>
        <w:t>Банк классифицирует долговые ценные бумаги, находящиеся на балансе, как ценные бумаги</w:t>
      </w:r>
      <w:r w:rsidRPr="000F17F6">
        <w:rPr>
          <w:rFonts w:cs="Arial"/>
          <w:sz w:val="20"/>
          <w:szCs w:val="20"/>
          <w:lang w:val="ru-RU"/>
        </w:rPr>
        <w:t xml:space="preserve">, оцениваемые по справедливой стоимости через прибыль или убыток. Банк использует </w:t>
      </w:r>
      <w:r>
        <w:rPr>
          <w:rFonts w:cs="Arial"/>
          <w:sz w:val="20"/>
          <w:szCs w:val="20"/>
          <w:lang w:val="ru-RU"/>
        </w:rPr>
        <w:t>данные 1 уровня оценки справедливой стоимости</w:t>
      </w:r>
      <w:r w:rsidRPr="000F17F6">
        <w:rPr>
          <w:rFonts w:cs="Arial"/>
          <w:sz w:val="20"/>
          <w:szCs w:val="20"/>
          <w:lang w:val="ru-RU"/>
        </w:rPr>
        <w:t>, который позволяет максимально использовать исходные данные, наблюдаемые на рынке</w:t>
      </w:r>
      <w:r>
        <w:rPr>
          <w:rFonts w:cs="Arial"/>
          <w:sz w:val="20"/>
          <w:szCs w:val="20"/>
          <w:lang w:val="ru-RU"/>
        </w:rPr>
        <w:t>.</w:t>
      </w:r>
      <w:r w:rsidRPr="000F17F6">
        <w:rPr>
          <w:rFonts w:cs="Arial"/>
          <w:sz w:val="20"/>
          <w:szCs w:val="20"/>
          <w:lang w:val="ru-RU"/>
        </w:rPr>
        <w:t xml:space="preserve"> </w:t>
      </w:r>
      <w:r>
        <w:rPr>
          <w:rFonts w:cs="Arial"/>
          <w:sz w:val="20"/>
          <w:szCs w:val="20"/>
          <w:lang w:val="ru-RU"/>
        </w:rPr>
        <w:t>Т</w:t>
      </w:r>
      <w:r w:rsidRPr="000F17F6">
        <w:rPr>
          <w:rFonts w:cs="Arial"/>
          <w:sz w:val="20"/>
          <w:szCs w:val="20"/>
          <w:lang w:val="ru-RU"/>
        </w:rPr>
        <w:t>ак для о</w:t>
      </w:r>
      <w:r>
        <w:rPr>
          <w:rFonts w:cs="Arial"/>
          <w:sz w:val="20"/>
          <w:szCs w:val="20"/>
          <w:lang w:val="ru-RU"/>
        </w:rPr>
        <w:t xml:space="preserve">ценки по справедливой стоимости </w:t>
      </w:r>
      <w:r w:rsidRPr="000F17F6">
        <w:rPr>
          <w:rFonts w:cs="Arial"/>
          <w:sz w:val="20"/>
          <w:szCs w:val="20"/>
          <w:lang w:val="ru-RU"/>
        </w:rPr>
        <w:t>облигаций</w:t>
      </w:r>
      <w:r>
        <w:rPr>
          <w:rFonts w:cs="Arial"/>
          <w:sz w:val="20"/>
          <w:szCs w:val="20"/>
          <w:lang w:val="ru-RU"/>
        </w:rPr>
        <w:t xml:space="preserve"> </w:t>
      </w:r>
      <w:r w:rsidRPr="000F17F6">
        <w:rPr>
          <w:rFonts w:cs="Arial"/>
          <w:sz w:val="20"/>
          <w:szCs w:val="20"/>
          <w:lang w:val="ru-RU"/>
        </w:rPr>
        <w:t>Россий</w:t>
      </w:r>
      <w:r>
        <w:rPr>
          <w:rFonts w:cs="Arial"/>
          <w:sz w:val="20"/>
          <w:szCs w:val="20"/>
          <w:lang w:val="ru-RU"/>
        </w:rPr>
        <w:t xml:space="preserve">ских компаний, обращающихся на </w:t>
      </w:r>
      <w:r w:rsidRPr="000F17F6">
        <w:rPr>
          <w:rFonts w:cs="Arial"/>
          <w:sz w:val="20"/>
          <w:szCs w:val="20"/>
          <w:lang w:val="ru-RU"/>
        </w:rPr>
        <w:t xml:space="preserve">Московской </w:t>
      </w:r>
      <w:r>
        <w:rPr>
          <w:rFonts w:cs="Arial"/>
          <w:sz w:val="20"/>
          <w:szCs w:val="20"/>
          <w:lang w:val="ru-RU"/>
        </w:rPr>
        <w:t>б</w:t>
      </w:r>
      <w:r w:rsidRPr="000F17F6">
        <w:rPr>
          <w:rFonts w:cs="Arial"/>
          <w:sz w:val="20"/>
          <w:szCs w:val="20"/>
          <w:lang w:val="ru-RU"/>
        </w:rPr>
        <w:t>ирже, Банк использует средневзвешенную цену на день переоценки или ближайший ко дню проведения переоценки. В портфеле Банка учитываются еврооблигации</w:t>
      </w:r>
      <w:r w:rsidRPr="000F17F6">
        <w:rPr>
          <w:rFonts w:cs="Arial"/>
          <w:color w:val="000000"/>
          <w:sz w:val="20"/>
          <w:szCs w:val="20"/>
          <w:lang w:val="ru-RU"/>
        </w:rPr>
        <w:t>, выпущенные на международных финансовых рынках нерезидентами в интересах резидентов</w:t>
      </w:r>
      <w:r>
        <w:rPr>
          <w:rFonts w:cs="Arial"/>
          <w:color w:val="000000"/>
          <w:sz w:val="20"/>
          <w:szCs w:val="20"/>
          <w:lang w:val="ru-RU"/>
        </w:rPr>
        <w:t xml:space="preserve"> РФ</w:t>
      </w:r>
      <w:r w:rsidRPr="000F17F6">
        <w:rPr>
          <w:rFonts w:cs="Arial"/>
          <w:color w:val="000000"/>
          <w:sz w:val="20"/>
          <w:szCs w:val="20"/>
          <w:lang w:val="ru-RU"/>
        </w:rPr>
        <w:t>, и</w:t>
      </w:r>
      <w:r w:rsidRPr="000F17F6">
        <w:rPr>
          <w:rFonts w:cs="Arial"/>
          <w:sz w:val="20"/>
          <w:szCs w:val="20"/>
          <w:lang w:val="ru-RU"/>
        </w:rPr>
        <w:t>сточники для определения справедливой стоимости для них являют</w:t>
      </w:r>
      <w:r>
        <w:rPr>
          <w:rFonts w:cs="Arial"/>
          <w:sz w:val="20"/>
          <w:szCs w:val="20"/>
          <w:lang w:val="ru-RU"/>
        </w:rPr>
        <w:t xml:space="preserve">ся данные о рыночной котировке </w:t>
      </w:r>
      <w:r w:rsidRPr="000F17F6">
        <w:rPr>
          <w:rFonts w:cs="Arial"/>
          <w:sz w:val="20"/>
          <w:szCs w:val="20"/>
          <w:lang w:val="ru-RU"/>
        </w:rPr>
        <w:t xml:space="preserve">системы </w:t>
      </w:r>
      <w:r w:rsidRPr="000F17F6">
        <w:rPr>
          <w:rFonts w:cs="Arial"/>
          <w:sz w:val="20"/>
          <w:szCs w:val="20"/>
          <w:lang w:val="en-US"/>
        </w:rPr>
        <w:t>Bloomberg</w:t>
      </w:r>
      <w:r w:rsidRPr="000F17F6">
        <w:rPr>
          <w:rFonts w:cs="Arial"/>
          <w:sz w:val="20"/>
          <w:szCs w:val="20"/>
          <w:lang w:val="ru-RU"/>
        </w:rPr>
        <w:t xml:space="preserve"> (рынок </w:t>
      </w:r>
      <w:r w:rsidRPr="000F17F6">
        <w:rPr>
          <w:rFonts w:cs="Arial"/>
          <w:sz w:val="20"/>
          <w:szCs w:val="20"/>
          <w:lang w:val="en-US"/>
        </w:rPr>
        <w:t>BGN</w:t>
      </w:r>
      <w:r w:rsidRPr="000F17F6">
        <w:rPr>
          <w:rFonts w:cs="Arial"/>
          <w:sz w:val="20"/>
          <w:szCs w:val="20"/>
          <w:lang w:val="ru-RU"/>
        </w:rPr>
        <w:t xml:space="preserve"> или </w:t>
      </w:r>
      <w:r w:rsidRPr="000F17F6">
        <w:rPr>
          <w:rFonts w:cs="Arial"/>
          <w:sz w:val="20"/>
          <w:szCs w:val="20"/>
          <w:lang w:val="en-US"/>
        </w:rPr>
        <w:t>BVAL</w:t>
      </w:r>
      <w:r w:rsidRPr="000F17F6">
        <w:rPr>
          <w:rFonts w:cs="Arial"/>
          <w:sz w:val="20"/>
          <w:szCs w:val="20"/>
          <w:lang w:val="ru-RU"/>
        </w:rPr>
        <w:t xml:space="preserve">).   </w:t>
      </w:r>
    </w:p>
    <w:p w:rsidR="00602E1E" w:rsidRPr="00FE555D" w:rsidRDefault="00602E1E" w:rsidP="00602E1E">
      <w:pPr>
        <w:pStyle w:val="2normal"/>
        <w:jc w:val="both"/>
        <w:rPr>
          <w:rFonts w:eastAsia="Calibri" w:cs="Arial"/>
          <w:color w:val="000000"/>
          <w:sz w:val="20"/>
          <w:szCs w:val="20"/>
          <w:lang w:val="ru-RU"/>
        </w:rPr>
      </w:pPr>
      <w:r w:rsidRPr="00FE555D">
        <w:rPr>
          <w:rFonts w:eastAsia="Calibri" w:cs="Arial"/>
          <w:color w:val="000000"/>
          <w:sz w:val="20"/>
          <w:szCs w:val="20"/>
          <w:lang w:val="ru-RU"/>
        </w:rPr>
        <w:t>Банк за отчетный период не применял процедуры перехода расчета справедливой стоимости по данным активного рынка 1 уровня оценки к другим уровням иерархии.</w:t>
      </w:r>
    </w:p>
    <w:p w:rsidR="0010182D" w:rsidRPr="00602E1E" w:rsidRDefault="0010182D" w:rsidP="00AD5225">
      <w:pPr>
        <w:pStyle w:val="2normal"/>
        <w:jc w:val="both"/>
        <w:rPr>
          <w:rFonts w:cs="Arial"/>
          <w:sz w:val="20"/>
          <w:szCs w:val="20"/>
          <w:lang w:val="ru-RU"/>
        </w:rPr>
      </w:pPr>
    </w:p>
    <w:p w:rsidR="00602E1E" w:rsidRPr="00602E1E" w:rsidRDefault="00602E1E" w:rsidP="00602E1E">
      <w:pPr>
        <w:pStyle w:val="2normal"/>
        <w:jc w:val="both"/>
        <w:rPr>
          <w:rFonts w:cs="Arial"/>
          <w:b/>
          <w:sz w:val="20"/>
          <w:szCs w:val="20"/>
          <w:lang w:val="ru-RU"/>
        </w:rPr>
      </w:pPr>
      <w:r w:rsidRPr="00602E1E">
        <w:rPr>
          <w:rFonts w:cs="Arial"/>
          <w:b/>
          <w:sz w:val="20"/>
          <w:szCs w:val="20"/>
          <w:lang w:val="ru-RU"/>
        </w:rPr>
        <w:t>6.1.5. Информация об объеме и о структуре финансовых вложений в дочерние хозяйственные общества</w:t>
      </w:r>
    </w:p>
    <w:p w:rsidR="00602E1E" w:rsidRDefault="00602E1E" w:rsidP="00AD5225">
      <w:pPr>
        <w:pStyle w:val="2normal"/>
        <w:jc w:val="both"/>
        <w:rPr>
          <w:rFonts w:cs="Arial"/>
          <w:sz w:val="20"/>
          <w:szCs w:val="20"/>
          <w:highlight w:val="yellow"/>
          <w:lang w:val="ru-RU"/>
        </w:rPr>
      </w:pPr>
    </w:p>
    <w:p w:rsidR="00602E1E" w:rsidRDefault="00602E1E" w:rsidP="00602E1E">
      <w:pPr>
        <w:jc w:val="both"/>
        <w:rPr>
          <w:rFonts w:cs="Arial"/>
          <w:sz w:val="20"/>
          <w:szCs w:val="20"/>
          <w:lang w:val="ru-RU"/>
        </w:rPr>
      </w:pPr>
      <w:r w:rsidRPr="00602E1E">
        <w:rPr>
          <w:rFonts w:cs="Arial"/>
          <w:sz w:val="20"/>
          <w:szCs w:val="20"/>
          <w:lang w:val="ru-RU"/>
        </w:rPr>
        <w:t>Учет собственных средств (инвестиций), направленных банком на приобретение долей участия в уставном капитале организаций резидентов осуществляется на счете 602 «Проч</w:t>
      </w:r>
      <w:r w:rsidR="00285742">
        <w:rPr>
          <w:rFonts w:cs="Arial"/>
          <w:sz w:val="20"/>
          <w:szCs w:val="20"/>
          <w:lang w:val="ru-RU"/>
        </w:rPr>
        <w:t>е</w:t>
      </w:r>
      <w:r w:rsidRPr="00602E1E">
        <w:rPr>
          <w:rFonts w:cs="Arial"/>
          <w:sz w:val="20"/>
          <w:szCs w:val="20"/>
          <w:lang w:val="ru-RU"/>
        </w:rPr>
        <w:t>е участие».</w:t>
      </w:r>
    </w:p>
    <w:p w:rsidR="00602E1E" w:rsidRPr="00602E1E" w:rsidRDefault="00602E1E" w:rsidP="00602E1E">
      <w:pPr>
        <w:jc w:val="both"/>
        <w:rPr>
          <w:rFonts w:cs="Arial"/>
          <w:sz w:val="20"/>
          <w:szCs w:val="20"/>
          <w:lang w:val="ru-RU"/>
        </w:rPr>
      </w:pPr>
    </w:p>
    <w:p w:rsidR="00602E1E" w:rsidRDefault="00602E1E" w:rsidP="00602E1E">
      <w:pPr>
        <w:jc w:val="both"/>
        <w:rPr>
          <w:rFonts w:cs="Arial"/>
          <w:sz w:val="20"/>
          <w:szCs w:val="20"/>
          <w:lang w:val="ru-RU"/>
        </w:rPr>
      </w:pPr>
      <w:r w:rsidRPr="00602E1E">
        <w:rPr>
          <w:rFonts w:cs="Arial"/>
          <w:sz w:val="20"/>
          <w:szCs w:val="20"/>
          <w:lang w:val="ru-RU"/>
        </w:rPr>
        <w:t>На счете 602 отражается приобретение долей (участие) в уставных капиталах юридических лиц.  Аналитический учет ведется по лицевым счетам организаций, которой перечислены средства для приобретения долей.</w:t>
      </w:r>
    </w:p>
    <w:p w:rsidR="00602E1E" w:rsidRPr="00602E1E" w:rsidRDefault="00602E1E" w:rsidP="00602E1E">
      <w:pPr>
        <w:jc w:val="both"/>
        <w:rPr>
          <w:rFonts w:cs="Arial"/>
          <w:sz w:val="20"/>
          <w:szCs w:val="20"/>
          <w:lang w:val="ru-RU"/>
        </w:rPr>
      </w:pPr>
    </w:p>
    <w:p w:rsidR="00602E1E" w:rsidRPr="00602E1E" w:rsidRDefault="00602E1E" w:rsidP="00602E1E">
      <w:pPr>
        <w:jc w:val="both"/>
        <w:rPr>
          <w:rFonts w:cs="Arial"/>
          <w:sz w:val="20"/>
          <w:szCs w:val="20"/>
          <w:lang w:val="ru-RU"/>
        </w:rPr>
      </w:pPr>
      <w:r w:rsidRPr="00602E1E">
        <w:rPr>
          <w:rFonts w:cs="Arial"/>
          <w:sz w:val="20"/>
          <w:szCs w:val="20"/>
          <w:lang w:val="ru-RU"/>
        </w:rPr>
        <w:t>Резерв на возможные потери не создается по вложениям банка в акции (доли участия) дочерних и зависимых юридических лиц, уменьшающих сумму основного капитала в соответствии с требованиями Положения Банка России от 04.07.</w:t>
      </w:r>
      <w:r w:rsidR="00F81621">
        <w:rPr>
          <w:rFonts w:cs="Arial"/>
          <w:sz w:val="20"/>
          <w:szCs w:val="20"/>
          <w:lang w:val="ru-RU"/>
        </w:rPr>
        <w:t>20</w:t>
      </w:r>
      <w:r w:rsidRPr="00602E1E">
        <w:rPr>
          <w:rFonts w:cs="Arial"/>
          <w:sz w:val="20"/>
          <w:szCs w:val="20"/>
          <w:lang w:val="ru-RU"/>
        </w:rPr>
        <w:t xml:space="preserve">18г. № 646-П. Резерв на возможные потери создается на остатки балансовых счетов 60202, 60203, 60204 не уменьшающих сумму основного </w:t>
      </w:r>
      <w:r w:rsidRPr="00602E1E">
        <w:rPr>
          <w:rFonts w:cs="Arial"/>
          <w:sz w:val="20"/>
          <w:szCs w:val="20"/>
          <w:lang w:val="ru-RU"/>
        </w:rPr>
        <w:lastRenderedPageBreak/>
        <w:t>капитала в соответствии с требованиями Положения Банка России № 590-П. При создании резерва на возможные потери учитываются следующие факторы:</w:t>
      </w:r>
    </w:p>
    <w:p w:rsidR="00602E1E" w:rsidRPr="00602E1E" w:rsidRDefault="00602E1E" w:rsidP="00FC5D59">
      <w:pPr>
        <w:pStyle w:val="afd"/>
        <w:numPr>
          <w:ilvl w:val="0"/>
          <w:numId w:val="68"/>
        </w:numPr>
        <w:tabs>
          <w:tab w:val="left" w:pos="851"/>
        </w:tabs>
        <w:ind w:left="0" w:firstLine="567"/>
        <w:jc w:val="both"/>
        <w:rPr>
          <w:rFonts w:cs="Arial"/>
          <w:sz w:val="20"/>
          <w:szCs w:val="20"/>
          <w:lang w:val="ru-RU"/>
        </w:rPr>
      </w:pPr>
      <w:r w:rsidRPr="00602E1E">
        <w:rPr>
          <w:rFonts w:cs="Arial"/>
          <w:sz w:val="20"/>
          <w:szCs w:val="20"/>
          <w:lang w:val="ru-RU"/>
        </w:rPr>
        <w:t>финансовое положение организации-контрагента;</w:t>
      </w:r>
    </w:p>
    <w:p w:rsidR="00602E1E" w:rsidRPr="00602E1E" w:rsidRDefault="00602E1E" w:rsidP="00FC5D59">
      <w:pPr>
        <w:pStyle w:val="afd"/>
        <w:numPr>
          <w:ilvl w:val="0"/>
          <w:numId w:val="68"/>
        </w:numPr>
        <w:tabs>
          <w:tab w:val="left" w:pos="851"/>
        </w:tabs>
        <w:ind w:left="0" w:firstLine="567"/>
        <w:jc w:val="both"/>
        <w:rPr>
          <w:rFonts w:cs="Arial"/>
          <w:sz w:val="20"/>
          <w:szCs w:val="20"/>
          <w:lang w:val="ru-RU"/>
        </w:rPr>
      </w:pPr>
      <w:r w:rsidRPr="00602E1E">
        <w:rPr>
          <w:rFonts w:cs="Arial"/>
          <w:sz w:val="20"/>
          <w:szCs w:val="20"/>
          <w:lang w:val="ru-RU"/>
        </w:rPr>
        <w:t>вероятность ликвидации (банкротства) организации-контрагента;</w:t>
      </w:r>
    </w:p>
    <w:p w:rsidR="00602E1E" w:rsidRDefault="00602E1E" w:rsidP="00FC5D59">
      <w:pPr>
        <w:pStyle w:val="afd"/>
        <w:numPr>
          <w:ilvl w:val="0"/>
          <w:numId w:val="68"/>
        </w:numPr>
        <w:tabs>
          <w:tab w:val="left" w:pos="851"/>
        </w:tabs>
        <w:ind w:left="0" w:firstLine="567"/>
        <w:jc w:val="both"/>
        <w:rPr>
          <w:rFonts w:cs="Arial"/>
          <w:sz w:val="20"/>
          <w:szCs w:val="20"/>
          <w:lang w:val="ru-RU"/>
        </w:rPr>
      </w:pPr>
      <w:r w:rsidRPr="00602E1E">
        <w:rPr>
          <w:rFonts w:cs="Arial"/>
          <w:sz w:val="20"/>
          <w:szCs w:val="20"/>
          <w:lang w:val="ru-RU"/>
        </w:rPr>
        <w:t>наличие просроченных требований к организации-контрагенту со стороны налоговых органов по перечислению платежей в бюджет.</w:t>
      </w:r>
    </w:p>
    <w:p w:rsidR="003D2AA2" w:rsidRPr="00602E1E" w:rsidRDefault="003D2AA2" w:rsidP="0078690B">
      <w:pPr>
        <w:jc w:val="both"/>
        <w:rPr>
          <w:rFonts w:cs="Arial"/>
          <w:sz w:val="20"/>
          <w:szCs w:val="20"/>
          <w:lang w:val="ru-RU"/>
        </w:rPr>
      </w:pPr>
    </w:p>
    <w:p w:rsidR="003D2AA2" w:rsidRDefault="0078690B" w:rsidP="003D2AA2">
      <w:pPr>
        <w:jc w:val="both"/>
        <w:rPr>
          <w:rFonts w:cs="Arial"/>
          <w:b/>
          <w:szCs w:val="18"/>
          <w:lang w:val="ru-RU"/>
        </w:rPr>
      </w:pPr>
      <w:r w:rsidRPr="0078690B">
        <w:rPr>
          <w:rFonts w:cs="Arial"/>
          <w:b/>
          <w:szCs w:val="18"/>
          <w:lang w:val="ru-RU"/>
        </w:rPr>
        <w:t>Перечень финансовых вложений в дочерние хозяйственные общества</w:t>
      </w:r>
    </w:p>
    <w:p w:rsidR="0078690B" w:rsidRPr="0078690B" w:rsidRDefault="0078690B" w:rsidP="003D2AA2">
      <w:pPr>
        <w:jc w:val="both"/>
        <w:rPr>
          <w:rFonts w:cs="Arial"/>
          <w:b/>
          <w:szCs w:val="18"/>
          <w:lang w:val="ru-RU"/>
        </w:rPr>
      </w:pPr>
    </w:p>
    <w:tbl>
      <w:tblPr>
        <w:tblW w:w="9478" w:type="dxa"/>
        <w:tblInd w:w="93" w:type="dxa"/>
        <w:tblLook w:val="04A0" w:firstRow="1" w:lastRow="0" w:firstColumn="1" w:lastColumn="0" w:noHBand="0" w:noVBand="1"/>
      </w:tblPr>
      <w:tblGrid>
        <w:gridCol w:w="3000"/>
        <w:gridCol w:w="1741"/>
        <w:gridCol w:w="1586"/>
        <w:gridCol w:w="1827"/>
        <w:gridCol w:w="1324"/>
      </w:tblGrid>
      <w:tr w:rsidR="003D2AA2" w:rsidTr="00215D81">
        <w:trPr>
          <w:trHeight w:val="419"/>
          <w:tblHeader/>
        </w:trPr>
        <w:tc>
          <w:tcPr>
            <w:tcW w:w="3000" w:type="dxa"/>
            <w:tcBorders>
              <w:top w:val="single" w:sz="4" w:space="0" w:color="auto"/>
              <w:left w:val="nil"/>
              <w:bottom w:val="single" w:sz="4" w:space="0" w:color="auto"/>
              <w:right w:val="nil"/>
            </w:tcBorders>
            <w:shd w:val="clear" w:color="auto" w:fill="auto"/>
            <w:noWrap/>
            <w:vAlign w:val="center"/>
            <w:hideMark/>
          </w:tcPr>
          <w:p w:rsidR="003D2AA2" w:rsidRPr="00E34F93" w:rsidRDefault="003D2AA2" w:rsidP="007402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Объект инвестиций</w:t>
            </w:r>
          </w:p>
        </w:tc>
        <w:tc>
          <w:tcPr>
            <w:tcW w:w="1741" w:type="dxa"/>
            <w:tcBorders>
              <w:top w:val="single" w:sz="4" w:space="0" w:color="auto"/>
              <w:left w:val="nil"/>
              <w:bottom w:val="single" w:sz="4" w:space="0" w:color="auto"/>
              <w:right w:val="nil"/>
            </w:tcBorders>
            <w:shd w:val="clear" w:color="auto" w:fill="auto"/>
            <w:vAlign w:val="center"/>
            <w:hideMark/>
          </w:tcPr>
          <w:p w:rsidR="003D2AA2" w:rsidRDefault="003D2AA2" w:rsidP="0074023F">
            <w:pPr>
              <w:overflowPunct/>
              <w:autoSpaceDE/>
              <w:autoSpaceDN/>
              <w:adjustRightInd/>
              <w:jc w:val="center"/>
              <w:textAlignment w:val="auto"/>
              <w:rPr>
                <w:rFonts w:cs="Arial"/>
                <w:b/>
                <w:bCs/>
                <w:sz w:val="16"/>
                <w:szCs w:val="16"/>
                <w:lang w:val="ru-RU" w:eastAsia="ru-RU"/>
              </w:rPr>
            </w:pPr>
          </w:p>
          <w:p w:rsidR="003D2AA2" w:rsidRPr="00E34F93" w:rsidRDefault="003D2AA2" w:rsidP="007402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Страна регистрации</w:t>
            </w:r>
          </w:p>
        </w:tc>
        <w:tc>
          <w:tcPr>
            <w:tcW w:w="1586" w:type="dxa"/>
            <w:tcBorders>
              <w:top w:val="single" w:sz="4" w:space="0" w:color="auto"/>
              <w:left w:val="nil"/>
              <w:bottom w:val="single" w:sz="4" w:space="0" w:color="auto"/>
              <w:right w:val="nil"/>
            </w:tcBorders>
            <w:shd w:val="clear" w:color="auto" w:fill="auto"/>
            <w:vAlign w:val="center"/>
            <w:hideMark/>
          </w:tcPr>
          <w:p w:rsidR="003D2AA2" w:rsidRPr="00E34F93" w:rsidRDefault="003D2AA2" w:rsidP="0074023F">
            <w:pPr>
              <w:overflowPunct/>
              <w:autoSpaceDE/>
              <w:autoSpaceDN/>
              <w:adjustRightInd/>
              <w:jc w:val="center"/>
              <w:textAlignment w:val="auto"/>
              <w:rPr>
                <w:rFonts w:cs="Arial"/>
                <w:b/>
                <w:bCs/>
                <w:sz w:val="16"/>
                <w:szCs w:val="16"/>
                <w:lang w:val="ru-RU" w:eastAsia="ru-RU"/>
              </w:rPr>
            </w:pPr>
          </w:p>
          <w:p w:rsidR="003D2AA2" w:rsidRPr="00E34F93" w:rsidRDefault="003D2AA2" w:rsidP="007402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Доля участия в %</w:t>
            </w:r>
          </w:p>
        </w:tc>
        <w:tc>
          <w:tcPr>
            <w:tcW w:w="1827" w:type="dxa"/>
            <w:tcBorders>
              <w:top w:val="single" w:sz="4" w:space="0" w:color="auto"/>
              <w:left w:val="nil"/>
              <w:bottom w:val="single" w:sz="4" w:space="0" w:color="auto"/>
              <w:right w:val="nil"/>
            </w:tcBorders>
            <w:shd w:val="clear" w:color="auto" w:fill="auto"/>
            <w:vAlign w:val="center"/>
            <w:hideMark/>
          </w:tcPr>
          <w:p w:rsidR="003D2AA2" w:rsidRPr="00E34F93" w:rsidRDefault="003D2AA2" w:rsidP="007402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Доля вложений</w:t>
            </w:r>
          </w:p>
        </w:tc>
        <w:tc>
          <w:tcPr>
            <w:tcW w:w="1324" w:type="dxa"/>
            <w:tcBorders>
              <w:top w:val="single" w:sz="4" w:space="0" w:color="auto"/>
              <w:left w:val="nil"/>
              <w:bottom w:val="single" w:sz="4" w:space="0" w:color="auto"/>
              <w:right w:val="nil"/>
            </w:tcBorders>
            <w:vAlign w:val="center"/>
          </w:tcPr>
          <w:p w:rsidR="003D2AA2" w:rsidRDefault="003D2AA2" w:rsidP="0074023F">
            <w:pPr>
              <w:overflowPunct/>
              <w:autoSpaceDE/>
              <w:autoSpaceDN/>
              <w:adjustRightInd/>
              <w:jc w:val="center"/>
              <w:textAlignment w:val="auto"/>
              <w:rPr>
                <w:rFonts w:cs="Arial"/>
                <w:b/>
                <w:bCs/>
                <w:sz w:val="16"/>
                <w:szCs w:val="16"/>
                <w:lang w:val="ru-RU" w:eastAsia="ru-RU"/>
              </w:rPr>
            </w:pPr>
          </w:p>
          <w:p w:rsidR="003D2AA2" w:rsidRDefault="003D2AA2" w:rsidP="0074023F">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Резерв созданный</w:t>
            </w:r>
          </w:p>
        </w:tc>
      </w:tr>
      <w:tr w:rsidR="003D2AA2" w:rsidRPr="00E34F93" w:rsidTr="0074023F">
        <w:trPr>
          <w:trHeight w:val="489"/>
        </w:trPr>
        <w:tc>
          <w:tcPr>
            <w:tcW w:w="3000" w:type="dxa"/>
            <w:tcBorders>
              <w:top w:val="single" w:sz="4" w:space="0" w:color="auto"/>
            </w:tcBorders>
            <w:shd w:val="clear" w:color="auto" w:fill="auto"/>
            <w:vAlign w:val="center"/>
            <w:hideMark/>
          </w:tcPr>
          <w:p w:rsidR="003D2AA2" w:rsidRDefault="003D2AA2" w:rsidP="0074023F">
            <w:pPr>
              <w:overflowPunct/>
              <w:autoSpaceDE/>
              <w:autoSpaceDN/>
              <w:adjustRightInd/>
              <w:textAlignment w:val="auto"/>
              <w:rPr>
                <w:rFonts w:cs="Arial"/>
                <w:sz w:val="16"/>
                <w:szCs w:val="16"/>
                <w:lang w:val="ru-RU" w:eastAsia="ru-RU"/>
              </w:rPr>
            </w:pPr>
          </w:p>
          <w:p w:rsidR="003D2AA2" w:rsidRPr="00E34F93" w:rsidRDefault="003D2AA2" w:rsidP="0074023F">
            <w:pPr>
              <w:overflowPunct/>
              <w:autoSpaceDE/>
              <w:autoSpaceDN/>
              <w:adjustRightInd/>
              <w:textAlignment w:val="auto"/>
              <w:rPr>
                <w:rFonts w:cs="Arial"/>
                <w:sz w:val="16"/>
                <w:szCs w:val="16"/>
                <w:lang w:val="ru-RU" w:eastAsia="ru-RU"/>
              </w:rPr>
            </w:pPr>
            <w:r w:rsidRPr="00E34F93">
              <w:rPr>
                <w:rFonts w:cs="Arial"/>
                <w:sz w:val="16"/>
                <w:szCs w:val="16"/>
                <w:lang w:val="ru-RU" w:eastAsia="ru-RU"/>
              </w:rPr>
              <w:t>Кировский областной фонд поддержки малого и среднего предпринимательства (</w:t>
            </w:r>
            <w:r>
              <w:rPr>
                <w:rFonts w:cs="Arial"/>
                <w:sz w:val="16"/>
                <w:szCs w:val="16"/>
                <w:lang w:val="ru-RU" w:eastAsia="ru-RU"/>
              </w:rPr>
              <w:t>микрокредитная компания</w:t>
            </w:r>
            <w:r w:rsidRPr="00E34F93">
              <w:rPr>
                <w:rFonts w:cs="Arial"/>
                <w:sz w:val="16"/>
                <w:szCs w:val="16"/>
                <w:lang w:val="ru-RU" w:eastAsia="ru-RU"/>
              </w:rPr>
              <w:t>)</w:t>
            </w:r>
          </w:p>
        </w:tc>
        <w:tc>
          <w:tcPr>
            <w:tcW w:w="1741" w:type="dxa"/>
            <w:tcBorders>
              <w:top w:val="single" w:sz="4" w:space="0" w:color="auto"/>
            </w:tcBorders>
            <w:shd w:val="clear" w:color="auto" w:fill="auto"/>
            <w:vAlign w:val="center"/>
            <w:hideMark/>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Россия</w:t>
            </w:r>
          </w:p>
        </w:tc>
        <w:tc>
          <w:tcPr>
            <w:tcW w:w="1586" w:type="dxa"/>
            <w:tcBorders>
              <w:top w:val="single" w:sz="4" w:space="0" w:color="auto"/>
            </w:tcBorders>
            <w:shd w:val="clear" w:color="auto" w:fill="auto"/>
            <w:vAlign w:val="center"/>
            <w:hideMark/>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25</w:t>
            </w:r>
          </w:p>
        </w:tc>
        <w:tc>
          <w:tcPr>
            <w:tcW w:w="1827" w:type="dxa"/>
            <w:tcBorders>
              <w:top w:val="single" w:sz="4" w:space="0" w:color="auto"/>
            </w:tcBorders>
            <w:shd w:val="clear" w:color="auto" w:fill="auto"/>
            <w:vAlign w:val="center"/>
            <w:hideMark/>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100</w:t>
            </w:r>
          </w:p>
        </w:tc>
        <w:tc>
          <w:tcPr>
            <w:tcW w:w="1324" w:type="dxa"/>
            <w:tcBorders>
              <w:top w:val="single" w:sz="4" w:space="0" w:color="auto"/>
            </w:tcBorders>
            <w:vAlign w:val="center"/>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3D2AA2" w:rsidRPr="00E34F93" w:rsidTr="0074023F">
        <w:trPr>
          <w:trHeight w:val="489"/>
        </w:trPr>
        <w:tc>
          <w:tcPr>
            <w:tcW w:w="3000" w:type="dxa"/>
            <w:tcBorders>
              <w:left w:val="nil"/>
              <w:bottom w:val="single" w:sz="4" w:space="0" w:color="auto"/>
              <w:right w:val="nil"/>
            </w:tcBorders>
            <w:shd w:val="clear" w:color="auto" w:fill="auto"/>
          </w:tcPr>
          <w:p w:rsidR="003D2AA2" w:rsidRDefault="003D2AA2" w:rsidP="0074023F">
            <w:pPr>
              <w:overflowPunct/>
              <w:autoSpaceDE/>
              <w:autoSpaceDN/>
              <w:adjustRightInd/>
              <w:textAlignment w:val="auto"/>
              <w:rPr>
                <w:rFonts w:cs="Arial"/>
                <w:sz w:val="16"/>
                <w:szCs w:val="16"/>
                <w:lang w:val="ru-RU" w:eastAsia="ru-RU"/>
              </w:rPr>
            </w:pPr>
          </w:p>
          <w:p w:rsidR="003D2AA2" w:rsidRPr="00E34F93" w:rsidRDefault="003D2AA2" w:rsidP="0074023F">
            <w:pPr>
              <w:overflowPunct/>
              <w:autoSpaceDE/>
              <w:autoSpaceDN/>
              <w:adjustRightInd/>
              <w:textAlignment w:val="auto"/>
              <w:rPr>
                <w:rFonts w:cs="Arial"/>
                <w:sz w:val="16"/>
                <w:szCs w:val="16"/>
                <w:lang w:val="ru-RU" w:eastAsia="ru-RU"/>
              </w:rPr>
            </w:pPr>
            <w:r>
              <w:rPr>
                <w:rFonts w:cs="Arial"/>
                <w:sz w:val="16"/>
                <w:szCs w:val="16"/>
                <w:lang w:val="ru-RU" w:eastAsia="ru-RU"/>
              </w:rPr>
              <w:t>ООО «Сингл»</w:t>
            </w:r>
          </w:p>
        </w:tc>
        <w:tc>
          <w:tcPr>
            <w:tcW w:w="1741" w:type="dxa"/>
            <w:tcBorders>
              <w:left w:val="nil"/>
              <w:bottom w:val="single" w:sz="4" w:space="0" w:color="auto"/>
              <w:right w:val="nil"/>
            </w:tcBorders>
            <w:shd w:val="clear" w:color="auto" w:fill="auto"/>
            <w:vAlign w:val="center"/>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Россия</w:t>
            </w:r>
          </w:p>
        </w:tc>
        <w:tc>
          <w:tcPr>
            <w:tcW w:w="1586" w:type="dxa"/>
            <w:tcBorders>
              <w:left w:val="nil"/>
              <w:bottom w:val="single" w:sz="4" w:space="0" w:color="auto"/>
              <w:right w:val="nil"/>
            </w:tcBorders>
            <w:shd w:val="clear" w:color="auto" w:fill="auto"/>
            <w:vAlign w:val="center"/>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100</w:t>
            </w:r>
          </w:p>
        </w:tc>
        <w:tc>
          <w:tcPr>
            <w:tcW w:w="1827" w:type="dxa"/>
            <w:tcBorders>
              <w:left w:val="nil"/>
              <w:bottom w:val="single" w:sz="4" w:space="0" w:color="auto"/>
              <w:right w:val="nil"/>
            </w:tcBorders>
            <w:shd w:val="clear" w:color="auto" w:fill="auto"/>
            <w:vAlign w:val="center"/>
          </w:tcPr>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10</w:t>
            </w:r>
          </w:p>
        </w:tc>
        <w:tc>
          <w:tcPr>
            <w:tcW w:w="1324" w:type="dxa"/>
            <w:tcBorders>
              <w:left w:val="nil"/>
              <w:bottom w:val="single" w:sz="4" w:space="0" w:color="auto"/>
              <w:right w:val="nil"/>
            </w:tcBorders>
          </w:tcPr>
          <w:p w:rsidR="003D2AA2" w:rsidRDefault="003D2AA2" w:rsidP="0074023F">
            <w:pPr>
              <w:overflowPunct/>
              <w:autoSpaceDE/>
              <w:autoSpaceDN/>
              <w:adjustRightInd/>
              <w:jc w:val="center"/>
              <w:textAlignment w:val="auto"/>
              <w:rPr>
                <w:rFonts w:cs="Arial"/>
                <w:sz w:val="16"/>
                <w:szCs w:val="16"/>
                <w:lang w:val="ru-RU" w:eastAsia="ru-RU"/>
              </w:rPr>
            </w:pPr>
          </w:p>
          <w:p w:rsidR="003D2AA2" w:rsidRPr="00E34F93"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3D2AA2" w:rsidTr="0074023F">
        <w:trPr>
          <w:trHeight w:val="489"/>
        </w:trPr>
        <w:tc>
          <w:tcPr>
            <w:tcW w:w="3000" w:type="dxa"/>
            <w:tcBorders>
              <w:top w:val="single" w:sz="4" w:space="0" w:color="auto"/>
              <w:left w:val="nil"/>
              <w:bottom w:val="double" w:sz="4" w:space="0" w:color="auto"/>
              <w:right w:val="nil"/>
            </w:tcBorders>
            <w:shd w:val="clear" w:color="auto" w:fill="auto"/>
          </w:tcPr>
          <w:p w:rsidR="003D2AA2" w:rsidRPr="00B43158" w:rsidRDefault="003D2AA2" w:rsidP="0074023F">
            <w:pPr>
              <w:overflowPunct/>
              <w:autoSpaceDE/>
              <w:autoSpaceDN/>
              <w:adjustRightInd/>
              <w:textAlignment w:val="auto"/>
              <w:rPr>
                <w:rFonts w:cs="Arial"/>
                <w:b/>
                <w:sz w:val="16"/>
                <w:szCs w:val="16"/>
                <w:lang w:val="ru-RU" w:eastAsia="ru-RU"/>
              </w:rPr>
            </w:pPr>
          </w:p>
          <w:p w:rsidR="003D2AA2" w:rsidRPr="00B43158" w:rsidRDefault="003D2AA2" w:rsidP="0074023F">
            <w:pPr>
              <w:overflowPunct/>
              <w:autoSpaceDE/>
              <w:autoSpaceDN/>
              <w:adjustRightInd/>
              <w:textAlignment w:val="auto"/>
              <w:rPr>
                <w:rFonts w:cs="Arial"/>
                <w:b/>
                <w:sz w:val="16"/>
                <w:szCs w:val="16"/>
                <w:lang w:val="ru-RU" w:eastAsia="ru-RU"/>
              </w:rPr>
            </w:pPr>
            <w:r w:rsidRPr="00B43158">
              <w:rPr>
                <w:rFonts w:cs="Arial"/>
                <w:b/>
                <w:sz w:val="16"/>
                <w:szCs w:val="16"/>
                <w:lang w:val="ru-RU" w:eastAsia="ru-RU"/>
              </w:rPr>
              <w:t>Итого доля вложений</w:t>
            </w:r>
          </w:p>
        </w:tc>
        <w:tc>
          <w:tcPr>
            <w:tcW w:w="1741" w:type="dxa"/>
            <w:tcBorders>
              <w:top w:val="single" w:sz="4" w:space="0" w:color="auto"/>
              <w:left w:val="nil"/>
              <w:bottom w:val="double" w:sz="4" w:space="0" w:color="auto"/>
              <w:right w:val="nil"/>
            </w:tcBorders>
            <w:shd w:val="clear" w:color="auto" w:fill="auto"/>
            <w:vAlign w:val="center"/>
          </w:tcPr>
          <w:p w:rsidR="003D2AA2" w:rsidRPr="00B43158" w:rsidRDefault="003D2AA2" w:rsidP="0074023F">
            <w:pPr>
              <w:overflowPunct/>
              <w:autoSpaceDE/>
              <w:autoSpaceDN/>
              <w:adjustRightInd/>
              <w:jc w:val="center"/>
              <w:textAlignment w:val="auto"/>
              <w:rPr>
                <w:rFonts w:cs="Arial"/>
                <w:b/>
                <w:sz w:val="16"/>
                <w:szCs w:val="16"/>
                <w:lang w:val="ru-RU" w:eastAsia="ru-RU"/>
              </w:rPr>
            </w:pPr>
          </w:p>
        </w:tc>
        <w:tc>
          <w:tcPr>
            <w:tcW w:w="1586" w:type="dxa"/>
            <w:tcBorders>
              <w:top w:val="single" w:sz="4" w:space="0" w:color="auto"/>
              <w:left w:val="nil"/>
              <w:bottom w:val="double" w:sz="4" w:space="0" w:color="auto"/>
              <w:right w:val="nil"/>
            </w:tcBorders>
            <w:shd w:val="clear" w:color="auto" w:fill="auto"/>
            <w:vAlign w:val="center"/>
          </w:tcPr>
          <w:p w:rsidR="003D2AA2" w:rsidRPr="00B43158" w:rsidRDefault="003D2AA2" w:rsidP="0074023F">
            <w:pPr>
              <w:overflowPunct/>
              <w:autoSpaceDE/>
              <w:autoSpaceDN/>
              <w:adjustRightInd/>
              <w:jc w:val="center"/>
              <w:textAlignment w:val="auto"/>
              <w:rPr>
                <w:rFonts w:cs="Arial"/>
                <w:b/>
                <w:sz w:val="16"/>
                <w:szCs w:val="16"/>
                <w:lang w:val="ru-RU" w:eastAsia="ru-RU"/>
              </w:rPr>
            </w:pPr>
          </w:p>
        </w:tc>
        <w:tc>
          <w:tcPr>
            <w:tcW w:w="1827" w:type="dxa"/>
            <w:tcBorders>
              <w:top w:val="single" w:sz="4" w:space="0" w:color="auto"/>
              <w:left w:val="nil"/>
              <w:bottom w:val="double" w:sz="4" w:space="0" w:color="auto"/>
              <w:right w:val="nil"/>
            </w:tcBorders>
            <w:shd w:val="clear" w:color="auto" w:fill="auto"/>
            <w:vAlign w:val="center"/>
          </w:tcPr>
          <w:p w:rsidR="003D2AA2" w:rsidRPr="00B43158" w:rsidRDefault="003D2AA2" w:rsidP="0074023F">
            <w:pPr>
              <w:overflowPunct/>
              <w:autoSpaceDE/>
              <w:autoSpaceDN/>
              <w:adjustRightInd/>
              <w:jc w:val="center"/>
              <w:textAlignment w:val="auto"/>
              <w:rPr>
                <w:rFonts w:cs="Arial"/>
                <w:b/>
                <w:sz w:val="16"/>
                <w:szCs w:val="16"/>
                <w:lang w:val="ru-RU" w:eastAsia="ru-RU"/>
              </w:rPr>
            </w:pPr>
            <w:r w:rsidRPr="00B43158">
              <w:rPr>
                <w:rFonts w:cs="Arial"/>
                <w:b/>
                <w:sz w:val="16"/>
                <w:szCs w:val="16"/>
                <w:lang w:val="ru-RU" w:eastAsia="ru-RU"/>
              </w:rPr>
              <w:t>110</w:t>
            </w:r>
          </w:p>
        </w:tc>
        <w:tc>
          <w:tcPr>
            <w:tcW w:w="1324" w:type="dxa"/>
            <w:tcBorders>
              <w:top w:val="single" w:sz="4" w:space="0" w:color="auto"/>
              <w:left w:val="nil"/>
              <w:bottom w:val="double" w:sz="4" w:space="0" w:color="auto"/>
              <w:right w:val="nil"/>
            </w:tcBorders>
          </w:tcPr>
          <w:p w:rsidR="003D2AA2" w:rsidRDefault="003D2AA2" w:rsidP="0074023F">
            <w:pPr>
              <w:overflowPunct/>
              <w:autoSpaceDE/>
              <w:autoSpaceDN/>
              <w:adjustRightInd/>
              <w:jc w:val="center"/>
              <w:textAlignment w:val="auto"/>
              <w:rPr>
                <w:rFonts w:cs="Arial"/>
                <w:sz w:val="16"/>
                <w:szCs w:val="16"/>
                <w:lang w:val="ru-RU" w:eastAsia="ru-RU"/>
              </w:rPr>
            </w:pPr>
          </w:p>
          <w:p w:rsidR="003D2AA2" w:rsidRDefault="003D2AA2" w:rsidP="0074023F">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bl>
    <w:p w:rsidR="0078690B" w:rsidRDefault="0078690B" w:rsidP="00602E1E">
      <w:pPr>
        <w:pStyle w:val="af4"/>
        <w:jc w:val="both"/>
        <w:rPr>
          <w:rFonts w:ascii="Times New Roman" w:hAnsi="Times New Roman" w:cs="Times New Roman"/>
          <w:b/>
          <w:sz w:val="16"/>
          <w:szCs w:val="16"/>
          <w:lang w:val="ru-RU"/>
        </w:rPr>
      </w:pPr>
    </w:p>
    <w:p w:rsidR="00602E1E" w:rsidRPr="003D2AA2" w:rsidRDefault="00602E1E" w:rsidP="00602E1E">
      <w:pPr>
        <w:pStyle w:val="af4"/>
        <w:jc w:val="both"/>
        <w:rPr>
          <w:rFonts w:cs="Arial"/>
          <w:lang w:val="ru-RU"/>
        </w:rPr>
      </w:pPr>
      <w:r w:rsidRPr="003D2AA2">
        <w:rPr>
          <w:rFonts w:cs="Arial"/>
          <w:lang w:val="ru-RU"/>
        </w:rPr>
        <w:t>Общество с ограниченной ответственностью «СИНГЛ» учреждено 25.07.2018 года в соответствии с законодательством Российской Федерации. Уставный капитал был внесен 20.12.</w:t>
      </w:r>
      <w:r w:rsidR="00F81621">
        <w:rPr>
          <w:rFonts w:cs="Arial"/>
          <w:lang w:val="ru-RU"/>
        </w:rPr>
        <w:t>2018 года в сумме 10 тыс. руб</w:t>
      </w:r>
      <w:r w:rsidRPr="003D2AA2">
        <w:rPr>
          <w:rFonts w:cs="Arial"/>
          <w:lang w:val="ru-RU"/>
        </w:rPr>
        <w:t>.</w:t>
      </w:r>
    </w:p>
    <w:p w:rsidR="00602E1E" w:rsidRPr="003D2AA2" w:rsidRDefault="00602E1E" w:rsidP="003D2AA2">
      <w:pPr>
        <w:pStyle w:val="af4"/>
        <w:jc w:val="both"/>
        <w:rPr>
          <w:rFonts w:cs="Arial"/>
          <w:lang w:val="ru-RU"/>
        </w:rPr>
      </w:pPr>
      <w:r w:rsidRPr="003D2AA2">
        <w:rPr>
          <w:rFonts w:cs="Arial"/>
          <w:lang w:val="ru-RU"/>
        </w:rPr>
        <w:t xml:space="preserve">Банк не включает отчетные данные участников банковской группы в консолидированную отчетность и иную информацию о деятельности банковской группы, так как применяет принцип существенности в целях расчета пруденциальных показателей деятельности банковской группы в соответствии с п.1.3. Положения Банка России от 03.12.2015г. №509-П. Отчетные данные участников банковской группы в целях расчета величины собственных средств (капитала), обязательных нормативов и размеров (лимитов) открытых валютных позиций, консолидированной отчетности признаются не существенными так как, совокупные вложения </w:t>
      </w:r>
      <w:r w:rsidR="00F81621">
        <w:rPr>
          <w:rFonts w:cs="Arial"/>
          <w:lang w:val="ru-RU"/>
        </w:rPr>
        <w:t>Б</w:t>
      </w:r>
      <w:r w:rsidRPr="003D2AA2">
        <w:rPr>
          <w:rFonts w:cs="Arial"/>
          <w:lang w:val="ru-RU"/>
        </w:rPr>
        <w:t xml:space="preserve">анка в капитал организаций составляют менее 10% от величины базового капитала банка рассчитанного в соответствии с положением Банка России от 28.12.2012 №395-П.  </w:t>
      </w:r>
    </w:p>
    <w:p w:rsidR="00602E1E" w:rsidRPr="003D2AA2" w:rsidRDefault="00602E1E" w:rsidP="003D2AA2">
      <w:pPr>
        <w:pStyle w:val="2normal"/>
        <w:tabs>
          <w:tab w:val="left" w:pos="851"/>
        </w:tabs>
        <w:jc w:val="both"/>
        <w:rPr>
          <w:rFonts w:cs="Arial"/>
          <w:sz w:val="20"/>
          <w:szCs w:val="20"/>
          <w:lang w:val="ru-RU"/>
        </w:rPr>
      </w:pPr>
      <w:r w:rsidRPr="003D2AA2">
        <w:rPr>
          <w:rFonts w:cs="Arial"/>
          <w:sz w:val="20"/>
          <w:szCs w:val="20"/>
          <w:lang w:val="ru-RU"/>
        </w:rPr>
        <w:t>Кировский областной фонд поддержки малого и среднего предпринимательства (микрокредитная</w:t>
      </w:r>
    </w:p>
    <w:p w:rsidR="00602E1E" w:rsidRPr="003D2AA2" w:rsidRDefault="00602E1E" w:rsidP="00602E1E">
      <w:pPr>
        <w:pStyle w:val="2normal"/>
        <w:tabs>
          <w:tab w:val="left" w:pos="851"/>
        </w:tabs>
        <w:jc w:val="both"/>
        <w:rPr>
          <w:rFonts w:cs="Arial"/>
          <w:sz w:val="20"/>
          <w:szCs w:val="20"/>
          <w:lang w:val="ru-RU"/>
        </w:rPr>
      </w:pPr>
      <w:r w:rsidRPr="003D2AA2">
        <w:rPr>
          <w:rFonts w:cs="Arial"/>
          <w:sz w:val="20"/>
          <w:szCs w:val="20"/>
          <w:lang w:val="ru-RU"/>
        </w:rPr>
        <w:t>компания) учрежден 22 июля 2002 года в форме фонда в соответствии с законодательством Российской Федерации. Основной деятельностью компании является финансовое посредничество. Банк не оказывает прямо или косвенно существенного влияния на решения, принимаемые Советом Кировского областного фонда поддержки малого предпринимательства и соответственно не является консолидированной с ним группой.</w:t>
      </w:r>
    </w:p>
    <w:p w:rsidR="00602E1E" w:rsidRPr="00884713" w:rsidRDefault="00602E1E" w:rsidP="00AD5225">
      <w:pPr>
        <w:pStyle w:val="2normal"/>
        <w:jc w:val="both"/>
        <w:rPr>
          <w:rFonts w:cs="Arial"/>
          <w:sz w:val="20"/>
          <w:szCs w:val="20"/>
          <w:highlight w:val="yellow"/>
          <w:lang w:val="ru-RU"/>
        </w:rPr>
      </w:pPr>
    </w:p>
    <w:p w:rsidR="00ED55E9" w:rsidRPr="00CD349A" w:rsidRDefault="00CD349A" w:rsidP="00CD349A">
      <w:pPr>
        <w:pStyle w:val="4"/>
        <w:numPr>
          <w:ilvl w:val="2"/>
          <w:numId w:val="77"/>
        </w:numPr>
        <w:ind w:left="0" w:firstLine="0"/>
      </w:pPr>
      <w:r w:rsidRPr="00CD349A">
        <w:t>Информация об объеме и структуре ссуд, ссудной и приравненной к ней задолженности</w:t>
      </w:r>
    </w:p>
    <w:p w:rsidR="00CD349A" w:rsidRPr="00CD349A" w:rsidRDefault="00CD349A" w:rsidP="00CD349A">
      <w:pPr>
        <w:pStyle w:val="afd"/>
        <w:rPr>
          <w:highlight w:val="yellow"/>
          <w:lang w:val="ru-RU"/>
        </w:rPr>
      </w:pPr>
    </w:p>
    <w:p w:rsidR="00CD349A" w:rsidRPr="000809C4" w:rsidRDefault="00CD349A" w:rsidP="00CD349A">
      <w:pPr>
        <w:pStyle w:val="2normal"/>
        <w:jc w:val="both"/>
        <w:rPr>
          <w:rFonts w:cs="Arial"/>
          <w:b/>
          <w:szCs w:val="18"/>
          <w:lang w:val="ru-RU"/>
        </w:rPr>
      </w:pPr>
      <w:r w:rsidRPr="000809C4">
        <w:rPr>
          <w:rFonts w:cs="Arial"/>
          <w:b/>
          <w:szCs w:val="18"/>
          <w:lang w:val="ru-RU"/>
        </w:rPr>
        <w:t>Структура ссудной задолженности по видам предоставленных ссуд:</w:t>
      </w:r>
    </w:p>
    <w:p w:rsidR="00CD349A" w:rsidRPr="00052F2E" w:rsidRDefault="00CD349A" w:rsidP="00CD349A">
      <w:pPr>
        <w:pStyle w:val="2normal"/>
        <w:jc w:val="both"/>
        <w:rPr>
          <w:rFonts w:cs="Arial"/>
          <w:sz w:val="16"/>
          <w:szCs w:val="16"/>
          <w:lang w:val="ru-RU"/>
        </w:rPr>
      </w:pPr>
    </w:p>
    <w:tbl>
      <w:tblPr>
        <w:tblW w:w="9371" w:type="dxa"/>
        <w:tblInd w:w="93" w:type="dxa"/>
        <w:tblLook w:val="04A0" w:firstRow="1" w:lastRow="0" w:firstColumn="1" w:lastColumn="0" w:noHBand="0" w:noVBand="1"/>
      </w:tblPr>
      <w:tblGrid>
        <w:gridCol w:w="5460"/>
        <w:gridCol w:w="1880"/>
        <w:gridCol w:w="2031"/>
      </w:tblGrid>
      <w:tr w:rsidR="00CD349A" w:rsidRPr="00490E81" w:rsidTr="006A4547">
        <w:trPr>
          <w:trHeight w:val="270"/>
          <w:tblHeader/>
        </w:trPr>
        <w:tc>
          <w:tcPr>
            <w:tcW w:w="546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both"/>
              <w:textAlignment w:val="auto"/>
              <w:rPr>
                <w:rFonts w:cs="Arial"/>
                <w:b/>
                <w:bCs/>
                <w:sz w:val="16"/>
                <w:szCs w:val="16"/>
                <w:lang w:val="ru-RU" w:eastAsia="ru-RU"/>
              </w:rPr>
            </w:pPr>
          </w:p>
          <w:p w:rsidR="00CD349A" w:rsidRPr="00052F2E" w:rsidRDefault="00CD349A" w:rsidP="002F5E50">
            <w:pPr>
              <w:overflowPunct/>
              <w:autoSpaceDE/>
              <w:autoSpaceDN/>
              <w:adjustRightInd/>
              <w:jc w:val="both"/>
              <w:textAlignment w:val="auto"/>
              <w:rPr>
                <w:rFonts w:cs="Arial"/>
                <w:b/>
                <w:bCs/>
                <w:sz w:val="16"/>
                <w:szCs w:val="16"/>
                <w:lang w:val="ru-RU" w:eastAsia="ru-RU"/>
              </w:rPr>
            </w:pPr>
            <w:r w:rsidRPr="00052F2E">
              <w:rPr>
                <w:rFonts w:cs="Arial"/>
                <w:b/>
                <w:bCs/>
                <w:sz w:val="16"/>
                <w:szCs w:val="16"/>
                <w:lang w:val="ru-RU" w:eastAsia="ru-RU"/>
              </w:rPr>
              <w:t>Виды заемщиков и виды представленных ссуд</w:t>
            </w:r>
          </w:p>
        </w:tc>
        <w:tc>
          <w:tcPr>
            <w:tcW w:w="188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w:t>
            </w:r>
            <w:r w:rsidRPr="00052F2E">
              <w:rPr>
                <w:rFonts w:cs="Arial"/>
                <w:b/>
                <w:bCs/>
                <w:sz w:val="16"/>
                <w:szCs w:val="16"/>
                <w:lang w:val="ru-RU" w:eastAsia="ru-RU"/>
              </w:rPr>
              <w:t>.</w:t>
            </w:r>
            <w:r>
              <w:rPr>
                <w:rFonts w:cs="Arial"/>
                <w:b/>
                <w:bCs/>
                <w:sz w:val="16"/>
                <w:szCs w:val="16"/>
                <w:lang w:val="ru-RU" w:eastAsia="ru-RU"/>
              </w:rPr>
              <w:t>2018</w:t>
            </w:r>
          </w:p>
        </w:tc>
        <w:tc>
          <w:tcPr>
            <w:tcW w:w="2031"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w:t>
            </w:r>
            <w:r w:rsidRPr="00052F2E">
              <w:rPr>
                <w:rFonts w:cs="Arial"/>
                <w:b/>
                <w:bCs/>
                <w:sz w:val="16"/>
                <w:szCs w:val="16"/>
                <w:lang w:val="ru-RU" w:eastAsia="ru-RU"/>
              </w:rPr>
              <w:t>.</w:t>
            </w:r>
            <w:r>
              <w:rPr>
                <w:rFonts w:cs="Arial"/>
                <w:b/>
                <w:bCs/>
                <w:sz w:val="16"/>
                <w:szCs w:val="16"/>
                <w:lang w:val="ru-RU" w:eastAsia="ru-RU"/>
              </w:rPr>
              <w:t>2017</w:t>
            </w:r>
          </w:p>
        </w:tc>
      </w:tr>
      <w:tr w:rsidR="00CD349A" w:rsidRPr="00490E81"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5B1C90">
              <w:rPr>
                <w:rFonts w:cs="Arial"/>
                <w:b/>
                <w:bCs/>
                <w:sz w:val="16"/>
                <w:szCs w:val="16"/>
                <w:lang w:val="ru-RU" w:eastAsia="ru-RU"/>
              </w:rPr>
              <w:t>Предоставленные физическим лицам ссуды и прочие требования, признаваемые ссудами</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2 022 790</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1 459 463</w:t>
            </w:r>
          </w:p>
        </w:tc>
      </w:tr>
      <w:tr w:rsidR="00CD349A" w:rsidRPr="005B1C90"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Потребительские</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1 570 894</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1 366 931</w:t>
            </w:r>
          </w:p>
        </w:tc>
      </w:tr>
      <w:tr w:rsidR="00CD349A" w:rsidRPr="005B1C90"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440 123</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57 926</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7 473</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30 306</w:t>
            </w:r>
          </w:p>
        </w:tc>
      </w:tr>
      <w:tr w:rsidR="00CD349A" w:rsidRPr="00052F2E" w:rsidTr="002F5E50">
        <w:trPr>
          <w:trHeight w:val="255"/>
        </w:trPr>
        <w:tc>
          <w:tcPr>
            <w:tcW w:w="5460" w:type="dxa"/>
            <w:tcBorders>
              <w:top w:val="nil"/>
              <w:left w:val="nil"/>
              <w:bottom w:val="nil"/>
              <w:right w:val="nil"/>
            </w:tcBorders>
            <w:shd w:val="clear" w:color="auto" w:fill="auto"/>
            <w:noWrap/>
            <w:vAlign w:val="bottom"/>
          </w:tcPr>
          <w:p w:rsidR="00CD349A" w:rsidRPr="00052F2E" w:rsidRDefault="00CD349A" w:rsidP="002F5E50">
            <w:pPr>
              <w:overflowPunct/>
              <w:autoSpaceDE/>
              <w:autoSpaceDN/>
              <w:adjustRightInd/>
              <w:textAlignment w:val="auto"/>
              <w:rPr>
                <w:rFonts w:cs="Arial"/>
                <w:sz w:val="16"/>
                <w:szCs w:val="16"/>
                <w:lang w:val="ru-RU" w:eastAsia="ru-RU"/>
              </w:rPr>
            </w:pPr>
            <w:r w:rsidRPr="008E38BB">
              <w:rPr>
                <w:rFonts w:cs="Arial"/>
                <w:sz w:val="16"/>
                <w:szCs w:val="16"/>
                <w:lang w:val="ru-RU" w:eastAsia="ru-RU"/>
              </w:rPr>
              <w:t>Иные цели</w:t>
            </w:r>
          </w:p>
        </w:tc>
        <w:tc>
          <w:tcPr>
            <w:tcW w:w="1880" w:type="dxa"/>
            <w:tcBorders>
              <w:top w:val="nil"/>
              <w:left w:val="nil"/>
              <w:bottom w:val="nil"/>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4300</w:t>
            </w:r>
          </w:p>
        </w:tc>
        <w:tc>
          <w:tcPr>
            <w:tcW w:w="2031" w:type="dxa"/>
            <w:tcBorders>
              <w:top w:val="nil"/>
              <w:left w:val="nil"/>
              <w:bottom w:val="nil"/>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4 300</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5B1C90">
              <w:rPr>
                <w:rFonts w:cs="Arial"/>
                <w:b/>
                <w:bCs/>
                <w:sz w:val="16"/>
                <w:szCs w:val="16"/>
                <w:lang w:val="ru-RU" w:eastAsia="ru-RU"/>
              </w:rPr>
              <w:t>Предоставленные юридическим лицам ссуды и прочие требования, признаваемые ссудами</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4 303 753</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4 127 573</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Пополнение оборотных средств </w:t>
            </w:r>
          </w:p>
        </w:tc>
        <w:tc>
          <w:tcPr>
            <w:tcW w:w="1880"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2 843 486</w:t>
            </w:r>
          </w:p>
        </w:tc>
        <w:tc>
          <w:tcPr>
            <w:tcW w:w="2031"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2 513 288</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Приобретение основных средств</w:t>
            </w:r>
          </w:p>
        </w:tc>
        <w:tc>
          <w:tcPr>
            <w:tcW w:w="1880"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594 753</w:t>
            </w:r>
          </w:p>
        </w:tc>
        <w:tc>
          <w:tcPr>
            <w:tcW w:w="2031"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497 184</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 и ремонт</w:t>
            </w:r>
          </w:p>
        </w:tc>
        <w:tc>
          <w:tcPr>
            <w:tcW w:w="1880"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36 599</w:t>
            </w:r>
          </w:p>
        </w:tc>
        <w:tc>
          <w:tcPr>
            <w:tcW w:w="2031"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60 934</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Финансовая деятельность</w:t>
            </w:r>
          </w:p>
        </w:tc>
        <w:tc>
          <w:tcPr>
            <w:tcW w:w="1880"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706 048</w:t>
            </w:r>
          </w:p>
        </w:tc>
        <w:tc>
          <w:tcPr>
            <w:tcW w:w="2031"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961 047</w:t>
            </w:r>
          </w:p>
        </w:tc>
      </w:tr>
      <w:tr w:rsidR="00CD349A" w:rsidRPr="008F171A" w:rsidTr="002F5E50">
        <w:trPr>
          <w:trHeight w:val="255"/>
        </w:trPr>
        <w:tc>
          <w:tcPr>
            <w:tcW w:w="5460" w:type="dxa"/>
            <w:tcBorders>
              <w:top w:val="nil"/>
              <w:left w:val="nil"/>
              <w:bottom w:val="nil"/>
              <w:right w:val="nil"/>
            </w:tcBorders>
            <w:shd w:val="clear" w:color="auto" w:fill="auto"/>
            <w:noWrap/>
            <w:vAlign w:val="bottom"/>
          </w:tcPr>
          <w:p w:rsidR="00CD349A" w:rsidRPr="00052F2E" w:rsidRDefault="00CD349A" w:rsidP="002F5E50">
            <w:pPr>
              <w:overflowPunct/>
              <w:autoSpaceDE/>
              <w:autoSpaceDN/>
              <w:adjustRightInd/>
              <w:textAlignment w:val="auto"/>
              <w:rPr>
                <w:rFonts w:cs="Arial"/>
                <w:sz w:val="16"/>
                <w:szCs w:val="16"/>
                <w:lang w:val="ru-RU" w:eastAsia="ru-RU"/>
              </w:rPr>
            </w:pPr>
            <w:r w:rsidRPr="008F171A">
              <w:rPr>
                <w:rFonts w:cs="Arial"/>
                <w:sz w:val="16"/>
                <w:szCs w:val="16"/>
                <w:lang w:val="ru-RU" w:eastAsia="ru-RU"/>
              </w:rPr>
              <w:t>Обеспечение заявки на участие в аукционе</w:t>
            </w:r>
          </w:p>
        </w:tc>
        <w:tc>
          <w:tcPr>
            <w:tcW w:w="1880" w:type="dxa"/>
            <w:tcBorders>
              <w:top w:val="nil"/>
              <w:left w:val="nil"/>
              <w:bottom w:val="nil"/>
              <w:right w:val="nil"/>
            </w:tcBorders>
            <w:shd w:val="clear" w:color="auto" w:fill="auto"/>
            <w:noWrap/>
            <w:vAlign w:val="bottom"/>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10 547</w:t>
            </w:r>
          </w:p>
        </w:tc>
        <w:tc>
          <w:tcPr>
            <w:tcW w:w="2031" w:type="dxa"/>
            <w:tcBorders>
              <w:top w:val="nil"/>
              <w:left w:val="nil"/>
              <w:bottom w:val="nil"/>
              <w:right w:val="nil"/>
            </w:tcBorders>
            <w:shd w:val="clear" w:color="auto" w:fill="auto"/>
            <w:noWrap/>
            <w:vAlign w:val="bottom"/>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33 495</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цели</w:t>
            </w:r>
          </w:p>
        </w:tc>
        <w:tc>
          <w:tcPr>
            <w:tcW w:w="1880"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112 320</w:t>
            </w:r>
          </w:p>
        </w:tc>
        <w:tc>
          <w:tcPr>
            <w:tcW w:w="2031"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61 625</w:t>
            </w:r>
          </w:p>
        </w:tc>
      </w:tr>
      <w:tr w:rsidR="00CD349A" w:rsidRPr="00052F2E" w:rsidTr="002F5E50">
        <w:trPr>
          <w:trHeight w:val="255"/>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A06FE8">
              <w:rPr>
                <w:rFonts w:cs="Arial"/>
                <w:b/>
                <w:bCs/>
                <w:sz w:val="16"/>
                <w:szCs w:val="16"/>
                <w:lang w:val="ru-RU" w:eastAsia="ru-RU"/>
              </w:rPr>
              <w:t>Межбанковские кредиты и депозиты, требования, признаваемые ссудами</w:t>
            </w:r>
            <w:r w:rsidRPr="00052F2E">
              <w:rPr>
                <w:rFonts w:cs="Arial"/>
                <w:b/>
                <w:bCs/>
                <w:sz w:val="16"/>
                <w:szCs w:val="16"/>
                <w:lang w:val="ru-RU" w:eastAsia="ru-RU"/>
              </w:rPr>
              <w:t>, всего</w:t>
            </w:r>
          </w:p>
        </w:tc>
        <w:tc>
          <w:tcPr>
            <w:tcW w:w="1880" w:type="dxa"/>
            <w:tcBorders>
              <w:top w:val="nil"/>
              <w:left w:val="nil"/>
              <w:bottom w:val="sing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1 384 293</w:t>
            </w:r>
          </w:p>
        </w:tc>
        <w:tc>
          <w:tcPr>
            <w:tcW w:w="2031" w:type="dxa"/>
            <w:tcBorders>
              <w:top w:val="nil"/>
              <w:left w:val="nil"/>
              <w:bottom w:val="sing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997 739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7 710 836</w:t>
            </w:r>
          </w:p>
        </w:tc>
        <w:tc>
          <w:tcPr>
            <w:tcW w:w="2031"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6 584 775</w:t>
            </w:r>
          </w:p>
        </w:tc>
      </w:tr>
      <w:tr w:rsidR="00CD349A" w:rsidRPr="00052F2E" w:rsidTr="002F5E50">
        <w:trPr>
          <w:trHeight w:val="270"/>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Созданные резервы по ссудной и приравненной к ней задолженности</w:t>
            </w:r>
          </w:p>
        </w:tc>
        <w:tc>
          <w:tcPr>
            <w:tcW w:w="1880" w:type="dxa"/>
            <w:tcBorders>
              <w:top w:val="nil"/>
              <w:left w:val="nil"/>
              <w:bottom w:val="sing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sidRPr="001944DE">
              <w:rPr>
                <w:rFonts w:cs="Arial"/>
                <w:sz w:val="16"/>
                <w:szCs w:val="16"/>
                <w:lang w:val="ru-RU" w:eastAsia="ru-RU"/>
              </w:rPr>
              <w:t>(</w:t>
            </w:r>
            <w:r>
              <w:rPr>
                <w:rFonts w:cs="Arial"/>
                <w:sz w:val="16"/>
                <w:szCs w:val="16"/>
                <w:lang w:val="ru-RU" w:eastAsia="ru-RU"/>
              </w:rPr>
              <w:t>1 349 779</w:t>
            </w:r>
            <w:r w:rsidRPr="001944DE">
              <w:rPr>
                <w:rFonts w:cs="Arial"/>
                <w:sz w:val="16"/>
                <w:szCs w:val="16"/>
                <w:lang w:val="ru-RU" w:eastAsia="ru-RU"/>
              </w:rPr>
              <w:t>)</w:t>
            </w:r>
          </w:p>
        </w:tc>
        <w:tc>
          <w:tcPr>
            <w:tcW w:w="2031" w:type="dxa"/>
            <w:tcBorders>
              <w:top w:val="nil"/>
              <w:left w:val="nil"/>
              <w:bottom w:val="sing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sz w:val="16"/>
                <w:szCs w:val="16"/>
                <w:lang w:val="ru-RU" w:eastAsia="ru-RU"/>
              </w:rPr>
            </w:pPr>
            <w:r w:rsidRPr="001944DE">
              <w:rPr>
                <w:rFonts w:cs="Arial"/>
                <w:sz w:val="16"/>
                <w:szCs w:val="16"/>
                <w:lang w:val="ru-RU" w:eastAsia="ru-RU"/>
              </w:rPr>
              <w:t>(</w:t>
            </w:r>
            <w:r>
              <w:rPr>
                <w:rFonts w:cs="Arial"/>
                <w:sz w:val="16"/>
                <w:szCs w:val="16"/>
                <w:lang w:val="ru-RU" w:eastAsia="ru-RU"/>
              </w:rPr>
              <w:t>1 123 454</w:t>
            </w:r>
            <w:r w:rsidRPr="001944DE">
              <w:rPr>
                <w:rFonts w:cs="Arial"/>
                <w:sz w:val="16"/>
                <w:szCs w:val="16"/>
                <w:lang w:val="ru-RU" w:eastAsia="ru-RU"/>
              </w:rPr>
              <w:t>)</w:t>
            </w:r>
          </w:p>
        </w:tc>
      </w:tr>
      <w:tr w:rsidR="00CD349A" w:rsidRPr="00052F2E" w:rsidTr="002F5E5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lastRenderedPageBreak/>
              <w:t>Чистая ссудная задолженность</w:t>
            </w:r>
          </w:p>
        </w:tc>
        <w:tc>
          <w:tcPr>
            <w:tcW w:w="1880" w:type="dxa"/>
            <w:tcBorders>
              <w:top w:val="single" w:sz="4" w:space="0" w:color="auto"/>
              <w:left w:val="nil"/>
              <w:bottom w:val="doub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6 361 057</w:t>
            </w:r>
          </w:p>
        </w:tc>
        <w:tc>
          <w:tcPr>
            <w:tcW w:w="2031" w:type="dxa"/>
            <w:tcBorders>
              <w:top w:val="single" w:sz="4" w:space="0" w:color="auto"/>
              <w:left w:val="nil"/>
              <w:bottom w:val="double" w:sz="4" w:space="0" w:color="auto"/>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5 461 321</w:t>
            </w:r>
          </w:p>
        </w:tc>
      </w:tr>
      <w:tr w:rsidR="00CD349A" w:rsidRPr="00052F2E" w:rsidTr="002F5E50">
        <w:trPr>
          <w:trHeight w:val="270"/>
        </w:trPr>
        <w:tc>
          <w:tcPr>
            <w:tcW w:w="5460" w:type="dxa"/>
            <w:tcBorders>
              <w:top w:val="double" w:sz="4" w:space="0" w:color="auto"/>
              <w:left w:val="nil"/>
              <w:bottom w:val="nil"/>
              <w:right w:val="nil"/>
            </w:tcBorders>
            <w:shd w:val="clear" w:color="auto" w:fill="auto"/>
            <w:noWrap/>
            <w:vAlign w:val="bottom"/>
            <w:hideMark/>
          </w:tcPr>
          <w:p w:rsidR="00CD349A" w:rsidRPr="00052F2E" w:rsidRDefault="00CD349A" w:rsidP="002F5E50">
            <w:pPr>
              <w:overflowPunct/>
              <w:autoSpaceDE/>
              <w:autoSpaceDN/>
              <w:adjustRightInd/>
              <w:jc w:val="right"/>
              <w:textAlignment w:val="auto"/>
              <w:rPr>
                <w:rFonts w:cs="Arial"/>
                <w:sz w:val="16"/>
                <w:szCs w:val="16"/>
                <w:lang w:val="ru-RU" w:eastAsia="ru-RU"/>
              </w:rPr>
            </w:pPr>
          </w:p>
        </w:tc>
        <w:tc>
          <w:tcPr>
            <w:tcW w:w="1880" w:type="dxa"/>
            <w:tcBorders>
              <w:top w:val="double" w:sz="4" w:space="0" w:color="auto"/>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p>
          <w:p w:rsidR="00CD349A" w:rsidRPr="00052F2E" w:rsidRDefault="00CD349A" w:rsidP="002F5E50">
            <w:pPr>
              <w:overflowPunct/>
              <w:autoSpaceDE/>
              <w:autoSpaceDN/>
              <w:adjustRightInd/>
              <w:textAlignment w:val="auto"/>
              <w:rPr>
                <w:rFonts w:cs="Arial"/>
                <w:sz w:val="16"/>
                <w:szCs w:val="16"/>
                <w:lang w:val="ru-RU" w:eastAsia="ru-RU"/>
              </w:rPr>
            </w:pPr>
          </w:p>
        </w:tc>
        <w:tc>
          <w:tcPr>
            <w:tcW w:w="2031" w:type="dxa"/>
            <w:tcBorders>
              <w:top w:val="double" w:sz="4" w:space="0" w:color="auto"/>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p>
        </w:tc>
      </w:tr>
      <w:tr w:rsidR="00CD349A" w:rsidRPr="006C0DB6" w:rsidTr="002F5E50">
        <w:trPr>
          <w:trHeight w:val="270"/>
        </w:trPr>
        <w:tc>
          <w:tcPr>
            <w:tcW w:w="9371" w:type="dxa"/>
            <w:gridSpan w:val="3"/>
            <w:tcBorders>
              <w:top w:val="nil"/>
              <w:left w:val="nil"/>
              <w:bottom w:val="single" w:sz="4" w:space="0" w:color="auto"/>
              <w:right w:val="nil"/>
            </w:tcBorders>
            <w:shd w:val="clear" w:color="auto" w:fill="auto"/>
            <w:noWrap/>
            <w:vAlign w:val="bottom"/>
          </w:tcPr>
          <w:p w:rsidR="00CD349A" w:rsidRPr="000809C4" w:rsidRDefault="00CD349A" w:rsidP="002F5E50">
            <w:pPr>
              <w:overflowPunct/>
              <w:autoSpaceDE/>
              <w:autoSpaceDN/>
              <w:adjustRightInd/>
              <w:jc w:val="both"/>
              <w:textAlignment w:val="auto"/>
              <w:rPr>
                <w:rFonts w:cs="Arial"/>
                <w:b/>
                <w:szCs w:val="18"/>
                <w:lang w:val="ru-RU" w:eastAsia="ru-RU"/>
              </w:rPr>
            </w:pPr>
            <w:r w:rsidRPr="00ED55E9">
              <w:rPr>
                <w:rFonts w:cs="Arial"/>
                <w:szCs w:val="18"/>
                <w:lang w:val="ru-RU" w:eastAsia="ru-RU"/>
              </w:rPr>
              <w:t xml:space="preserve"> </w:t>
            </w:r>
            <w:r w:rsidRPr="000809C4">
              <w:rPr>
                <w:rFonts w:cs="Arial"/>
                <w:b/>
                <w:szCs w:val="18"/>
                <w:lang w:val="ru-RU" w:eastAsia="ru-RU"/>
              </w:rPr>
              <w:t>Структура ссудной задолженности по видам деятельности:</w:t>
            </w:r>
          </w:p>
          <w:p w:rsidR="00CD349A" w:rsidRPr="00ED55E9" w:rsidRDefault="00CD349A" w:rsidP="002F5E50">
            <w:pPr>
              <w:overflowPunct/>
              <w:autoSpaceDE/>
              <w:autoSpaceDN/>
              <w:adjustRightInd/>
              <w:jc w:val="both"/>
              <w:textAlignment w:val="auto"/>
              <w:rPr>
                <w:rFonts w:cs="Arial"/>
                <w:szCs w:val="18"/>
                <w:lang w:val="ru-RU" w:eastAsia="ru-RU"/>
              </w:rPr>
            </w:pPr>
          </w:p>
        </w:tc>
      </w:tr>
      <w:tr w:rsidR="00CD349A" w:rsidRPr="00490E81" w:rsidTr="002F5E5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Виды экономической деятельности заемщиков</w:t>
            </w:r>
          </w:p>
        </w:tc>
        <w:tc>
          <w:tcPr>
            <w:tcW w:w="188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.12.2018</w:t>
            </w:r>
          </w:p>
        </w:tc>
        <w:tc>
          <w:tcPr>
            <w:tcW w:w="2031"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.12.2017</w:t>
            </w:r>
          </w:p>
        </w:tc>
      </w:tr>
      <w:tr w:rsidR="00CD349A" w:rsidRPr="00B455DD"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2B6160">
              <w:rPr>
                <w:rFonts w:cs="Arial"/>
                <w:b/>
                <w:bCs/>
                <w:sz w:val="16"/>
                <w:szCs w:val="16"/>
                <w:lang w:val="ru-RU" w:eastAsia="ru-RU"/>
              </w:rPr>
              <w:t xml:space="preserve">Предоставленные физическим лицам ссуды и прочие требования, признаваемые ссудами </w:t>
            </w:r>
            <w:r>
              <w:rPr>
                <w:rFonts w:cs="Arial"/>
                <w:b/>
                <w:bCs/>
                <w:sz w:val="16"/>
                <w:szCs w:val="16"/>
                <w:lang w:val="ru-RU" w:eastAsia="ru-RU"/>
              </w:rPr>
              <w:t>(за минусом сформированных резервов)</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1 571 136</w:t>
            </w:r>
          </w:p>
        </w:tc>
        <w:tc>
          <w:tcPr>
            <w:tcW w:w="2031"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1 004 551</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ипотечные ссуды</w:t>
            </w:r>
          </w:p>
        </w:tc>
        <w:tc>
          <w:tcPr>
            <w:tcW w:w="1880"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391 176</w:t>
            </w:r>
          </w:p>
        </w:tc>
        <w:tc>
          <w:tcPr>
            <w:tcW w:w="2031"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13 537</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автокредиты</w:t>
            </w:r>
          </w:p>
        </w:tc>
        <w:tc>
          <w:tcPr>
            <w:tcW w:w="1880"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6 340</w:t>
            </w:r>
          </w:p>
        </w:tc>
        <w:tc>
          <w:tcPr>
            <w:tcW w:w="2031"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28 278</w:t>
            </w:r>
          </w:p>
        </w:tc>
      </w:tr>
      <w:tr w:rsidR="00CD349A" w:rsidRPr="00231781" w:rsidTr="002F5E50">
        <w:trPr>
          <w:trHeight w:val="318"/>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иные потребительские цели</w:t>
            </w:r>
          </w:p>
        </w:tc>
        <w:tc>
          <w:tcPr>
            <w:tcW w:w="1880"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1 173 620</w:t>
            </w:r>
          </w:p>
        </w:tc>
        <w:tc>
          <w:tcPr>
            <w:tcW w:w="2031"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962 736</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9B05B9" w:rsidRDefault="00CD349A" w:rsidP="002F5E50">
            <w:pPr>
              <w:overflowPunct/>
              <w:autoSpaceDE/>
              <w:autoSpaceDN/>
              <w:adjustRightInd/>
              <w:textAlignment w:val="auto"/>
              <w:rPr>
                <w:rFonts w:cs="Arial"/>
                <w:bCs/>
                <w:sz w:val="16"/>
                <w:szCs w:val="16"/>
                <w:lang w:val="ru-RU" w:eastAsia="ru-RU"/>
              </w:rPr>
            </w:pPr>
            <w:r>
              <w:rPr>
                <w:rFonts w:cs="Arial"/>
                <w:bCs/>
                <w:sz w:val="16"/>
                <w:szCs w:val="16"/>
                <w:lang w:val="ru-RU" w:eastAsia="ru-RU"/>
              </w:rPr>
              <w:t xml:space="preserve">                                                                                 </w:t>
            </w:r>
          </w:p>
          <w:p w:rsidR="00CD349A" w:rsidRPr="00052F2E" w:rsidRDefault="00CD349A" w:rsidP="002F5E50">
            <w:pPr>
              <w:overflowPunct/>
              <w:autoSpaceDE/>
              <w:autoSpaceDN/>
              <w:adjustRightInd/>
              <w:textAlignment w:val="auto"/>
              <w:rPr>
                <w:rFonts w:cs="Arial"/>
                <w:b/>
                <w:bCs/>
                <w:sz w:val="16"/>
                <w:szCs w:val="16"/>
                <w:lang w:val="ru-RU" w:eastAsia="ru-RU"/>
              </w:rPr>
            </w:pPr>
            <w:r w:rsidRPr="002B6160">
              <w:rPr>
                <w:rFonts w:cs="Arial"/>
                <w:b/>
                <w:bCs/>
                <w:sz w:val="16"/>
                <w:szCs w:val="16"/>
                <w:lang w:val="ru-RU" w:eastAsia="ru-RU"/>
              </w:rPr>
              <w:t xml:space="preserve">Предоставленные юридическим лицам ссуды и прочие требования, признаваемые ссудами </w:t>
            </w:r>
            <w:r>
              <w:rPr>
                <w:rFonts w:cs="Arial"/>
                <w:b/>
                <w:bCs/>
                <w:sz w:val="16"/>
                <w:szCs w:val="16"/>
                <w:lang w:val="ru-RU" w:eastAsia="ru-RU"/>
              </w:rPr>
              <w:t>(за минусом сформированных резервов)</w:t>
            </w:r>
            <w:r w:rsidRPr="00052F2E">
              <w:rPr>
                <w:rFonts w:cs="Arial"/>
                <w:b/>
                <w:bCs/>
                <w:sz w:val="16"/>
                <w:szCs w:val="16"/>
                <w:lang w:val="ru-RU" w:eastAsia="ru-RU"/>
              </w:rPr>
              <w:t>, всего в т.ч.:</w:t>
            </w:r>
          </w:p>
        </w:tc>
        <w:tc>
          <w:tcPr>
            <w:tcW w:w="1880"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3 405 695</w:t>
            </w:r>
          </w:p>
        </w:tc>
        <w:tc>
          <w:tcPr>
            <w:tcW w:w="2031" w:type="dxa"/>
            <w:tcBorders>
              <w:top w:val="nil"/>
              <w:left w:val="nil"/>
              <w:bottom w:val="nil"/>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3 459 031</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обрабатывающее производство</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99 038</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54 814</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и распределение электроэнергии, газа, воды</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233 665</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117 427</w:t>
            </w:r>
          </w:p>
        </w:tc>
      </w:tr>
      <w:tr w:rsidR="00CD349A" w:rsidRPr="00052F2E" w:rsidTr="002F5E50">
        <w:trPr>
          <w:trHeight w:val="450"/>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операции с недвижимым имуществом, аренда и предоставление услуг</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122 523</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110 143</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добыча полезных ископаемых</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9 080</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11 880</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сельское хозяйство, охота, лесное хозяйство</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133 367</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152 646</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строительство</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572 701</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719 319</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оптовая и розничная торговля, ремонт</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1 269 458</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980 313</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транспорт и связь</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260 217</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390 139</w:t>
            </w:r>
          </w:p>
        </w:tc>
      </w:tr>
      <w:tr w:rsidR="00CD349A" w:rsidRPr="00052F2E" w:rsidTr="002F5E50">
        <w:trPr>
          <w:trHeight w:val="450"/>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пищевых продуктов, включая напитки, и табачные изделия</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33 468</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61 377</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обработка древесины и производство изделий из дерева</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84 476</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109 988</w:t>
            </w:r>
          </w:p>
        </w:tc>
      </w:tr>
      <w:tr w:rsidR="00CD349A" w:rsidRPr="00052F2E" w:rsidTr="002F5E50">
        <w:trPr>
          <w:trHeight w:val="450"/>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целлюлозно-бумажное производство, издательская и полиграфическая деятельность</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5 190</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8 968</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кокса, нефтепродуктов и ядерных материалов</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химическое производство</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40 387</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22 164</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производство машин и оборудования</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11 599</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18 037</w:t>
            </w:r>
          </w:p>
        </w:tc>
      </w:tr>
      <w:tr w:rsidR="00CD349A" w:rsidRPr="00FC5BC1" w:rsidTr="002F5E50">
        <w:trPr>
          <w:trHeight w:val="255"/>
        </w:trPr>
        <w:tc>
          <w:tcPr>
            <w:tcW w:w="5460" w:type="dxa"/>
            <w:tcBorders>
              <w:top w:val="nil"/>
              <w:left w:val="nil"/>
              <w:bottom w:val="nil"/>
              <w:right w:val="nil"/>
            </w:tcBorders>
            <w:shd w:val="clear" w:color="auto" w:fill="auto"/>
            <w:vAlign w:val="bottom"/>
          </w:tcPr>
          <w:p w:rsidR="00CD349A" w:rsidRPr="00052F2E" w:rsidRDefault="00CD349A" w:rsidP="002F5E50">
            <w:pPr>
              <w:overflowPunct/>
              <w:autoSpaceDE/>
              <w:autoSpaceDN/>
              <w:adjustRightInd/>
              <w:textAlignment w:val="auto"/>
              <w:rPr>
                <w:rFonts w:cs="Arial"/>
                <w:sz w:val="16"/>
                <w:szCs w:val="16"/>
                <w:lang w:val="ru-RU" w:eastAsia="ru-RU"/>
              </w:rPr>
            </w:pPr>
            <w:r>
              <w:rPr>
                <w:rFonts w:cs="Arial"/>
                <w:sz w:val="16"/>
                <w:szCs w:val="16"/>
                <w:lang w:val="ru-RU" w:eastAsia="ru-RU"/>
              </w:rPr>
              <w:t>металлургическое производство и производство готовых металлических изделий</w:t>
            </w:r>
          </w:p>
        </w:tc>
        <w:tc>
          <w:tcPr>
            <w:tcW w:w="1880" w:type="dxa"/>
            <w:tcBorders>
              <w:top w:val="nil"/>
              <w:left w:val="nil"/>
              <w:bottom w:val="nil"/>
              <w:right w:val="nil"/>
            </w:tcBorders>
            <w:shd w:val="clear" w:color="auto" w:fill="auto"/>
            <w:vAlign w:val="bottom"/>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37 603</w:t>
            </w:r>
          </w:p>
        </w:tc>
        <w:tc>
          <w:tcPr>
            <w:tcW w:w="2031" w:type="dxa"/>
            <w:tcBorders>
              <w:top w:val="nil"/>
              <w:left w:val="nil"/>
              <w:bottom w:val="nil"/>
              <w:right w:val="nil"/>
            </w:tcBorders>
            <w:shd w:val="clear" w:color="auto" w:fill="auto"/>
            <w:vAlign w:val="bottom"/>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27 820</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 xml:space="preserve">производство </w:t>
            </w:r>
            <w:r>
              <w:rPr>
                <w:rFonts w:cs="Arial"/>
                <w:sz w:val="16"/>
                <w:szCs w:val="16"/>
                <w:lang w:val="ru-RU" w:eastAsia="ru-RU"/>
              </w:rPr>
              <w:t>прочих неметаллических минеральных продуктов</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11 168</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17 698</w:t>
            </w:r>
          </w:p>
        </w:tc>
      </w:tr>
      <w:tr w:rsidR="00CD349A" w:rsidRPr="00052F2E" w:rsidTr="002F5E50">
        <w:trPr>
          <w:trHeight w:val="255"/>
        </w:trPr>
        <w:tc>
          <w:tcPr>
            <w:tcW w:w="5460" w:type="dxa"/>
            <w:tcBorders>
              <w:top w:val="nil"/>
              <w:left w:val="nil"/>
              <w:bottom w:val="nil"/>
              <w:right w:val="nil"/>
            </w:tcBorders>
            <w:shd w:val="clear" w:color="auto" w:fill="auto"/>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прочие отрасли</w:t>
            </w:r>
          </w:p>
        </w:tc>
        <w:tc>
          <w:tcPr>
            <w:tcW w:w="1880"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481 755</w:t>
            </w:r>
          </w:p>
        </w:tc>
        <w:tc>
          <w:tcPr>
            <w:tcW w:w="2031" w:type="dxa"/>
            <w:tcBorders>
              <w:top w:val="nil"/>
              <w:left w:val="nil"/>
              <w:bottom w:val="nil"/>
              <w:right w:val="nil"/>
            </w:tcBorders>
            <w:shd w:val="clear" w:color="auto" w:fill="auto"/>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645 606</w:t>
            </w:r>
          </w:p>
        </w:tc>
      </w:tr>
      <w:tr w:rsidR="00CD349A" w:rsidRPr="00052F2E" w:rsidTr="002F5E50">
        <w:trPr>
          <w:trHeight w:val="255"/>
        </w:trPr>
        <w:tc>
          <w:tcPr>
            <w:tcW w:w="5460" w:type="dxa"/>
            <w:tcBorders>
              <w:top w:val="nil"/>
              <w:left w:val="nil"/>
              <w:bottom w:val="nil"/>
              <w:right w:val="nil"/>
            </w:tcBorders>
            <w:shd w:val="clear" w:color="auto" w:fill="auto"/>
            <w:vAlign w:val="bottom"/>
          </w:tcPr>
          <w:p w:rsidR="00CD349A" w:rsidRPr="00052F2E" w:rsidRDefault="00CD349A" w:rsidP="002F5E50">
            <w:pPr>
              <w:overflowPunct/>
              <w:autoSpaceDE/>
              <w:autoSpaceDN/>
              <w:adjustRightInd/>
              <w:textAlignment w:val="auto"/>
              <w:rPr>
                <w:rFonts w:cs="Arial"/>
                <w:sz w:val="16"/>
                <w:szCs w:val="16"/>
                <w:lang w:val="ru-RU" w:eastAsia="ru-RU"/>
              </w:rPr>
            </w:pPr>
            <w:r>
              <w:rPr>
                <w:rFonts w:cs="Arial"/>
                <w:sz w:val="16"/>
                <w:szCs w:val="16"/>
                <w:lang w:val="ru-RU" w:eastAsia="ru-RU"/>
              </w:rPr>
              <w:t>администрации, муниципальные образования</w:t>
            </w:r>
          </w:p>
        </w:tc>
        <w:tc>
          <w:tcPr>
            <w:tcW w:w="1880" w:type="dxa"/>
            <w:tcBorders>
              <w:top w:val="nil"/>
              <w:left w:val="nil"/>
              <w:bottom w:val="nil"/>
              <w:right w:val="nil"/>
            </w:tcBorders>
            <w:shd w:val="clear" w:color="auto" w:fill="auto"/>
            <w:vAlign w:val="bottom"/>
          </w:tcPr>
          <w:p w:rsidR="00CD349A" w:rsidRPr="00FC5BC1"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2031" w:type="dxa"/>
            <w:tcBorders>
              <w:top w:val="nil"/>
              <w:left w:val="nil"/>
              <w:bottom w:val="nil"/>
              <w:right w:val="nil"/>
            </w:tcBorders>
            <w:shd w:val="clear" w:color="auto" w:fill="auto"/>
            <w:vAlign w:val="bottom"/>
          </w:tcPr>
          <w:p w:rsidR="00CD349A" w:rsidRPr="00FC5BC1"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10 692</w:t>
            </w:r>
          </w:p>
        </w:tc>
      </w:tr>
      <w:tr w:rsidR="00CD349A" w:rsidRPr="00052F2E" w:rsidTr="00C54067">
        <w:trPr>
          <w:trHeight w:val="270"/>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523E9D">
              <w:rPr>
                <w:rFonts w:cs="Arial"/>
                <w:b/>
                <w:bCs/>
                <w:sz w:val="16"/>
                <w:szCs w:val="16"/>
                <w:lang w:val="ru-RU" w:eastAsia="ru-RU"/>
              </w:rPr>
              <w:t>Межбанковские кредиты и депозиты, требования, признаваемые ссудами</w:t>
            </w:r>
            <w:r>
              <w:rPr>
                <w:rFonts w:cs="Arial"/>
                <w:b/>
                <w:bCs/>
                <w:sz w:val="16"/>
                <w:szCs w:val="16"/>
                <w:lang w:val="ru-RU" w:eastAsia="ru-RU"/>
              </w:rPr>
              <w:t xml:space="preserve"> (за минусом сформированных резервов)</w:t>
            </w:r>
          </w:p>
        </w:tc>
        <w:tc>
          <w:tcPr>
            <w:tcW w:w="1880" w:type="dxa"/>
            <w:tcBorders>
              <w:top w:val="nil"/>
              <w:left w:val="nil"/>
              <w:bottom w:val="single" w:sz="4" w:space="0" w:color="auto"/>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1 384 226</w:t>
            </w:r>
          </w:p>
        </w:tc>
        <w:tc>
          <w:tcPr>
            <w:tcW w:w="2031" w:type="dxa"/>
            <w:tcBorders>
              <w:top w:val="nil"/>
              <w:left w:val="nil"/>
              <w:bottom w:val="single" w:sz="4" w:space="0" w:color="auto"/>
              <w:right w:val="nil"/>
            </w:tcBorders>
            <w:shd w:val="clear" w:color="auto" w:fill="auto"/>
            <w:noWrap/>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997 739</w:t>
            </w:r>
          </w:p>
        </w:tc>
      </w:tr>
      <w:tr w:rsidR="00CD349A" w:rsidRPr="00052F2E" w:rsidTr="00C54067">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 xml:space="preserve">Итого по кредитам </w:t>
            </w:r>
          </w:p>
        </w:tc>
        <w:tc>
          <w:tcPr>
            <w:tcW w:w="1880" w:type="dxa"/>
            <w:tcBorders>
              <w:top w:val="single" w:sz="4" w:space="0" w:color="auto"/>
              <w:left w:val="nil"/>
              <w:bottom w:val="double" w:sz="4" w:space="0" w:color="auto"/>
              <w:right w:val="nil"/>
            </w:tcBorders>
            <w:shd w:val="clear" w:color="auto" w:fill="auto"/>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sidRPr="005F1D43">
              <w:rPr>
                <w:rFonts w:cs="Arial"/>
                <w:b/>
                <w:bCs/>
                <w:sz w:val="16"/>
                <w:szCs w:val="16"/>
                <w:lang w:val="ru-RU" w:eastAsia="ru-RU"/>
              </w:rPr>
              <w:t>6 361 057</w:t>
            </w:r>
          </w:p>
        </w:tc>
        <w:tc>
          <w:tcPr>
            <w:tcW w:w="2031" w:type="dxa"/>
            <w:tcBorders>
              <w:top w:val="single" w:sz="4" w:space="0" w:color="auto"/>
              <w:left w:val="nil"/>
              <w:bottom w:val="double" w:sz="4" w:space="0" w:color="auto"/>
              <w:right w:val="nil"/>
            </w:tcBorders>
            <w:shd w:val="clear" w:color="auto" w:fill="auto"/>
            <w:vAlign w:val="bottom"/>
            <w:hideMark/>
          </w:tcPr>
          <w:p w:rsidR="00CD349A" w:rsidRPr="00523E9D"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5 461 321</w:t>
            </w:r>
          </w:p>
        </w:tc>
      </w:tr>
      <w:tr w:rsidR="00CD349A" w:rsidRPr="006C0DB6" w:rsidTr="00C54067">
        <w:trPr>
          <w:trHeight w:val="270"/>
        </w:trPr>
        <w:tc>
          <w:tcPr>
            <w:tcW w:w="9371" w:type="dxa"/>
            <w:gridSpan w:val="3"/>
            <w:tcBorders>
              <w:top w:val="double" w:sz="4" w:space="0" w:color="auto"/>
              <w:left w:val="nil"/>
              <w:right w:val="nil"/>
            </w:tcBorders>
            <w:shd w:val="clear" w:color="auto" w:fill="auto"/>
            <w:noWrap/>
            <w:vAlign w:val="bottom"/>
            <w:hideMark/>
          </w:tcPr>
          <w:p w:rsidR="00CD349A" w:rsidRPr="00CC0AE5" w:rsidRDefault="00CD349A" w:rsidP="002F5E50">
            <w:pPr>
              <w:overflowPunct/>
              <w:autoSpaceDE/>
              <w:autoSpaceDN/>
              <w:adjustRightInd/>
              <w:jc w:val="both"/>
              <w:textAlignment w:val="auto"/>
              <w:rPr>
                <w:rFonts w:cs="Arial"/>
                <w:b/>
                <w:szCs w:val="18"/>
                <w:lang w:val="ru-RU" w:eastAsia="ru-RU"/>
              </w:rPr>
            </w:pPr>
          </w:p>
          <w:p w:rsidR="00CD349A" w:rsidRPr="000809C4" w:rsidRDefault="00CD349A" w:rsidP="002F5E50">
            <w:pPr>
              <w:overflowPunct/>
              <w:autoSpaceDE/>
              <w:autoSpaceDN/>
              <w:adjustRightInd/>
              <w:jc w:val="both"/>
              <w:textAlignment w:val="auto"/>
              <w:rPr>
                <w:rFonts w:cs="Arial"/>
                <w:b/>
                <w:szCs w:val="18"/>
                <w:lang w:val="ru-RU" w:eastAsia="ru-RU"/>
              </w:rPr>
            </w:pPr>
            <w:r w:rsidRPr="000809C4">
              <w:rPr>
                <w:rFonts w:cs="Arial"/>
                <w:b/>
                <w:szCs w:val="18"/>
                <w:lang w:val="ru-RU" w:eastAsia="ru-RU"/>
              </w:rPr>
              <w:t>Структура ссудной задолженности по срокам погашения:</w:t>
            </w:r>
          </w:p>
          <w:p w:rsidR="00CD349A" w:rsidRPr="000809C4" w:rsidRDefault="00CD349A" w:rsidP="002F5E50">
            <w:pPr>
              <w:overflowPunct/>
              <w:autoSpaceDE/>
              <w:autoSpaceDN/>
              <w:adjustRightInd/>
              <w:jc w:val="both"/>
              <w:textAlignment w:val="auto"/>
              <w:rPr>
                <w:rFonts w:cs="Arial"/>
                <w:b/>
                <w:szCs w:val="18"/>
                <w:lang w:val="ru-RU" w:eastAsia="ru-RU"/>
              </w:rPr>
            </w:pPr>
          </w:p>
        </w:tc>
      </w:tr>
      <w:tr w:rsidR="00CD349A" w:rsidRPr="005B21B4" w:rsidTr="00C54067">
        <w:trPr>
          <w:trHeight w:val="270"/>
        </w:trPr>
        <w:tc>
          <w:tcPr>
            <w:tcW w:w="5460" w:type="dxa"/>
            <w:tcBorders>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срокам погашения</w:t>
            </w:r>
          </w:p>
        </w:tc>
        <w:tc>
          <w:tcPr>
            <w:tcW w:w="1880" w:type="dxa"/>
            <w:tcBorders>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.12.2018</w:t>
            </w:r>
          </w:p>
        </w:tc>
        <w:tc>
          <w:tcPr>
            <w:tcW w:w="2031" w:type="dxa"/>
            <w:tcBorders>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.12.2017</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физическим лицам, всего в т.ч.:</w:t>
            </w:r>
          </w:p>
        </w:tc>
        <w:tc>
          <w:tcPr>
            <w:tcW w:w="1880" w:type="dxa"/>
            <w:tcBorders>
              <w:top w:val="nil"/>
              <w:left w:val="nil"/>
              <w:bottom w:val="nil"/>
              <w:right w:val="nil"/>
            </w:tcBorders>
            <w:shd w:val="clear" w:color="auto" w:fill="auto"/>
            <w:noWrap/>
            <w:vAlign w:val="bottom"/>
            <w:hideMark/>
          </w:tcPr>
          <w:p w:rsidR="00CD349A" w:rsidRPr="004D2298" w:rsidRDefault="00CD349A" w:rsidP="002F5E50">
            <w:pPr>
              <w:overflowPunct/>
              <w:autoSpaceDE/>
              <w:autoSpaceDN/>
              <w:adjustRightInd/>
              <w:jc w:val="center"/>
              <w:textAlignment w:val="auto"/>
              <w:rPr>
                <w:rFonts w:cs="Arial"/>
                <w:b/>
                <w:bCs/>
                <w:sz w:val="16"/>
                <w:szCs w:val="16"/>
                <w:lang w:val="ru-RU" w:eastAsia="ru-RU"/>
              </w:rPr>
            </w:pPr>
            <w:r w:rsidRPr="004D2298">
              <w:rPr>
                <w:rFonts w:cs="Arial"/>
                <w:b/>
                <w:bCs/>
                <w:sz w:val="16"/>
                <w:szCs w:val="16"/>
                <w:lang w:val="ru-RU" w:eastAsia="ru-RU"/>
              </w:rPr>
              <w:t>1 571 136</w:t>
            </w:r>
          </w:p>
        </w:tc>
        <w:tc>
          <w:tcPr>
            <w:tcW w:w="2031" w:type="dxa"/>
            <w:tcBorders>
              <w:top w:val="nil"/>
              <w:left w:val="nil"/>
              <w:bottom w:val="nil"/>
              <w:right w:val="nil"/>
            </w:tcBorders>
            <w:shd w:val="clear" w:color="auto" w:fill="auto"/>
            <w:noWrap/>
            <w:vAlign w:val="bottom"/>
            <w:hideMark/>
          </w:tcPr>
          <w:p w:rsidR="00CD349A" w:rsidRPr="00326C35" w:rsidRDefault="00CD349A" w:rsidP="002F5E50">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1 004 551</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CD349A" w:rsidRPr="004D2298" w:rsidRDefault="00CD349A" w:rsidP="002F5E50">
            <w:pPr>
              <w:overflowPunct/>
              <w:autoSpaceDE/>
              <w:autoSpaceDN/>
              <w:adjustRightInd/>
              <w:jc w:val="center"/>
              <w:textAlignment w:val="auto"/>
              <w:rPr>
                <w:rFonts w:cs="Arial"/>
                <w:sz w:val="16"/>
                <w:szCs w:val="16"/>
                <w:lang w:val="ru-RU" w:eastAsia="ru-RU"/>
              </w:rPr>
            </w:pPr>
            <w:r w:rsidRPr="004D2298">
              <w:rPr>
                <w:rFonts w:cs="Arial"/>
                <w:sz w:val="16"/>
                <w:szCs w:val="16"/>
                <w:lang w:val="ru-RU" w:eastAsia="ru-RU"/>
              </w:rPr>
              <w:t>470 194</w:t>
            </w:r>
          </w:p>
        </w:tc>
        <w:tc>
          <w:tcPr>
            <w:tcW w:w="2031" w:type="dxa"/>
            <w:tcBorders>
              <w:top w:val="nil"/>
              <w:left w:val="nil"/>
              <w:bottom w:val="nil"/>
              <w:right w:val="nil"/>
            </w:tcBorders>
            <w:shd w:val="clear" w:color="auto" w:fill="auto"/>
            <w:noWrap/>
            <w:vAlign w:val="bottom"/>
            <w:hideMark/>
          </w:tcPr>
          <w:p w:rsidR="00CD349A" w:rsidRPr="00DB358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446 588</w:t>
            </w:r>
          </w:p>
        </w:tc>
      </w:tr>
      <w:tr w:rsidR="00CD349A" w:rsidRPr="005C301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noWrap/>
            <w:vAlign w:val="bottom"/>
            <w:hideMark/>
          </w:tcPr>
          <w:p w:rsidR="00CD349A" w:rsidRPr="004D2298" w:rsidRDefault="00CD349A" w:rsidP="002F5E50">
            <w:pPr>
              <w:overflowPunct/>
              <w:autoSpaceDE/>
              <w:autoSpaceDN/>
              <w:adjustRightInd/>
              <w:jc w:val="center"/>
              <w:textAlignment w:val="auto"/>
              <w:rPr>
                <w:rFonts w:cs="Arial"/>
                <w:sz w:val="16"/>
                <w:szCs w:val="16"/>
                <w:lang w:val="ru-RU" w:eastAsia="ru-RU"/>
              </w:rPr>
            </w:pPr>
            <w:r w:rsidRPr="004D2298">
              <w:rPr>
                <w:rFonts w:cs="Arial"/>
                <w:sz w:val="16"/>
                <w:szCs w:val="16"/>
                <w:lang w:val="ru-RU" w:eastAsia="ru-RU"/>
              </w:rPr>
              <w:t>548 310</w:t>
            </w:r>
          </w:p>
        </w:tc>
        <w:tc>
          <w:tcPr>
            <w:tcW w:w="2031" w:type="dxa"/>
            <w:tcBorders>
              <w:top w:val="nil"/>
              <w:left w:val="nil"/>
              <w:bottom w:val="nil"/>
              <w:right w:val="nil"/>
            </w:tcBorders>
            <w:shd w:val="clear" w:color="auto" w:fill="auto"/>
            <w:noWrap/>
            <w:vAlign w:val="bottom"/>
            <w:hideMark/>
          </w:tcPr>
          <w:p w:rsidR="00CD349A" w:rsidRPr="00DB358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471 669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shd w:val="clear" w:color="auto" w:fill="auto"/>
            <w:noWrap/>
            <w:vAlign w:val="bottom"/>
            <w:hideMark/>
          </w:tcPr>
          <w:p w:rsidR="00CD349A" w:rsidRPr="004D2298" w:rsidRDefault="00CD349A" w:rsidP="002F5E50">
            <w:pPr>
              <w:overflowPunct/>
              <w:autoSpaceDE/>
              <w:autoSpaceDN/>
              <w:adjustRightInd/>
              <w:jc w:val="center"/>
              <w:textAlignment w:val="auto"/>
              <w:rPr>
                <w:rFonts w:cs="Arial"/>
                <w:sz w:val="16"/>
                <w:szCs w:val="16"/>
                <w:lang w:val="ru-RU" w:eastAsia="ru-RU"/>
              </w:rPr>
            </w:pPr>
            <w:r w:rsidRPr="004D2298">
              <w:rPr>
                <w:rFonts w:cs="Arial"/>
                <w:sz w:val="16"/>
                <w:szCs w:val="16"/>
                <w:lang w:val="ru-RU" w:eastAsia="ru-RU"/>
              </w:rPr>
              <w:t>548 206</w:t>
            </w:r>
          </w:p>
        </w:tc>
        <w:tc>
          <w:tcPr>
            <w:tcW w:w="2031" w:type="dxa"/>
            <w:tcBorders>
              <w:top w:val="nil"/>
              <w:left w:val="nil"/>
              <w:bottom w:val="nil"/>
              <w:right w:val="nil"/>
            </w:tcBorders>
            <w:shd w:val="clear" w:color="auto" w:fill="auto"/>
            <w:noWrap/>
            <w:vAlign w:val="bottom"/>
            <w:hideMark/>
          </w:tcPr>
          <w:p w:rsidR="00CD349A" w:rsidRPr="00DB358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81 599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noWrap/>
            <w:vAlign w:val="bottom"/>
            <w:hideMark/>
          </w:tcPr>
          <w:p w:rsidR="00CD349A" w:rsidRPr="004D2298" w:rsidRDefault="00CD349A" w:rsidP="002F5E50">
            <w:pPr>
              <w:overflowPunct/>
              <w:autoSpaceDE/>
              <w:autoSpaceDN/>
              <w:adjustRightInd/>
              <w:jc w:val="center"/>
              <w:textAlignment w:val="auto"/>
              <w:rPr>
                <w:rFonts w:cs="Arial"/>
                <w:sz w:val="16"/>
                <w:szCs w:val="16"/>
                <w:lang w:val="ru-RU" w:eastAsia="ru-RU"/>
              </w:rPr>
            </w:pPr>
            <w:r w:rsidRPr="004D2298">
              <w:rPr>
                <w:rFonts w:cs="Arial"/>
                <w:sz w:val="16"/>
                <w:szCs w:val="16"/>
                <w:lang w:val="ru-RU" w:eastAsia="ru-RU"/>
              </w:rPr>
              <w:t>4 426</w:t>
            </w:r>
          </w:p>
        </w:tc>
        <w:tc>
          <w:tcPr>
            <w:tcW w:w="2031" w:type="dxa"/>
            <w:tcBorders>
              <w:top w:val="nil"/>
              <w:left w:val="nil"/>
              <w:bottom w:val="nil"/>
              <w:right w:val="nil"/>
            </w:tcBorders>
            <w:shd w:val="clear" w:color="auto" w:fill="auto"/>
            <w:noWrap/>
            <w:vAlign w:val="bottom"/>
            <w:hideMark/>
          </w:tcPr>
          <w:p w:rsidR="00CD349A" w:rsidRPr="00DB358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4 695</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юридическим лицам, всего в т.ч.:</w:t>
            </w:r>
          </w:p>
        </w:tc>
        <w:tc>
          <w:tcPr>
            <w:tcW w:w="1880" w:type="dxa"/>
            <w:tcBorders>
              <w:top w:val="nil"/>
              <w:left w:val="nil"/>
              <w:bottom w:val="nil"/>
              <w:right w:val="nil"/>
            </w:tcBorders>
            <w:shd w:val="clear" w:color="auto" w:fill="auto"/>
            <w:noWrap/>
            <w:vAlign w:val="bottom"/>
            <w:hideMark/>
          </w:tcPr>
          <w:p w:rsidR="00CD349A" w:rsidRPr="007153EF"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3 405 695</w:t>
            </w:r>
          </w:p>
        </w:tc>
        <w:tc>
          <w:tcPr>
            <w:tcW w:w="2031" w:type="dxa"/>
            <w:tcBorders>
              <w:top w:val="nil"/>
              <w:left w:val="nil"/>
              <w:bottom w:val="nil"/>
              <w:right w:val="nil"/>
            </w:tcBorders>
            <w:shd w:val="clear" w:color="auto" w:fill="auto"/>
            <w:noWrap/>
            <w:vAlign w:val="bottom"/>
            <w:hideMark/>
          </w:tcPr>
          <w:p w:rsidR="00CD349A" w:rsidRPr="007153EF" w:rsidRDefault="00CD349A" w:rsidP="002F5E50">
            <w:pPr>
              <w:overflowPunct/>
              <w:autoSpaceDE/>
              <w:autoSpaceDN/>
              <w:adjustRightInd/>
              <w:jc w:val="center"/>
              <w:textAlignment w:val="auto"/>
              <w:rPr>
                <w:rFonts w:cs="Arial"/>
                <w:b/>
                <w:bCs/>
                <w:sz w:val="16"/>
                <w:szCs w:val="16"/>
                <w:lang w:val="ru-RU" w:eastAsia="ru-RU"/>
              </w:rPr>
            </w:pPr>
            <w:r w:rsidRPr="007153EF">
              <w:rPr>
                <w:rFonts w:cs="Arial"/>
                <w:b/>
                <w:bCs/>
                <w:sz w:val="16"/>
                <w:szCs w:val="16"/>
                <w:lang w:val="ru-RU" w:eastAsia="ru-RU"/>
              </w:rPr>
              <w:t>3</w:t>
            </w:r>
            <w:r>
              <w:rPr>
                <w:rFonts w:cs="Arial"/>
                <w:b/>
                <w:bCs/>
                <w:sz w:val="16"/>
                <w:szCs w:val="16"/>
                <w:lang w:val="ru-RU" w:eastAsia="ru-RU"/>
              </w:rPr>
              <w:t> 459 031</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2 364 086</w:t>
            </w:r>
          </w:p>
        </w:tc>
        <w:tc>
          <w:tcPr>
            <w:tcW w:w="2031"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sidRPr="007153EF">
              <w:rPr>
                <w:rFonts w:cs="Arial"/>
                <w:sz w:val="16"/>
                <w:szCs w:val="16"/>
                <w:lang w:val="ru-RU" w:eastAsia="ru-RU"/>
              </w:rPr>
              <w:t>2</w:t>
            </w:r>
            <w:r>
              <w:rPr>
                <w:rFonts w:cs="Arial"/>
                <w:sz w:val="16"/>
                <w:szCs w:val="16"/>
                <w:lang w:val="ru-RU" w:eastAsia="ru-RU"/>
              </w:rPr>
              <w:t> 298 489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809 201</w:t>
            </w:r>
          </w:p>
        </w:tc>
        <w:tc>
          <w:tcPr>
            <w:tcW w:w="2031"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1 044 396</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105 791</w:t>
            </w:r>
          </w:p>
        </w:tc>
        <w:tc>
          <w:tcPr>
            <w:tcW w:w="2031"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114 120</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126 617</w:t>
            </w:r>
          </w:p>
        </w:tc>
        <w:tc>
          <w:tcPr>
            <w:tcW w:w="2031" w:type="dxa"/>
            <w:tcBorders>
              <w:top w:val="nil"/>
              <w:left w:val="nil"/>
              <w:bottom w:val="nil"/>
              <w:right w:val="nil"/>
            </w:tcBorders>
            <w:shd w:val="clear" w:color="auto" w:fill="auto"/>
            <w:vAlign w:val="bottom"/>
            <w:hideMark/>
          </w:tcPr>
          <w:p w:rsidR="00CD349A" w:rsidRPr="007153EF"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2 026</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Кредиты кредитным организациям, всего в т.ч.:</w:t>
            </w:r>
          </w:p>
        </w:tc>
        <w:tc>
          <w:tcPr>
            <w:tcW w:w="1880" w:type="dxa"/>
            <w:tcBorders>
              <w:top w:val="nil"/>
              <w:left w:val="nil"/>
              <w:bottom w:val="nil"/>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1 384 226</w:t>
            </w:r>
          </w:p>
        </w:tc>
        <w:tc>
          <w:tcPr>
            <w:tcW w:w="2031" w:type="dxa"/>
            <w:tcBorders>
              <w:top w:val="nil"/>
              <w:left w:val="nil"/>
              <w:bottom w:val="nil"/>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997 739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1 375 000</w:t>
            </w:r>
          </w:p>
        </w:tc>
        <w:tc>
          <w:tcPr>
            <w:tcW w:w="2031" w:type="dxa"/>
            <w:tcBorders>
              <w:top w:val="nil"/>
              <w:left w:val="nil"/>
              <w:bottom w:val="nil"/>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896 119</w:t>
            </w:r>
          </w:p>
        </w:tc>
      </w:tr>
      <w:tr w:rsidR="00CD349A" w:rsidRPr="00052F2E" w:rsidTr="002F5E50">
        <w:trPr>
          <w:trHeight w:val="270"/>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9 226</w:t>
            </w:r>
          </w:p>
        </w:tc>
        <w:tc>
          <w:tcPr>
            <w:tcW w:w="2031" w:type="dxa"/>
            <w:tcBorders>
              <w:top w:val="nil"/>
              <w:left w:val="nil"/>
              <w:bottom w:val="single" w:sz="4" w:space="0" w:color="auto"/>
              <w:right w:val="nil"/>
            </w:tcBorders>
            <w:shd w:val="clear" w:color="auto" w:fill="auto"/>
            <w:noWrap/>
            <w:vAlign w:val="bottom"/>
            <w:hideMark/>
          </w:tcPr>
          <w:p w:rsidR="00CD349A" w:rsidRPr="00CC00C7"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101 620</w:t>
            </w:r>
          </w:p>
        </w:tc>
      </w:tr>
      <w:tr w:rsidR="00CD349A" w:rsidRPr="00052F2E" w:rsidTr="002F5E5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lastRenderedPageBreak/>
              <w:t xml:space="preserve">Итого по кредитам </w:t>
            </w:r>
          </w:p>
        </w:tc>
        <w:tc>
          <w:tcPr>
            <w:tcW w:w="1880" w:type="dxa"/>
            <w:tcBorders>
              <w:top w:val="single" w:sz="4" w:space="0" w:color="auto"/>
              <w:left w:val="nil"/>
              <w:bottom w:val="double" w:sz="4" w:space="0" w:color="auto"/>
              <w:right w:val="nil"/>
            </w:tcBorders>
            <w:shd w:val="clear" w:color="auto" w:fill="auto"/>
            <w:noWrap/>
            <w:vAlign w:val="bottom"/>
            <w:hideMark/>
          </w:tcPr>
          <w:p w:rsidR="00CD349A" w:rsidRPr="00C96303" w:rsidRDefault="00CD349A" w:rsidP="002F5E50">
            <w:pPr>
              <w:overflowPunct/>
              <w:autoSpaceDE/>
              <w:autoSpaceDN/>
              <w:adjustRightInd/>
              <w:jc w:val="center"/>
              <w:textAlignment w:val="auto"/>
              <w:rPr>
                <w:rFonts w:cs="Arial"/>
                <w:b/>
                <w:bCs/>
                <w:sz w:val="16"/>
                <w:szCs w:val="16"/>
                <w:lang w:val="ru-RU" w:eastAsia="ru-RU"/>
              </w:rPr>
            </w:pPr>
            <w:r w:rsidRPr="005F1D43">
              <w:rPr>
                <w:rFonts w:cs="Arial"/>
                <w:b/>
                <w:bCs/>
                <w:sz w:val="16"/>
                <w:szCs w:val="16"/>
                <w:lang w:val="ru-RU" w:eastAsia="ru-RU"/>
              </w:rPr>
              <w:t>6 361 057</w:t>
            </w:r>
          </w:p>
        </w:tc>
        <w:tc>
          <w:tcPr>
            <w:tcW w:w="2031" w:type="dxa"/>
            <w:tcBorders>
              <w:top w:val="single" w:sz="4" w:space="0" w:color="auto"/>
              <w:left w:val="nil"/>
              <w:bottom w:val="double" w:sz="4" w:space="0" w:color="auto"/>
              <w:right w:val="nil"/>
            </w:tcBorders>
            <w:shd w:val="clear" w:color="auto" w:fill="auto"/>
            <w:noWrap/>
            <w:vAlign w:val="bottom"/>
            <w:hideMark/>
          </w:tcPr>
          <w:p w:rsidR="00CD349A" w:rsidRPr="00EF4B55" w:rsidRDefault="00CD349A" w:rsidP="002F5E50">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5 461 321</w:t>
            </w:r>
          </w:p>
        </w:tc>
      </w:tr>
      <w:tr w:rsidR="00CD349A" w:rsidRPr="006C0DB6" w:rsidTr="002F5E50">
        <w:trPr>
          <w:trHeight w:val="270"/>
        </w:trPr>
        <w:tc>
          <w:tcPr>
            <w:tcW w:w="9371" w:type="dxa"/>
            <w:gridSpan w:val="3"/>
            <w:tcBorders>
              <w:top w:val="double" w:sz="4" w:space="0" w:color="auto"/>
              <w:left w:val="nil"/>
              <w:bottom w:val="single" w:sz="4" w:space="0" w:color="auto"/>
              <w:right w:val="nil"/>
            </w:tcBorders>
            <w:shd w:val="clear" w:color="auto" w:fill="auto"/>
            <w:noWrap/>
            <w:vAlign w:val="bottom"/>
            <w:hideMark/>
          </w:tcPr>
          <w:p w:rsidR="00CD349A" w:rsidRPr="000809C4" w:rsidRDefault="00CD349A" w:rsidP="002F5E50">
            <w:pPr>
              <w:overflowPunct/>
              <w:autoSpaceDE/>
              <w:autoSpaceDN/>
              <w:adjustRightInd/>
              <w:jc w:val="both"/>
              <w:textAlignment w:val="auto"/>
              <w:rPr>
                <w:rFonts w:cs="Arial"/>
                <w:b/>
                <w:szCs w:val="18"/>
                <w:lang w:val="ru-RU" w:eastAsia="ru-RU"/>
              </w:rPr>
            </w:pPr>
          </w:p>
          <w:p w:rsidR="00CD349A" w:rsidRPr="000809C4" w:rsidRDefault="00CD349A" w:rsidP="002F5E50">
            <w:pPr>
              <w:overflowPunct/>
              <w:autoSpaceDE/>
              <w:autoSpaceDN/>
              <w:adjustRightInd/>
              <w:jc w:val="both"/>
              <w:textAlignment w:val="auto"/>
              <w:rPr>
                <w:rFonts w:cs="Arial"/>
                <w:b/>
                <w:szCs w:val="18"/>
                <w:lang w:val="ru-RU" w:eastAsia="ru-RU"/>
              </w:rPr>
            </w:pPr>
            <w:r w:rsidRPr="000809C4">
              <w:rPr>
                <w:rFonts w:cs="Arial"/>
                <w:b/>
                <w:szCs w:val="18"/>
                <w:lang w:val="ru-RU" w:eastAsia="ru-RU"/>
              </w:rPr>
              <w:t xml:space="preserve"> Структура ссудной задолженности по срокам до погашения:</w:t>
            </w:r>
          </w:p>
          <w:p w:rsidR="00CD349A" w:rsidRPr="000809C4" w:rsidRDefault="00CD349A" w:rsidP="002F5E50">
            <w:pPr>
              <w:overflowPunct/>
              <w:autoSpaceDE/>
              <w:autoSpaceDN/>
              <w:adjustRightInd/>
              <w:jc w:val="both"/>
              <w:textAlignment w:val="auto"/>
              <w:rPr>
                <w:rFonts w:cs="Arial"/>
                <w:b/>
                <w:szCs w:val="18"/>
                <w:lang w:val="ru-RU" w:eastAsia="ru-RU"/>
              </w:rPr>
            </w:pPr>
          </w:p>
        </w:tc>
      </w:tr>
      <w:tr w:rsidR="00CD349A" w:rsidRPr="005B21B4" w:rsidTr="002F5E5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Сроки, оставшиеся до полного погашения</w:t>
            </w:r>
          </w:p>
        </w:tc>
        <w:tc>
          <w:tcPr>
            <w:tcW w:w="188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.12.2018</w:t>
            </w:r>
          </w:p>
        </w:tc>
        <w:tc>
          <w:tcPr>
            <w:tcW w:w="2031"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.12.2017</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1 года</w:t>
            </w:r>
          </w:p>
        </w:tc>
        <w:tc>
          <w:tcPr>
            <w:tcW w:w="1880"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4 209 280</w:t>
            </w:r>
          </w:p>
        </w:tc>
        <w:tc>
          <w:tcPr>
            <w:tcW w:w="2031"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3 641 196</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от 1 до 3-х лет</w:t>
            </w:r>
          </w:p>
        </w:tc>
        <w:tc>
          <w:tcPr>
            <w:tcW w:w="1880"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1 357 511</w:t>
            </w:r>
          </w:p>
        </w:tc>
        <w:tc>
          <w:tcPr>
            <w:tcW w:w="2031"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1 516 065</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срок свыше 3-х</w:t>
            </w:r>
            <w:r>
              <w:rPr>
                <w:rFonts w:cs="Arial"/>
                <w:sz w:val="16"/>
                <w:szCs w:val="16"/>
                <w:lang w:val="ru-RU" w:eastAsia="ru-RU"/>
              </w:rPr>
              <w:t xml:space="preserve"> </w:t>
            </w:r>
            <w:r w:rsidRPr="00052F2E">
              <w:rPr>
                <w:rFonts w:cs="Arial"/>
                <w:sz w:val="16"/>
                <w:szCs w:val="16"/>
                <w:lang w:val="ru-RU" w:eastAsia="ru-RU"/>
              </w:rPr>
              <w:t>лет</w:t>
            </w:r>
          </w:p>
        </w:tc>
        <w:tc>
          <w:tcPr>
            <w:tcW w:w="1880"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653 997</w:t>
            </w:r>
          </w:p>
        </w:tc>
        <w:tc>
          <w:tcPr>
            <w:tcW w:w="2031"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195 719</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просроченные</w:t>
            </w:r>
          </w:p>
        </w:tc>
        <w:tc>
          <w:tcPr>
            <w:tcW w:w="1880"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131 043</w:t>
            </w:r>
          </w:p>
        </w:tc>
        <w:tc>
          <w:tcPr>
            <w:tcW w:w="2031" w:type="dxa"/>
            <w:tcBorders>
              <w:top w:val="nil"/>
              <w:left w:val="nil"/>
              <w:bottom w:val="nil"/>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6 721</w:t>
            </w:r>
          </w:p>
        </w:tc>
      </w:tr>
      <w:tr w:rsidR="00CD349A" w:rsidRPr="00052F2E" w:rsidTr="002F5E50">
        <w:trPr>
          <w:trHeight w:val="270"/>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до востребования</w:t>
            </w:r>
          </w:p>
        </w:tc>
        <w:tc>
          <w:tcPr>
            <w:tcW w:w="1880" w:type="dxa"/>
            <w:tcBorders>
              <w:top w:val="nil"/>
              <w:left w:val="nil"/>
              <w:bottom w:val="single" w:sz="4" w:space="0" w:color="auto"/>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9 226</w:t>
            </w:r>
          </w:p>
        </w:tc>
        <w:tc>
          <w:tcPr>
            <w:tcW w:w="2031" w:type="dxa"/>
            <w:tcBorders>
              <w:top w:val="nil"/>
              <w:left w:val="nil"/>
              <w:bottom w:val="single" w:sz="4" w:space="0" w:color="auto"/>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101 620</w:t>
            </w:r>
          </w:p>
        </w:tc>
      </w:tr>
      <w:tr w:rsidR="00CD349A" w:rsidRPr="00052F2E" w:rsidTr="002F5E5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b/>
                <w:bCs/>
                <w:sz w:val="16"/>
                <w:szCs w:val="16"/>
                <w:lang w:val="ru-RU" w:eastAsia="ru-RU"/>
              </w:rPr>
            </w:pPr>
            <w:r w:rsidRPr="005F1D43">
              <w:rPr>
                <w:rFonts w:cs="Arial"/>
                <w:b/>
                <w:bCs/>
                <w:sz w:val="16"/>
                <w:szCs w:val="16"/>
                <w:lang w:val="ru-RU" w:eastAsia="ru-RU"/>
              </w:rPr>
              <w:t>6 361 057</w:t>
            </w:r>
          </w:p>
        </w:tc>
        <w:tc>
          <w:tcPr>
            <w:tcW w:w="2031" w:type="dxa"/>
            <w:tcBorders>
              <w:top w:val="single" w:sz="4" w:space="0" w:color="auto"/>
              <w:left w:val="nil"/>
              <w:bottom w:val="double" w:sz="4" w:space="0" w:color="auto"/>
              <w:right w:val="nil"/>
            </w:tcBorders>
            <w:shd w:val="clear" w:color="auto" w:fill="auto"/>
            <w:noWrap/>
            <w:vAlign w:val="bottom"/>
            <w:hideMark/>
          </w:tcPr>
          <w:p w:rsidR="00CD349A" w:rsidRPr="00C321EB"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5 461 321</w:t>
            </w:r>
          </w:p>
        </w:tc>
      </w:tr>
      <w:tr w:rsidR="00CD349A" w:rsidRPr="006C0DB6" w:rsidTr="002F5E50">
        <w:trPr>
          <w:trHeight w:val="270"/>
        </w:trPr>
        <w:tc>
          <w:tcPr>
            <w:tcW w:w="9371" w:type="dxa"/>
            <w:gridSpan w:val="3"/>
            <w:tcBorders>
              <w:top w:val="double" w:sz="4" w:space="0" w:color="auto"/>
              <w:left w:val="nil"/>
              <w:bottom w:val="single" w:sz="4" w:space="0" w:color="auto"/>
              <w:right w:val="nil"/>
            </w:tcBorders>
            <w:shd w:val="clear" w:color="auto" w:fill="auto"/>
            <w:noWrap/>
            <w:vAlign w:val="bottom"/>
            <w:hideMark/>
          </w:tcPr>
          <w:p w:rsidR="00CD349A" w:rsidRPr="007F1F9B" w:rsidRDefault="00CD349A" w:rsidP="002F5E50">
            <w:pPr>
              <w:overflowPunct/>
              <w:autoSpaceDE/>
              <w:autoSpaceDN/>
              <w:adjustRightInd/>
              <w:jc w:val="both"/>
              <w:textAlignment w:val="auto"/>
              <w:rPr>
                <w:rFonts w:cs="Arial"/>
                <w:szCs w:val="18"/>
                <w:lang w:val="ru-RU" w:eastAsia="ru-RU"/>
              </w:rPr>
            </w:pPr>
          </w:p>
          <w:p w:rsidR="00CD349A" w:rsidRPr="000809C4" w:rsidRDefault="00CD349A" w:rsidP="002F5E50">
            <w:pPr>
              <w:overflowPunct/>
              <w:autoSpaceDE/>
              <w:autoSpaceDN/>
              <w:adjustRightInd/>
              <w:jc w:val="both"/>
              <w:textAlignment w:val="auto"/>
              <w:rPr>
                <w:rFonts w:cs="Arial"/>
                <w:b/>
                <w:szCs w:val="18"/>
                <w:lang w:val="ru-RU" w:eastAsia="ru-RU"/>
              </w:rPr>
            </w:pPr>
            <w:r w:rsidRPr="000809C4">
              <w:rPr>
                <w:rFonts w:cs="Arial"/>
                <w:b/>
                <w:szCs w:val="18"/>
                <w:lang w:val="ru-RU" w:eastAsia="ru-RU"/>
              </w:rPr>
              <w:t>Структура ссудной задолженности по географическим зонам:</w:t>
            </w:r>
          </w:p>
          <w:p w:rsidR="00CD349A" w:rsidRPr="007F1F9B" w:rsidRDefault="00CD349A" w:rsidP="002F5E50">
            <w:pPr>
              <w:overflowPunct/>
              <w:autoSpaceDE/>
              <w:autoSpaceDN/>
              <w:adjustRightInd/>
              <w:jc w:val="both"/>
              <w:textAlignment w:val="auto"/>
              <w:rPr>
                <w:rFonts w:cs="Arial"/>
                <w:szCs w:val="18"/>
                <w:lang w:val="ru-RU" w:eastAsia="ru-RU"/>
              </w:rPr>
            </w:pPr>
          </w:p>
        </w:tc>
      </w:tr>
      <w:tr w:rsidR="00CD349A" w:rsidRPr="005B21B4" w:rsidTr="002F5E50">
        <w:trPr>
          <w:trHeight w:val="270"/>
        </w:trPr>
        <w:tc>
          <w:tcPr>
            <w:tcW w:w="546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По географическим зонам</w:t>
            </w:r>
          </w:p>
        </w:tc>
        <w:tc>
          <w:tcPr>
            <w:tcW w:w="188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.12.2018</w:t>
            </w:r>
          </w:p>
        </w:tc>
        <w:tc>
          <w:tcPr>
            <w:tcW w:w="2031"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.12.2017</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Украина</w:t>
            </w:r>
          </w:p>
        </w:tc>
        <w:tc>
          <w:tcPr>
            <w:tcW w:w="188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5</w:t>
            </w:r>
          </w:p>
        </w:tc>
        <w:tc>
          <w:tcPr>
            <w:tcW w:w="2031"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54</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Беларусь</w:t>
            </w:r>
          </w:p>
        </w:tc>
        <w:tc>
          <w:tcPr>
            <w:tcW w:w="188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031"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Литва</w:t>
            </w:r>
          </w:p>
        </w:tc>
        <w:tc>
          <w:tcPr>
            <w:tcW w:w="188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c>
          <w:tcPr>
            <w:tcW w:w="2031"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sz w:val="16"/>
                <w:szCs w:val="16"/>
                <w:lang w:val="ru-RU" w:eastAsia="ru-RU"/>
              </w:rPr>
            </w:pPr>
            <w:r w:rsidRPr="00052F2E">
              <w:rPr>
                <w:rFonts w:cs="Arial"/>
                <w:sz w:val="16"/>
                <w:szCs w:val="16"/>
                <w:lang w:val="ru-RU" w:eastAsia="ru-RU"/>
              </w:rPr>
              <w:t>-</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Pr>
                <w:rFonts w:cs="Arial"/>
                <w:sz w:val="16"/>
                <w:szCs w:val="16"/>
                <w:lang w:val="ru-RU" w:eastAsia="ru-RU"/>
              </w:rPr>
              <w:t>Молдова</w:t>
            </w:r>
          </w:p>
        </w:tc>
        <w:tc>
          <w:tcPr>
            <w:tcW w:w="1880"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c>
          <w:tcPr>
            <w:tcW w:w="2031"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r>
      <w:tr w:rsidR="00CD349A" w:rsidRPr="005B21B4"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Австрия</w:t>
            </w:r>
          </w:p>
        </w:tc>
        <w:tc>
          <w:tcPr>
            <w:tcW w:w="1880"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c>
          <w:tcPr>
            <w:tcW w:w="2031"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w:t>
            </w:r>
          </w:p>
        </w:tc>
      </w:tr>
      <w:tr w:rsidR="00CD349A" w:rsidRPr="005B21B4" w:rsidTr="002F5E50">
        <w:trPr>
          <w:trHeight w:val="255"/>
        </w:trPr>
        <w:tc>
          <w:tcPr>
            <w:tcW w:w="5460" w:type="dxa"/>
            <w:tcBorders>
              <w:top w:val="nil"/>
              <w:left w:val="nil"/>
              <w:bottom w:val="nil"/>
              <w:right w:val="nil"/>
            </w:tcBorders>
            <w:shd w:val="clear" w:color="auto" w:fill="auto"/>
            <w:noWrap/>
            <w:vAlign w:val="bottom"/>
          </w:tcPr>
          <w:p w:rsidR="00CD349A" w:rsidRPr="00052F2E" w:rsidRDefault="00CD349A" w:rsidP="002F5E50">
            <w:pPr>
              <w:overflowPunct/>
              <w:autoSpaceDE/>
              <w:autoSpaceDN/>
              <w:adjustRightInd/>
              <w:textAlignment w:val="auto"/>
              <w:rPr>
                <w:rFonts w:cs="Arial"/>
                <w:sz w:val="16"/>
                <w:szCs w:val="16"/>
                <w:lang w:val="ru-RU" w:eastAsia="ru-RU"/>
              </w:rPr>
            </w:pPr>
            <w:r w:rsidRPr="00DC2CC6">
              <w:rPr>
                <w:rFonts w:cs="Arial"/>
                <w:sz w:val="16"/>
                <w:szCs w:val="16"/>
                <w:lang w:val="ru-RU" w:eastAsia="ru-RU"/>
              </w:rPr>
              <w:t>Великобритания</w:t>
            </w:r>
          </w:p>
        </w:tc>
        <w:tc>
          <w:tcPr>
            <w:tcW w:w="1880" w:type="dxa"/>
            <w:tcBorders>
              <w:top w:val="nil"/>
              <w:left w:val="nil"/>
              <w:bottom w:val="nil"/>
              <w:right w:val="nil"/>
            </w:tcBorders>
            <w:shd w:val="clear" w:color="auto" w:fill="auto"/>
            <w:noWrap/>
            <w:vAlign w:val="bottom"/>
          </w:tcPr>
          <w:p w:rsidR="00CD349A" w:rsidRPr="00267EBC"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29 030</w:t>
            </w:r>
          </w:p>
        </w:tc>
        <w:tc>
          <w:tcPr>
            <w:tcW w:w="2031" w:type="dxa"/>
            <w:tcBorders>
              <w:top w:val="nil"/>
              <w:left w:val="nil"/>
              <w:bottom w:val="nil"/>
              <w:right w:val="nil"/>
            </w:tcBorders>
            <w:shd w:val="clear" w:color="auto" w:fill="auto"/>
            <w:noWrap/>
            <w:vAlign w:val="bottom"/>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44 283</w:t>
            </w:r>
          </w:p>
        </w:tc>
      </w:tr>
      <w:tr w:rsidR="00CD349A" w:rsidRPr="00052F2E" w:rsidTr="002F5E50">
        <w:trPr>
          <w:trHeight w:val="255"/>
        </w:trPr>
        <w:tc>
          <w:tcPr>
            <w:tcW w:w="546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Всего кредиты, предоставленные клиентам - нерезидентам</w:t>
            </w:r>
          </w:p>
        </w:tc>
        <w:tc>
          <w:tcPr>
            <w:tcW w:w="1880"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29 035</w:t>
            </w:r>
          </w:p>
        </w:tc>
        <w:tc>
          <w:tcPr>
            <w:tcW w:w="2031" w:type="dxa"/>
            <w:tcBorders>
              <w:top w:val="nil"/>
              <w:left w:val="nil"/>
              <w:bottom w:val="nil"/>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44 337</w:t>
            </w:r>
          </w:p>
        </w:tc>
      </w:tr>
      <w:tr w:rsidR="00CD349A" w:rsidRPr="00052F2E" w:rsidTr="002F5E50">
        <w:trPr>
          <w:trHeight w:val="270"/>
        </w:trPr>
        <w:tc>
          <w:tcPr>
            <w:tcW w:w="5460" w:type="dxa"/>
            <w:tcBorders>
              <w:top w:val="nil"/>
              <w:left w:val="nil"/>
              <w:bottom w:val="sing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052F2E">
              <w:rPr>
                <w:rFonts w:cs="Arial"/>
                <w:sz w:val="16"/>
                <w:szCs w:val="16"/>
                <w:lang w:val="ru-RU" w:eastAsia="ru-RU"/>
              </w:rPr>
              <w:t>Россия</w:t>
            </w:r>
          </w:p>
        </w:tc>
        <w:tc>
          <w:tcPr>
            <w:tcW w:w="1880" w:type="dxa"/>
            <w:tcBorders>
              <w:top w:val="nil"/>
              <w:left w:val="nil"/>
              <w:bottom w:val="single" w:sz="4" w:space="0" w:color="auto"/>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6 332 022</w:t>
            </w:r>
          </w:p>
        </w:tc>
        <w:tc>
          <w:tcPr>
            <w:tcW w:w="2031" w:type="dxa"/>
            <w:tcBorders>
              <w:top w:val="nil"/>
              <w:left w:val="nil"/>
              <w:bottom w:val="single" w:sz="4" w:space="0" w:color="auto"/>
              <w:right w:val="nil"/>
            </w:tcBorders>
            <w:shd w:val="clear" w:color="auto" w:fill="auto"/>
            <w:noWrap/>
            <w:vAlign w:val="bottom"/>
            <w:hideMark/>
          </w:tcPr>
          <w:p w:rsidR="00CD349A" w:rsidRPr="000A2294" w:rsidRDefault="00CD349A" w:rsidP="002F5E50">
            <w:pPr>
              <w:overflowPunct/>
              <w:autoSpaceDE/>
              <w:autoSpaceDN/>
              <w:adjustRightInd/>
              <w:jc w:val="center"/>
              <w:textAlignment w:val="auto"/>
              <w:rPr>
                <w:rFonts w:cs="Arial"/>
                <w:sz w:val="16"/>
                <w:szCs w:val="16"/>
                <w:highlight w:val="yellow"/>
                <w:lang w:val="ru-RU" w:eastAsia="ru-RU"/>
              </w:rPr>
            </w:pPr>
            <w:r>
              <w:rPr>
                <w:rFonts w:cs="Arial"/>
                <w:sz w:val="16"/>
                <w:szCs w:val="16"/>
                <w:lang w:val="ru-RU" w:eastAsia="ru-RU"/>
              </w:rPr>
              <w:t>5 416 984</w:t>
            </w:r>
          </w:p>
        </w:tc>
      </w:tr>
      <w:tr w:rsidR="00CD349A" w:rsidRPr="00052F2E" w:rsidTr="002F5E50">
        <w:trPr>
          <w:trHeight w:val="285"/>
        </w:trPr>
        <w:tc>
          <w:tcPr>
            <w:tcW w:w="546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sidRPr="00052F2E">
              <w:rPr>
                <w:rFonts w:cs="Arial"/>
                <w:b/>
                <w:bCs/>
                <w:sz w:val="16"/>
                <w:szCs w:val="16"/>
                <w:lang w:val="ru-RU" w:eastAsia="ru-RU"/>
              </w:rPr>
              <w:t>Итого по кредитам</w:t>
            </w:r>
          </w:p>
        </w:tc>
        <w:tc>
          <w:tcPr>
            <w:tcW w:w="188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sidRPr="005F1D43">
              <w:rPr>
                <w:rFonts w:cs="Arial"/>
                <w:b/>
                <w:bCs/>
                <w:sz w:val="16"/>
                <w:szCs w:val="16"/>
                <w:lang w:val="ru-RU" w:eastAsia="ru-RU"/>
              </w:rPr>
              <w:t>6 361 057</w:t>
            </w:r>
          </w:p>
        </w:tc>
        <w:tc>
          <w:tcPr>
            <w:tcW w:w="2031"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5 461 321</w:t>
            </w:r>
          </w:p>
        </w:tc>
      </w:tr>
    </w:tbl>
    <w:p w:rsidR="006A4547" w:rsidRDefault="006A4547" w:rsidP="00AD5225">
      <w:pPr>
        <w:jc w:val="both"/>
        <w:rPr>
          <w:rFonts w:cs="Arial"/>
          <w:b/>
          <w:sz w:val="20"/>
          <w:szCs w:val="20"/>
          <w:lang w:val="ru-RU"/>
        </w:rPr>
      </w:pPr>
    </w:p>
    <w:p w:rsidR="006B4CC1" w:rsidRDefault="00DA3BF0" w:rsidP="00AD5225">
      <w:pPr>
        <w:jc w:val="both"/>
        <w:rPr>
          <w:rFonts w:cs="Arial"/>
          <w:b/>
          <w:sz w:val="20"/>
          <w:szCs w:val="20"/>
          <w:lang w:val="ru-RU"/>
        </w:rPr>
      </w:pPr>
      <w:r w:rsidRPr="00266984">
        <w:rPr>
          <w:rFonts w:cs="Arial"/>
          <w:b/>
          <w:sz w:val="20"/>
          <w:szCs w:val="20"/>
          <w:lang w:val="ru-RU"/>
        </w:rPr>
        <w:t>6</w:t>
      </w:r>
      <w:r w:rsidR="00B007D2" w:rsidRPr="00266984">
        <w:rPr>
          <w:rFonts w:cs="Arial"/>
          <w:b/>
          <w:sz w:val="20"/>
          <w:szCs w:val="20"/>
          <w:lang w:val="ru-RU"/>
        </w:rPr>
        <w:t>.1.</w:t>
      </w:r>
      <w:r w:rsidRPr="00266984">
        <w:rPr>
          <w:rFonts w:cs="Arial"/>
          <w:b/>
          <w:sz w:val="20"/>
          <w:szCs w:val="20"/>
          <w:lang w:val="ru-RU"/>
        </w:rPr>
        <w:t>7</w:t>
      </w:r>
      <w:r w:rsidR="00296D88" w:rsidRPr="00266984">
        <w:rPr>
          <w:rFonts w:cs="Arial"/>
          <w:b/>
          <w:sz w:val="20"/>
          <w:szCs w:val="20"/>
          <w:lang w:val="ru-RU"/>
        </w:rPr>
        <w:t>.</w:t>
      </w:r>
      <w:r w:rsidR="00B007D2" w:rsidRPr="00266984">
        <w:rPr>
          <w:rFonts w:cs="Arial"/>
          <w:b/>
          <w:sz w:val="20"/>
          <w:szCs w:val="20"/>
          <w:lang w:val="ru-RU"/>
        </w:rPr>
        <w:t xml:space="preserve"> </w:t>
      </w:r>
      <w:r w:rsidR="006B4CC1">
        <w:rPr>
          <w:rFonts w:cs="Arial"/>
          <w:b/>
          <w:sz w:val="20"/>
          <w:szCs w:val="20"/>
          <w:lang w:val="ru-RU"/>
        </w:rPr>
        <w:t xml:space="preserve"> Информация об объемах чистых вложений в ценные бумаги, удерживаемые до погашения</w:t>
      </w:r>
    </w:p>
    <w:p w:rsidR="001F67FE" w:rsidRPr="00E50F94" w:rsidRDefault="00266984" w:rsidP="00AD5225">
      <w:pPr>
        <w:jc w:val="both"/>
        <w:rPr>
          <w:rFonts w:cs="Arial"/>
          <w:sz w:val="20"/>
          <w:szCs w:val="20"/>
          <w:lang w:val="ru-RU"/>
        </w:rPr>
      </w:pPr>
      <w:r w:rsidRPr="00E50F94">
        <w:rPr>
          <w:rFonts w:cs="Arial"/>
          <w:sz w:val="20"/>
          <w:szCs w:val="20"/>
          <w:lang w:val="ru-RU"/>
        </w:rPr>
        <w:t>В</w:t>
      </w:r>
      <w:r w:rsidR="001F67FE" w:rsidRPr="00E50F94">
        <w:rPr>
          <w:rFonts w:cs="Arial"/>
          <w:sz w:val="20"/>
          <w:szCs w:val="20"/>
          <w:lang w:val="ru-RU"/>
        </w:rPr>
        <w:t>ложений в ценные бумаги, удерживаемы</w:t>
      </w:r>
      <w:r w:rsidR="006B4CC1">
        <w:rPr>
          <w:rFonts w:cs="Arial"/>
          <w:sz w:val="20"/>
          <w:szCs w:val="20"/>
          <w:lang w:val="ru-RU"/>
        </w:rPr>
        <w:t>х</w:t>
      </w:r>
      <w:r w:rsidR="001F67FE" w:rsidRPr="00E50F94">
        <w:rPr>
          <w:rFonts w:cs="Arial"/>
          <w:sz w:val="20"/>
          <w:szCs w:val="20"/>
          <w:lang w:val="ru-RU"/>
        </w:rPr>
        <w:t xml:space="preserve"> до погашения</w:t>
      </w:r>
      <w:r w:rsidRPr="00E50F94">
        <w:rPr>
          <w:rFonts w:cs="Arial"/>
          <w:sz w:val="20"/>
          <w:szCs w:val="20"/>
          <w:lang w:val="ru-RU"/>
        </w:rPr>
        <w:t xml:space="preserve"> </w:t>
      </w:r>
      <w:r w:rsidR="00AF7D29" w:rsidRPr="00E50F94">
        <w:rPr>
          <w:rFonts w:cs="Arial"/>
          <w:sz w:val="20"/>
          <w:szCs w:val="20"/>
          <w:lang w:val="ru-RU"/>
        </w:rPr>
        <w:t xml:space="preserve">у Банка </w:t>
      </w:r>
      <w:r w:rsidR="001F67FE" w:rsidRPr="00E50F94">
        <w:rPr>
          <w:rFonts w:cs="Arial"/>
          <w:sz w:val="20"/>
          <w:szCs w:val="20"/>
          <w:lang w:val="ru-RU"/>
        </w:rPr>
        <w:t>нет.</w:t>
      </w:r>
    </w:p>
    <w:p w:rsidR="00DA3BF0" w:rsidRDefault="00DA3BF0" w:rsidP="00AD5225">
      <w:pPr>
        <w:jc w:val="both"/>
        <w:rPr>
          <w:rFonts w:cs="Arial"/>
          <w:sz w:val="20"/>
          <w:szCs w:val="20"/>
          <w:highlight w:val="yellow"/>
          <w:lang w:val="ru-RU"/>
        </w:rPr>
      </w:pPr>
    </w:p>
    <w:p w:rsidR="00DA3BF0" w:rsidRPr="00CD349A" w:rsidRDefault="00DA3BF0" w:rsidP="00DA3BF0">
      <w:pPr>
        <w:overflowPunct/>
        <w:jc w:val="both"/>
        <w:textAlignment w:val="auto"/>
        <w:rPr>
          <w:rFonts w:eastAsiaTheme="minorHAnsi" w:cs="Arial"/>
          <w:sz w:val="20"/>
          <w:szCs w:val="20"/>
          <w:lang w:val="ru-RU"/>
        </w:rPr>
      </w:pPr>
      <w:r w:rsidRPr="00CD349A">
        <w:rPr>
          <w:rFonts w:eastAsiaTheme="minorHAnsi" w:cs="Arial"/>
          <w:b/>
          <w:sz w:val="20"/>
          <w:szCs w:val="20"/>
          <w:lang w:val="ru-RU"/>
        </w:rPr>
        <w:t>6.1.8. Информаци</w:t>
      </w:r>
      <w:r w:rsidR="006B4CC1" w:rsidRPr="00CD349A">
        <w:rPr>
          <w:rFonts w:eastAsiaTheme="minorHAnsi" w:cs="Arial"/>
          <w:b/>
          <w:sz w:val="20"/>
          <w:szCs w:val="20"/>
          <w:lang w:val="ru-RU"/>
        </w:rPr>
        <w:t>я</w:t>
      </w:r>
      <w:r w:rsidRPr="00CD349A">
        <w:rPr>
          <w:rFonts w:eastAsiaTheme="minorHAnsi" w:cs="Arial"/>
          <w:b/>
          <w:sz w:val="20"/>
          <w:szCs w:val="20"/>
          <w:lang w:val="ru-RU"/>
        </w:rPr>
        <w:t xml:space="preserve"> об изменении резерва на возможные потери по обесцененным финансовым активам по каждому классу финансовых активов</w:t>
      </w:r>
      <w:r w:rsidRPr="00CD349A">
        <w:rPr>
          <w:rFonts w:eastAsiaTheme="minorHAnsi" w:cs="Arial"/>
          <w:sz w:val="20"/>
          <w:szCs w:val="20"/>
          <w:lang w:val="ru-RU"/>
        </w:rPr>
        <w:t xml:space="preserve"> </w:t>
      </w:r>
    </w:p>
    <w:p w:rsidR="001E7814" w:rsidRDefault="001E7814" w:rsidP="001E7814">
      <w:pPr>
        <w:jc w:val="both"/>
        <w:rPr>
          <w:rFonts w:cs="Arial"/>
          <w:sz w:val="20"/>
          <w:szCs w:val="20"/>
          <w:lang w:val="ru-RU"/>
        </w:rPr>
      </w:pPr>
    </w:p>
    <w:tbl>
      <w:tblPr>
        <w:tblW w:w="9371" w:type="dxa"/>
        <w:tblInd w:w="93" w:type="dxa"/>
        <w:tblLook w:val="04A0" w:firstRow="1" w:lastRow="0" w:firstColumn="1" w:lastColumn="0" w:noHBand="0" w:noVBand="1"/>
      </w:tblPr>
      <w:tblGrid>
        <w:gridCol w:w="4410"/>
        <w:gridCol w:w="1858"/>
        <w:gridCol w:w="2007"/>
        <w:gridCol w:w="1096"/>
      </w:tblGrid>
      <w:tr w:rsidR="00CD349A" w:rsidRPr="00052F2E" w:rsidTr="002F5E50">
        <w:trPr>
          <w:trHeight w:val="270"/>
        </w:trPr>
        <w:tc>
          <w:tcPr>
            <w:tcW w:w="4410"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both"/>
              <w:textAlignment w:val="auto"/>
              <w:rPr>
                <w:rFonts w:cs="Arial"/>
                <w:b/>
                <w:bCs/>
                <w:sz w:val="16"/>
                <w:szCs w:val="16"/>
                <w:lang w:val="ru-RU" w:eastAsia="ru-RU"/>
              </w:rPr>
            </w:pPr>
            <w:r>
              <w:rPr>
                <w:rFonts w:cs="Arial"/>
                <w:b/>
                <w:bCs/>
                <w:sz w:val="16"/>
                <w:szCs w:val="16"/>
                <w:lang w:val="ru-RU" w:eastAsia="ru-RU"/>
              </w:rPr>
              <w:t>Активы, оцениваемые</w:t>
            </w:r>
            <w:r w:rsidRPr="00903D3A">
              <w:rPr>
                <w:rFonts w:cs="Arial"/>
                <w:b/>
                <w:bCs/>
                <w:sz w:val="16"/>
                <w:szCs w:val="16"/>
                <w:lang w:val="ru-RU" w:eastAsia="ru-RU"/>
              </w:rPr>
              <w:t xml:space="preserve"> в целях создания резерва на возможные потери</w:t>
            </w:r>
          </w:p>
        </w:tc>
        <w:tc>
          <w:tcPr>
            <w:tcW w:w="1858"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w:t>
            </w:r>
            <w:r w:rsidRPr="00052F2E">
              <w:rPr>
                <w:rFonts w:cs="Arial"/>
                <w:b/>
                <w:bCs/>
                <w:sz w:val="16"/>
                <w:szCs w:val="16"/>
                <w:lang w:val="ru-RU" w:eastAsia="ru-RU"/>
              </w:rPr>
              <w:t>.</w:t>
            </w:r>
            <w:r>
              <w:rPr>
                <w:rFonts w:cs="Arial"/>
                <w:b/>
                <w:bCs/>
                <w:sz w:val="16"/>
                <w:szCs w:val="16"/>
                <w:lang w:val="ru-RU" w:eastAsia="ru-RU"/>
              </w:rPr>
              <w:t>2018</w:t>
            </w:r>
          </w:p>
        </w:tc>
        <w:tc>
          <w:tcPr>
            <w:tcW w:w="2007" w:type="dxa"/>
            <w:tcBorders>
              <w:top w:val="single" w:sz="4" w:space="0" w:color="auto"/>
              <w:left w:val="nil"/>
              <w:bottom w:val="single" w:sz="8" w:space="0" w:color="auto"/>
              <w:right w:val="nil"/>
            </w:tcBorders>
            <w:shd w:val="clear" w:color="auto" w:fill="auto"/>
            <w:noWrap/>
            <w:vAlign w:val="bottom"/>
            <w:hideMark/>
          </w:tcPr>
          <w:p w:rsidR="00CD349A" w:rsidRPr="00052F2E" w:rsidRDefault="00CD349A" w:rsidP="002F5E50">
            <w:pPr>
              <w:overflowPunct/>
              <w:autoSpaceDE/>
              <w:autoSpaceDN/>
              <w:adjustRightInd/>
              <w:jc w:val="center"/>
              <w:textAlignment w:val="auto"/>
              <w:rPr>
                <w:rFonts w:cs="Arial"/>
                <w:b/>
                <w:bCs/>
                <w:sz w:val="16"/>
                <w:szCs w:val="16"/>
                <w:lang w:val="ru-RU" w:eastAsia="ru-RU"/>
              </w:rPr>
            </w:pPr>
            <w:r>
              <w:rPr>
                <w:rFonts w:cs="Arial"/>
                <w:b/>
                <w:sz w:val="16"/>
                <w:szCs w:val="16"/>
                <w:lang w:val="ru-RU" w:eastAsia="ru-RU"/>
              </w:rPr>
              <w:t>31</w:t>
            </w:r>
            <w:r>
              <w:rPr>
                <w:rFonts w:cs="Arial"/>
                <w:b/>
                <w:bCs/>
                <w:sz w:val="16"/>
                <w:szCs w:val="16"/>
                <w:lang w:val="ru-RU" w:eastAsia="ru-RU"/>
              </w:rPr>
              <w:t>.12</w:t>
            </w:r>
            <w:r w:rsidRPr="00052F2E">
              <w:rPr>
                <w:rFonts w:cs="Arial"/>
                <w:b/>
                <w:bCs/>
                <w:sz w:val="16"/>
                <w:szCs w:val="16"/>
                <w:lang w:val="ru-RU" w:eastAsia="ru-RU"/>
              </w:rPr>
              <w:t>.</w:t>
            </w:r>
            <w:r>
              <w:rPr>
                <w:rFonts w:cs="Arial"/>
                <w:b/>
                <w:bCs/>
                <w:sz w:val="16"/>
                <w:szCs w:val="16"/>
                <w:lang w:val="ru-RU" w:eastAsia="ru-RU"/>
              </w:rPr>
              <w:t>2017</w:t>
            </w:r>
          </w:p>
        </w:tc>
        <w:tc>
          <w:tcPr>
            <w:tcW w:w="1096" w:type="dxa"/>
            <w:tcBorders>
              <w:top w:val="single" w:sz="4" w:space="0" w:color="auto"/>
              <w:left w:val="nil"/>
              <w:bottom w:val="single" w:sz="8" w:space="0" w:color="auto"/>
              <w:right w:val="nil"/>
            </w:tcBorders>
            <w:vAlign w:val="bottom"/>
          </w:tcPr>
          <w:p w:rsidR="00CD349A" w:rsidRDefault="00CD349A" w:rsidP="002F5E50">
            <w:pPr>
              <w:overflowPunct/>
              <w:autoSpaceDE/>
              <w:autoSpaceDN/>
              <w:adjustRightInd/>
              <w:jc w:val="center"/>
              <w:textAlignment w:val="auto"/>
              <w:rPr>
                <w:rFonts w:cs="Arial"/>
                <w:b/>
                <w:sz w:val="16"/>
                <w:szCs w:val="16"/>
                <w:lang w:val="ru-RU" w:eastAsia="ru-RU"/>
              </w:rPr>
            </w:pPr>
          </w:p>
          <w:p w:rsidR="00CD349A" w:rsidRPr="004B1604"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Изменение</w:t>
            </w:r>
            <w:r w:rsidRPr="005A6F1D">
              <w:rPr>
                <w:rFonts w:cs="Arial"/>
                <w:b/>
                <w:sz w:val="16"/>
                <w:szCs w:val="16"/>
                <w:lang w:val="ru-RU" w:eastAsia="ru-RU"/>
              </w:rPr>
              <w:t xml:space="preserve"> </w:t>
            </w:r>
            <w:r>
              <w:rPr>
                <w:rFonts w:cs="Arial"/>
                <w:b/>
                <w:sz w:val="16"/>
                <w:szCs w:val="16"/>
                <w:lang w:val="ru-RU" w:eastAsia="ru-RU"/>
              </w:rPr>
              <w:t>резервов</w:t>
            </w:r>
          </w:p>
        </w:tc>
      </w:tr>
      <w:tr w:rsidR="00CD349A" w:rsidRPr="001944DE" w:rsidTr="002F5E50">
        <w:trPr>
          <w:trHeight w:val="255"/>
        </w:trPr>
        <w:tc>
          <w:tcPr>
            <w:tcW w:w="441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p>
        </w:tc>
        <w:tc>
          <w:tcPr>
            <w:tcW w:w="1858" w:type="dxa"/>
            <w:tcBorders>
              <w:top w:val="nil"/>
              <w:left w:val="nil"/>
              <w:bottom w:val="nil"/>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b/>
                <w:bCs/>
                <w:sz w:val="16"/>
                <w:szCs w:val="16"/>
                <w:lang w:val="ru-RU" w:eastAsia="ru-RU"/>
              </w:rPr>
            </w:pPr>
          </w:p>
        </w:tc>
        <w:tc>
          <w:tcPr>
            <w:tcW w:w="2007" w:type="dxa"/>
            <w:tcBorders>
              <w:top w:val="nil"/>
              <w:left w:val="nil"/>
              <w:bottom w:val="nil"/>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b/>
                <w:bCs/>
                <w:sz w:val="16"/>
                <w:szCs w:val="16"/>
                <w:lang w:val="ru-RU" w:eastAsia="ru-RU"/>
              </w:rPr>
            </w:pPr>
          </w:p>
        </w:tc>
        <w:tc>
          <w:tcPr>
            <w:tcW w:w="1096" w:type="dxa"/>
            <w:tcBorders>
              <w:top w:val="nil"/>
              <w:left w:val="nil"/>
              <w:bottom w:val="nil"/>
              <w:right w:val="nil"/>
            </w:tcBorders>
            <w:vAlign w:val="bottom"/>
          </w:tcPr>
          <w:p w:rsidR="00CD349A" w:rsidRPr="00903D3A" w:rsidRDefault="00CD349A" w:rsidP="002F5E50">
            <w:pPr>
              <w:overflowPunct/>
              <w:autoSpaceDE/>
              <w:autoSpaceDN/>
              <w:adjustRightInd/>
              <w:jc w:val="center"/>
              <w:textAlignment w:val="auto"/>
              <w:rPr>
                <w:rFonts w:cs="Arial"/>
                <w:b/>
                <w:sz w:val="16"/>
                <w:szCs w:val="16"/>
                <w:lang w:val="ru-RU" w:eastAsia="ru-RU"/>
              </w:rPr>
            </w:pPr>
          </w:p>
        </w:tc>
      </w:tr>
      <w:tr w:rsidR="00CD349A" w:rsidRPr="001944DE" w:rsidTr="002F5E50">
        <w:trPr>
          <w:trHeight w:val="255"/>
        </w:trPr>
        <w:tc>
          <w:tcPr>
            <w:tcW w:w="4410" w:type="dxa"/>
            <w:tcBorders>
              <w:top w:val="nil"/>
              <w:left w:val="nil"/>
              <w:bottom w:val="nil"/>
              <w:right w:val="nil"/>
            </w:tcBorders>
            <w:shd w:val="clear" w:color="auto" w:fill="auto"/>
            <w:noWrap/>
            <w:vAlign w:val="bottom"/>
            <w:hideMark/>
          </w:tcPr>
          <w:p w:rsidR="00CD349A" w:rsidRPr="004B1604" w:rsidRDefault="00CD349A" w:rsidP="002F5E50">
            <w:pPr>
              <w:overflowPunct/>
              <w:autoSpaceDE/>
              <w:autoSpaceDN/>
              <w:adjustRightInd/>
              <w:textAlignment w:val="auto"/>
              <w:rPr>
                <w:rFonts w:cs="Arial"/>
                <w:b/>
                <w:sz w:val="16"/>
                <w:szCs w:val="16"/>
                <w:lang w:val="ru-RU" w:eastAsia="ru-RU"/>
              </w:rPr>
            </w:pPr>
            <w:r w:rsidRPr="004B1604">
              <w:rPr>
                <w:rFonts w:cs="Arial"/>
                <w:b/>
                <w:sz w:val="16"/>
                <w:szCs w:val="16"/>
                <w:lang w:val="ru-RU" w:eastAsia="ru-RU"/>
              </w:rPr>
              <w:t>Средства в кредитных организациях</w:t>
            </w:r>
          </w:p>
        </w:tc>
        <w:tc>
          <w:tcPr>
            <w:tcW w:w="1858" w:type="dxa"/>
            <w:tcBorders>
              <w:top w:val="nil"/>
              <w:left w:val="nil"/>
              <w:bottom w:val="nil"/>
              <w:right w:val="nil"/>
            </w:tcBorders>
            <w:shd w:val="clear" w:color="auto" w:fill="auto"/>
            <w:noWrap/>
            <w:vAlign w:val="bottom"/>
            <w:hideMark/>
          </w:tcPr>
          <w:p w:rsidR="00CD349A" w:rsidRPr="004B1604" w:rsidRDefault="00CD349A" w:rsidP="002F5E50">
            <w:pPr>
              <w:overflowPunct/>
              <w:autoSpaceDE/>
              <w:autoSpaceDN/>
              <w:adjustRightInd/>
              <w:jc w:val="center"/>
              <w:textAlignment w:val="auto"/>
              <w:rPr>
                <w:rFonts w:cs="Arial"/>
                <w:b/>
                <w:sz w:val="16"/>
                <w:szCs w:val="16"/>
                <w:lang w:val="ru-RU" w:eastAsia="ru-RU"/>
              </w:rPr>
            </w:pPr>
            <w:r w:rsidRPr="004B1604">
              <w:rPr>
                <w:rFonts w:cs="Arial"/>
                <w:b/>
                <w:sz w:val="16"/>
                <w:szCs w:val="16"/>
                <w:lang w:val="ru-RU" w:eastAsia="ru-RU"/>
              </w:rPr>
              <w:t>151</w:t>
            </w:r>
          </w:p>
        </w:tc>
        <w:tc>
          <w:tcPr>
            <w:tcW w:w="2007" w:type="dxa"/>
            <w:tcBorders>
              <w:top w:val="nil"/>
              <w:left w:val="nil"/>
              <w:bottom w:val="nil"/>
              <w:right w:val="nil"/>
            </w:tcBorders>
            <w:shd w:val="clear" w:color="auto" w:fill="auto"/>
            <w:noWrap/>
            <w:vAlign w:val="bottom"/>
            <w:hideMark/>
          </w:tcPr>
          <w:p w:rsidR="00CD349A" w:rsidRPr="004B1604"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1 595</w:t>
            </w:r>
          </w:p>
        </w:tc>
        <w:tc>
          <w:tcPr>
            <w:tcW w:w="1096" w:type="dxa"/>
            <w:tcBorders>
              <w:top w:val="nil"/>
              <w:left w:val="nil"/>
              <w:bottom w:val="nil"/>
              <w:right w:val="nil"/>
            </w:tcBorders>
            <w:vAlign w:val="bottom"/>
          </w:tcPr>
          <w:p w:rsidR="00CD349A" w:rsidRPr="00903D3A"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(1 444)</w:t>
            </w:r>
          </w:p>
        </w:tc>
      </w:tr>
      <w:tr w:rsidR="00CD349A" w:rsidRPr="001944DE" w:rsidTr="002F5E50">
        <w:trPr>
          <w:trHeight w:val="255"/>
        </w:trPr>
        <w:tc>
          <w:tcPr>
            <w:tcW w:w="441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Pr>
                <w:rFonts w:cs="Arial"/>
                <w:b/>
                <w:bCs/>
                <w:sz w:val="16"/>
                <w:szCs w:val="16"/>
                <w:lang w:val="ru-RU" w:eastAsia="ru-RU"/>
              </w:rPr>
              <w:t>С</w:t>
            </w:r>
            <w:r w:rsidRPr="004B1604">
              <w:rPr>
                <w:rFonts w:cs="Arial"/>
                <w:b/>
                <w:bCs/>
                <w:sz w:val="16"/>
                <w:szCs w:val="16"/>
                <w:lang w:val="ru-RU" w:eastAsia="ru-RU"/>
              </w:rPr>
              <w:t>суды, ссудная и приравненная к ней задолженность, всего, в том числе:</w:t>
            </w:r>
            <w:r w:rsidRPr="00052F2E">
              <w:rPr>
                <w:rFonts w:cs="Arial"/>
                <w:b/>
                <w:bCs/>
                <w:sz w:val="16"/>
                <w:szCs w:val="16"/>
                <w:lang w:val="ru-RU" w:eastAsia="ru-RU"/>
              </w:rPr>
              <w:t xml:space="preserve"> в т.ч.:</w:t>
            </w:r>
          </w:p>
        </w:tc>
        <w:tc>
          <w:tcPr>
            <w:tcW w:w="1858"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sidRPr="008E4C9F">
              <w:rPr>
                <w:rFonts w:cs="Arial"/>
                <w:b/>
                <w:bCs/>
                <w:sz w:val="16"/>
                <w:szCs w:val="16"/>
                <w:lang w:val="ru-RU" w:eastAsia="ru-RU"/>
              </w:rPr>
              <w:t>1 349 779</w:t>
            </w:r>
          </w:p>
        </w:tc>
        <w:tc>
          <w:tcPr>
            <w:tcW w:w="2007" w:type="dxa"/>
            <w:tcBorders>
              <w:top w:val="nil"/>
              <w:left w:val="nil"/>
              <w:bottom w:val="nil"/>
              <w:right w:val="nil"/>
            </w:tcBorders>
            <w:shd w:val="clear" w:color="auto" w:fill="auto"/>
            <w:noWrap/>
            <w:vAlign w:val="bottom"/>
            <w:hideMark/>
          </w:tcPr>
          <w:p w:rsidR="00CD349A" w:rsidRPr="001944DE" w:rsidRDefault="00CD349A" w:rsidP="002F5E50">
            <w:pPr>
              <w:overflowPunct/>
              <w:autoSpaceDE/>
              <w:autoSpaceDN/>
              <w:adjustRightInd/>
              <w:jc w:val="center"/>
              <w:textAlignment w:val="auto"/>
              <w:rPr>
                <w:rFonts w:cs="Arial"/>
                <w:b/>
                <w:bCs/>
                <w:sz w:val="16"/>
                <w:szCs w:val="16"/>
                <w:lang w:val="ru-RU" w:eastAsia="ru-RU"/>
              </w:rPr>
            </w:pPr>
            <w:r w:rsidRPr="00FB059C">
              <w:rPr>
                <w:rFonts w:cs="Arial"/>
                <w:b/>
                <w:bCs/>
                <w:sz w:val="16"/>
                <w:szCs w:val="16"/>
                <w:lang w:val="ru-RU" w:eastAsia="ru-RU"/>
              </w:rPr>
              <w:t>1 123</w:t>
            </w:r>
            <w:r>
              <w:rPr>
                <w:rFonts w:cs="Arial"/>
                <w:b/>
                <w:bCs/>
                <w:sz w:val="16"/>
                <w:szCs w:val="16"/>
                <w:lang w:val="ru-RU" w:eastAsia="ru-RU"/>
              </w:rPr>
              <w:t> </w:t>
            </w:r>
            <w:r w:rsidRPr="00FB059C">
              <w:rPr>
                <w:rFonts w:cs="Arial"/>
                <w:b/>
                <w:bCs/>
                <w:sz w:val="16"/>
                <w:szCs w:val="16"/>
                <w:lang w:val="ru-RU" w:eastAsia="ru-RU"/>
              </w:rPr>
              <w:t>454</w:t>
            </w:r>
          </w:p>
        </w:tc>
        <w:tc>
          <w:tcPr>
            <w:tcW w:w="1096" w:type="dxa"/>
            <w:tcBorders>
              <w:top w:val="nil"/>
              <w:left w:val="nil"/>
              <w:bottom w:val="nil"/>
              <w:right w:val="nil"/>
            </w:tcBorders>
            <w:vAlign w:val="bottom"/>
          </w:tcPr>
          <w:p w:rsidR="00CD349A" w:rsidRDefault="00CD349A" w:rsidP="002F5E50">
            <w:pPr>
              <w:overflowPunct/>
              <w:autoSpaceDE/>
              <w:autoSpaceDN/>
              <w:adjustRightInd/>
              <w:jc w:val="center"/>
              <w:textAlignment w:val="auto"/>
              <w:rPr>
                <w:rFonts w:cs="Arial"/>
                <w:b/>
                <w:sz w:val="16"/>
                <w:szCs w:val="16"/>
                <w:lang w:val="ru-RU" w:eastAsia="ru-RU"/>
              </w:rPr>
            </w:pPr>
          </w:p>
          <w:p w:rsidR="00CD349A" w:rsidRPr="00903D3A"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226 325</w:t>
            </w:r>
          </w:p>
        </w:tc>
      </w:tr>
      <w:tr w:rsidR="00CD349A" w:rsidRPr="00A171DB" w:rsidTr="002F5E50">
        <w:trPr>
          <w:trHeight w:val="255"/>
        </w:trPr>
        <w:tc>
          <w:tcPr>
            <w:tcW w:w="4410" w:type="dxa"/>
            <w:tcBorders>
              <w:top w:val="nil"/>
              <w:left w:val="nil"/>
              <w:bottom w:val="nil"/>
              <w:right w:val="nil"/>
            </w:tcBorders>
            <w:shd w:val="clear" w:color="auto" w:fill="auto"/>
            <w:noWrap/>
            <w:vAlign w:val="bottom"/>
            <w:hideMark/>
          </w:tcPr>
          <w:p w:rsidR="00CD349A" w:rsidRPr="004B1604" w:rsidRDefault="00CD349A" w:rsidP="002F5E50">
            <w:pPr>
              <w:overflowPunct/>
              <w:autoSpaceDE/>
              <w:autoSpaceDN/>
              <w:adjustRightInd/>
              <w:textAlignment w:val="auto"/>
              <w:rPr>
                <w:rFonts w:cs="Arial"/>
                <w:sz w:val="16"/>
                <w:szCs w:val="16"/>
                <w:lang w:val="ru-RU" w:eastAsia="ru-RU"/>
              </w:rPr>
            </w:pPr>
            <w:r w:rsidRPr="004B1604">
              <w:rPr>
                <w:rFonts w:cs="Arial"/>
                <w:sz w:val="16"/>
                <w:szCs w:val="16"/>
                <w:lang w:val="ru-RU" w:eastAsia="ru-RU"/>
              </w:rPr>
              <w:t>Предоставленные физическим лицам ссуды и прочие требования, признаваемые ссудами</w:t>
            </w:r>
          </w:p>
        </w:tc>
        <w:tc>
          <w:tcPr>
            <w:tcW w:w="1858"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451 654</w:t>
            </w:r>
          </w:p>
        </w:tc>
        <w:tc>
          <w:tcPr>
            <w:tcW w:w="2007" w:type="dxa"/>
            <w:tcBorders>
              <w:top w:val="nil"/>
              <w:left w:val="nil"/>
              <w:bottom w:val="nil"/>
              <w:right w:val="nil"/>
            </w:tcBorders>
            <w:shd w:val="clear" w:color="auto" w:fill="auto"/>
            <w:noWrap/>
            <w:vAlign w:val="bottom"/>
            <w:hideMark/>
          </w:tcPr>
          <w:p w:rsidR="00CD349A" w:rsidRPr="005A6F1D" w:rsidRDefault="00CD349A" w:rsidP="002F5E50">
            <w:pPr>
              <w:overflowPunct/>
              <w:autoSpaceDE/>
              <w:autoSpaceDN/>
              <w:adjustRightInd/>
              <w:jc w:val="center"/>
              <w:textAlignment w:val="auto"/>
              <w:rPr>
                <w:rFonts w:cs="Arial"/>
                <w:sz w:val="16"/>
                <w:szCs w:val="16"/>
                <w:lang w:val="ru-RU" w:eastAsia="ru-RU"/>
              </w:rPr>
            </w:pPr>
            <w:r w:rsidRPr="005A6F1D">
              <w:rPr>
                <w:rFonts w:cs="Arial"/>
                <w:sz w:val="16"/>
                <w:szCs w:val="16"/>
                <w:lang w:val="ru-RU" w:eastAsia="ru-RU"/>
              </w:rPr>
              <w:t>454 912</w:t>
            </w:r>
          </w:p>
        </w:tc>
        <w:tc>
          <w:tcPr>
            <w:tcW w:w="1096" w:type="dxa"/>
            <w:tcBorders>
              <w:top w:val="nil"/>
              <w:left w:val="nil"/>
              <w:bottom w:val="nil"/>
              <w:right w:val="nil"/>
            </w:tcBorders>
            <w:vAlign w:val="bottom"/>
          </w:tcPr>
          <w:p w:rsidR="00CD349A" w:rsidRPr="00A3038C" w:rsidRDefault="00CD349A" w:rsidP="002F5E50">
            <w:pPr>
              <w:overflowPunct/>
              <w:autoSpaceDE/>
              <w:autoSpaceDN/>
              <w:adjustRightInd/>
              <w:jc w:val="center"/>
              <w:textAlignment w:val="auto"/>
              <w:rPr>
                <w:rFonts w:cs="Arial"/>
                <w:sz w:val="16"/>
                <w:szCs w:val="16"/>
                <w:lang w:val="ru-RU" w:eastAsia="ru-RU"/>
              </w:rPr>
            </w:pPr>
          </w:p>
          <w:p w:rsidR="00CD349A" w:rsidRPr="00A3038C" w:rsidRDefault="00CD349A" w:rsidP="002F5E50">
            <w:pPr>
              <w:overflowPunct/>
              <w:autoSpaceDE/>
              <w:autoSpaceDN/>
              <w:adjustRightInd/>
              <w:jc w:val="center"/>
              <w:textAlignment w:val="auto"/>
              <w:rPr>
                <w:rFonts w:cs="Arial"/>
                <w:sz w:val="16"/>
                <w:szCs w:val="16"/>
                <w:lang w:val="ru-RU" w:eastAsia="ru-RU"/>
              </w:rPr>
            </w:pPr>
            <w:r w:rsidRPr="00A3038C">
              <w:rPr>
                <w:rFonts w:cs="Arial"/>
                <w:sz w:val="16"/>
                <w:szCs w:val="16"/>
                <w:lang w:val="ru-RU" w:eastAsia="ru-RU"/>
              </w:rPr>
              <w:t>(3 258)</w:t>
            </w:r>
          </w:p>
        </w:tc>
      </w:tr>
      <w:tr w:rsidR="00CD349A" w:rsidRPr="00A171DB" w:rsidTr="002F5E50">
        <w:trPr>
          <w:trHeight w:val="255"/>
        </w:trPr>
        <w:tc>
          <w:tcPr>
            <w:tcW w:w="441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4B1604">
              <w:rPr>
                <w:rFonts w:cs="Arial"/>
                <w:sz w:val="16"/>
                <w:szCs w:val="16"/>
                <w:lang w:val="ru-RU" w:eastAsia="ru-RU"/>
              </w:rPr>
              <w:t>Предоставленные юридическим лицам ссуды и прочие требования, признаваемые ссудами</w:t>
            </w:r>
          </w:p>
        </w:tc>
        <w:tc>
          <w:tcPr>
            <w:tcW w:w="1858"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898 058</w:t>
            </w:r>
          </w:p>
        </w:tc>
        <w:tc>
          <w:tcPr>
            <w:tcW w:w="2007" w:type="dxa"/>
            <w:tcBorders>
              <w:top w:val="nil"/>
              <w:left w:val="nil"/>
              <w:bottom w:val="nil"/>
              <w:right w:val="nil"/>
            </w:tcBorders>
            <w:shd w:val="clear" w:color="auto" w:fill="auto"/>
            <w:noWrap/>
            <w:vAlign w:val="bottom"/>
            <w:hideMark/>
          </w:tcPr>
          <w:p w:rsidR="00CD349A" w:rsidRPr="005A6F1D" w:rsidRDefault="00CD349A" w:rsidP="002F5E50">
            <w:pPr>
              <w:overflowPunct/>
              <w:autoSpaceDE/>
              <w:autoSpaceDN/>
              <w:adjustRightInd/>
              <w:jc w:val="center"/>
              <w:textAlignment w:val="auto"/>
              <w:rPr>
                <w:rFonts w:cs="Arial"/>
                <w:sz w:val="16"/>
                <w:szCs w:val="16"/>
                <w:lang w:val="ru-RU" w:eastAsia="ru-RU"/>
              </w:rPr>
            </w:pPr>
            <w:r w:rsidRPr="005A6F1D">
              <w:rPr>
                <w:rFonts w:cs="Arial"/>
                <w:sz w:val="16"/>
                <w:szCs w:val="16"/>
                <w:lang w:val="ru-RU" w:eastAsia="ru-RU"/>
              </w:rPr>
              <w:t>668 542</w:t>
            </w:r>
          </w:p>
        </w:tc>
        <w:tc>
          <w:tcPr>
            <w:tcW w:w="1096" w:type="dxa"/>
            <w:tcBorders>
              <w:top w:val="nil"/>
              <w:left w:val="nil"/>
              <w:bottom w:val="nil"/>
              <w:right w:val="nil"/>
            </w:tcBorders>
            <w:vAlign w:val="bottom"/>
          </w:tcPr>
          <w:p w:rsidR="00CD349A" w:rsidRPr="00A3038C" w:rsidRDefault="00CD349A" w:rsidP="002F5E50">
            <w:pPr>
              <w:overflowPunct/>
              <w:autoSpaceDE/>
              <w:autoSpaceDN/>
              <w:adjustRightInd/>
              <w:jc w:val="center"/>
              <w:textAlignment w:val="auto"/>
              <w:rPr>
                <w:rFonts w:cs="Arial"/>
                <w:sz w:val="16"/>
                <w:szCs w:val="16"/>
                <w:lang w:val="ru-RU" w:eastAsia="ru-RU"/>
              </w:rPr>
            </w:pPr>
          </w:p>
          <w:p w:rsidR="00CD349A" w:rsidRPr="00A3038C"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229 516</w:t>
            </w:r>
          </w:p>
        </w:tc>
      </w:tr>
      <w:tr w:rsidR="00CD349A" w:rsidRPr="00A171DB" w:rsidTr="002F5E50">
        <w:trPr>
          <w:trHeight w:val="255"/>
        </w:trPr>
        <w:tc>
          <w:tcPr>
            <w:tcW w:w="4410" w:type="dxa"/>
            <w:tcBorders>
              <w:top w:val="nil"/>
              <w:left w:val="nil"/>
              <w:bottom w:val="nil"/>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sz w:val="16"/>
                <w:szCs w:val="16"/>
                <w:lang w:val="ru-RU" w:eastAsia="ru-RU"/>
              </w:rPr>
            </w:pPr>
            <w:r w:rsidRPr="004B1604">
              <w:rPr>
                <w:rFonts w:cs="Arial"/>
                <w:sz w:val="16"/>
                <w:szCs w:val="16"/>
                <w:lang w:val="ru-RU" w:eastAsia="ru-RU"/>
              </w:rPr>
              <w:t>Межбанковские кредиты и депозиты, требования, признаваемые ссудами</w:t>
            </w:r>
          </w:p>
        </w:tc>
        <w:tc>
          <w:tcPr>
            <w:tcW w:w="1858" w:type="dxa"/>
            <w:tcBorders>
              <w:top w:val="nil"/>
              <w:left w:val="nil"/>
              <w:bottom w:val="nil"/>
              <w:right w:val="nil"/>
            </w:tcBorders>
            <w:shd w:val="clear" w:color="auto" w:fill="auto"/>
            <w:noWrap/>
            <w:vAlign w:val="bottom"/>
            <w:hideMark/>
          </w:tcPr>
          <w:p w:rsidR="00CD349A" w:rsidRPr="00A171DB" w:rsidRDefault="00CD349A" w:rsidP="002F5E50">
            <w:pPr>
              <w:overflowPunct/>
              <w:autoSpaceDE/>
              <w:autoSpaceDN/>
              <w:adjustRightInd/>
              <w:jc w:val="center"/>
              <w:textAlignment w:val="auto"/>
              <w:rPr>
                <w:rFonts w:cs="Arial"/>
                <w:sz w:val="16"/>
                <w:szCs w:val="16"/>
                <w:lang w:val="ru-RU" w:eastAsia="ru-RU"/>
              </w:rPr>
            </w:pPr>
            <w:r>
              <w:rPr>
                <w:rFonts w:cs="Arial"/>
                <w:sz w:val="16"/>
                <w:szCs w:val="16"/>
                <w:lang w:val="ru-RU" w:eastAsia="ru-RU"/>
              </w:rPr>
              <w:t>67</w:t>
            </w:r>
          </w:p>
        </w:tc>
        <w:tc>
          <w:tcPr>
            <w:tcW w:w="2007" w:type="dxa"/>
            <w:tcBorders>
              <w:top w:val="nil"/>
              <w:left w:val="nil"/>
              <w:bottom w:val="nil"/>
              <w:right w:val="nil"/>
            </w:tcBorders>
            <w:shd w:val="clear" w:color="auto" w:fill="auto"/>
            <w:noWrap/>
            <w:vAlign w:val="bottom"/>
            <w:hideMark/>
          </w:tcPr>
          <w:p w:rsidR="00CD349A" w:rsidRPr="005A6F1D" w:rsidRDefault="00CD349A" w:rsidP="002F5E50">
            <w:pPr>
              <w:overflowPunct/>
              <w:autoSpaceDE/>
              <w:autoSpaceDN/>
              <w:adjustRightInd/>
              <w:jc w:val="center"/>
              <w:textAlignment w:val="auto"/>
              <w:rPr>
                <w:rFonts w:cs="Arial"/>
                <w:sz w:val="16"/>
                <w:szCs w:val="16"/>
                <w:lang w:val="ru-RU" w:eastAsia="ru-RU"/>
              </w:rPr>
            </w:pPr>
            <w:r w:rsidRPr="005A6F1D">
              <w:rPr>
                <w:rFonts w:cs="Arial"/>
                <w:sz w:val="16"/>
                <w:szCs w:val="16"/>
                <w:lang w:val="ru-RU" w:eastAsia="ru-RU"/>
              </w:rPr>
              <w:t>-</w:t>
            </w:r>
          </w:p>
        </w:tc>
        <w:tc>
          <w:tcPr>
            <w:tcW w:w="1096" w:type="dxa"/>
            <w:tcBorders>
              <w:top w:val="nil"/>
              <w:left w:val="nil"/>
              <w:bottom w:val="nil"/>
              <w:right w:val="nil"/>
            </w:tcBorders>
            <w:vAlign w:val="bottom"/>
          </w:tcPr>
          <w:p w:rsidR="00CD349A" w:rsidRPr="00A3038C" w:rsidRDefault="00CD349A" w:rsidP="002F5E50">
            <w:pPr>
              <w:overflowPunct/>
              <w:autoSpaceDE/>
              <w:autoSpaceDN/>
              <w:adjustRightInd/>
              <w:jc w:val="center"/>
              <w:textAlignment w:val="auto"/>
              <w:rPr>
                <w:rFonts w:cs="Arial"/>
                <w:sz w:val="16"/>
                <w:szCs w:val="16"/>
                <w:lang w:val="ru-RU" w:eastAsia="ru-RU"/>
              </w:rPr>
            </w:pPr>
          </w:p>
          <w:p w:rsidR="00CD349A" w:rsidRPr="00A3038C" w:rsidRDefault="00CD349A" w:rsidP="002F5E50">
            <w:pPr>
              <w:overflowPunct/>
              <w:autoSpaceDE/>
              <w:autoSpaceDN/>
              <w:adjustRightInd/>
              <w:jc w:val="center"/>
              <w:textAlignment w:val="auto"/>
              <w:rPr>
                <w:rFonts w:cs="Arial"/>
                <w:sz w:val="16"/>
                <w:szCs w:val="16"/>
                <w:lang w:val="ru-RU" w:eastAsia="ru-RU"/>
              </w:rPr>
            </w:pPr>
            <w:r w:rsidRPr="00A3038C">
              <w:rPr>
                <w:rFonts w:cs="Arial"/>
                <w:sz w:val="16"/>
                <w:szCs w:val="16"/>
                <w:lang w:val="ru-RU" w:eastAsia="ru-RU"/>
              </w:rPr>
              <w:t>67</w:t>
            </w:r>
          </w:p>
        </w:tc>
      </w:tr>
      <w:tr w:rsidR="00CD349A" w:rsidRPr="005A6F1D" w:rsidTr="002F5E50">
        <w:trPr>
          <w:trHeight w:val="255"/>
        </w:trPr>
        <w:tc>
          <w:tcPr>
            <w:tcW w:w="4410" w:type="dxa"/>
            <w:tcBorders>
              <w:top w:val="nil"/>
              <w:left w:val="nil"/>
              <w:bottom w:val="nil"/>
              <w:right w:val="nil"/>
            </w:tcBorders>
            <w:shd w:val="clear" w:color="auto" w:fill="auto"/>
            <w:noWrap/>
            <w:vAlign w:val="bottom"/>
          </w:tcPr>
          <w:p w:rsidR="00CD349A" w:rsidRPr="004B1604" w:rsidRDefault="00CD349A" w:rsidP="002F5E50">
            <w:pPr>
              <w:overflowPunct/>
              <w:autoSpaceDE/>
              <w:autoSpaceDN/>
              <w:adjustRightInd/>
              <w:textAlignment w:val="auto"/>
              <w:rPr>
                <w:rFonts w:cs="Arial"/>
                <w:sz w:val="16"/>
                <w:szCs w:val="16"/>
                <w:lang w:val="ru-RU" w:eastAsia="ru-RU"/>
              </w:rPr>
            </w:pPr>
            <w:r>
              <w:rPr>
                <w:rFonts w:cs="Arial"/>
                <w:b/>
                <w:bCs/>
                <w:sz w:val="16"/>
                <w:szCs w:val="16"/>
                <w:lang w:val="ru-RU" w:eastAsia="ru-RU"/>
              </w:rPr>
              <w:t>Условные обязательства кредитного характера</w:t>
            </w:r>
          </w:p>
        </w:tc>
        <w:tc>
          <w:tcPr>
            <w:tcW w:w="1858" w:type="dxa"/>
            <w:tcBorders>
              <w:top w:val="nil"/>
              <w:left w:val="nil"/>
              <w:bottom w:val="nil"/>
              <w:right w:val="nil"/>
            </w:tcBorders>
            <w:shd w:val="clear" w:color="auto" w:fill="auto"/>
            <w:noWrap/>
            <w:vAlign w:val="bottom"/>
          </w:tcPr>
          <w:p w:rsidR="00CD349A" w:rsidRPr="00FF6E04" w:rsidRDefault="00CD349A" w:rsidP="002F5E50">
            <w:pPr>
              <w:overflowPunct/>
              <w:autoSpaceDE/>
              <w:autoSpaceDN/>
              <w:adjustRightInd/>
              <w:jc w:val="center"/>
              <w:textAlignment w:val="auto"/>
              <w:rPr>
                <w:rFonts w:cs="Arial"/>
                <w:b/>
                <w:sz w:val="16"/>
                <w:szCs w:val="16"/>
                <w:lang w:val="ru-RU" w:eastAsia="ru-RU"/>
              </w:rPr>
            </w:pPr>
            <w:r w:rsidRPr="00FF6E04">
              <w:rPr>
                <w:rFonts w:cs="Arial"/>
                <w:b/>
                <w:sz w:val="16"/>
                <w:szCs w:val="16"/>
                <w:lang w:val="ru-RU" w:eastAsia="ru-RU"/>
              </w:rPr>
              <w:t>23 821</w:t>
            </w:r>
          </w:p>
        </w:tc>
        <w:tc>
          <w:tcPr>
            <w:tcW w:w="2007" w:type="dxa"/>
            <w:tcBorders>
              <w:top w:val="nil"/>
              <w:left w:val="nil"/>
              <w:bottom w:val="nil"/>
              <w:right w:val="nil"/>
            </w:tcBorders>
            <w:shd w:val="clear" w:color="auto" w:fill="auto"/>
            <w:noWrap/>
            <w:vAlign w:val="bottom"/>
          </w:tcPr>
          <w:p w:rsidR="00CD349A" w:rsidRPr="00FF6E04"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41 267</w:t>
            </w:r>
          </w:p>
        </w:tc>
        <w:tc>
          <w:tcPr>
            <w:tcW w:w="1096" w:type="dxa"/>
            <w:tcBorders>
              <w:top w:val="nil"/>
              <w:left w:val="nil"/>
              <w:bottom w:val="nil"/>
              <w:right w:val="nil"/>
            </w:tcBorders>
            <w:vAlign w:val="bottom"/>
          </w:tcPr>
          <w:p w:rsidR="00CD349A" w:rsidRPr="005A6F1D" w:rsidRDefault="00CD349A" w:rsidP="002F5E50">
            <w:pPr>
              <w:overflowPunct/>
              <w:autoSpaceDE/>
              <w:autoSpaceDN/>
              <w:adjustRightInd/>
              <w:jc w:val="center"/>
              <w:textAlignment w:val="auto"/>
              <w:rPr>
                <w:rFonts w:cs="Arial"/>
                <w:b/>
                <w:sz w:val="16"/>
                <w:szCs w:val="16"/>
                <w:lang w:val="ru-RU" w:eastAsia="ru-RU"/>
              </w:rPr>
            </w:pPr>
            <w:r w:rsidRPr="005A6F1D">
              <w:rPr>
                <w:rFonts w:cs="Arial"/>
                <w:b/>
                <w:sz w:val="16"/>
                <w:szCs w:val="16"/>
                <w:lang w:val="ru-RU" w:eastAsia="ru-RU"/>
              </w:rPr>
              <w:t>(17 446)</w:t>
            </w:r>
          </w:p>
        </w:tc>
      </w:tr>
      <w:tr w:rsidR="00CD349A" w:rsidRPr="001944DE" w:rsidTr="002F5E50">
        <w:trPr>
          <w:trHeight w:val="285"/>
        </w:trPr>
        <w:tc>
          <w:tcPr>
            <w:tcW w:w="4410" w:type="dxa"/>
            <w:tcBorders>
              <w:top w:val="single" w:sz="4" w:space="0" w:color="auto"/>
              <w:left w:val="nil"/>
              <w:bottom w:val="double" w:sz="4" w:space="0" w:color="auto"/>
              <w:right w:val="nil"/>
            </w:tcBorders>
            <w:shd w:val="clear" w:color="auto" w:fill="auto"/>
            <w:noWrap/>
            <w:vAlign w:val="bottom"/>
            <w:hideMark/>
          </w:tcPr>
          <w:p w:rsidR="00CD349A" w:rsidRPr="00052F2E" w:rsidRDefault="00CD349A" w:rsidP="002F5E50">
            <w:pPr>
              <w:overflowPunct/>
              <w:autoSpaceDE/>
              <w:autoSpaceDN/>
              <w:adjustRightInd/>
              <w:textAlignment w:val="auto"/>
              <w:rPr>
                <w:rFonts w:cs="Arial"/>
                <w:b/>
                <w:bCs/>
                <w:sz w:val="16"/>
                <w:szCs w:val="16"/>
                <w:lang w:val="ru-RU" w:eastAsia="ru-RU"/>
              </w:rPr>
            </w:pPr>
            <w:r>
              <w:rPr>
                <w:rFonts w:cs="Arial"/>
                <w:b/>
                <w:bCs/>
                <w:sz w:val="16"/>
                <w:szCs w:val="16"/>
                <w:lang w:val="ru-RU" w:eastAsia="ru-RU"/>
              </w:rPr>
              <w:t>Итого резервов</w:t>
            </w:r>
          </w:p>
        </w:tc>
        <w:tc>
          <w:tcPr>
            <w:tcW w:w="1858" w:type="dxa"/>
            <w:tcBorders>
              <w:top w:val="single" w:sz="4" w:space="0" w:color="auto"/>
              <w:left w:val="nil"/>
              <w:bottom w:val="double" w:sz="4" w:space="0" w:color="auto"/>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1 373 751</w:t>
            </w:r>
          </w:p>
        </w:tc>
        <w:tc>
          <w:tcPr>
            <w:tcW w:w="2007" w:type="dxa"/>
            <w:tcBorders>
              <w:top w:val="single" w:sz="4" w:space="0" w:color="auto"/>
              <w:left w:val="nil"/>
              <w:bottom w:val="double" w:sz="4" w:space="0" w:color="auto"/>
              <w:right w:val="nil"/>
            </w:tcBorders>
            <w:shd w:val="clear" w:color="auto" w:fill="auto"/>
            <w:noWrap/>
            <w:vAlign w:val="bottom"/>
          </w:tcPr>
          <w:p w:rsidR="00CD349A" w:rsidRPr="001944DE" w:rsidRDefault="00CD349A" w:rsidP="002F5E50">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1 166 316</w:t>
            </w:r>
          </w:p>
        </w:tc>
        <w:tc>
          <w:tcPr>
            <w:tcW w:w="1096" w:type="dxa"/>
            <w:tcBorders>
              <w:top w:val="single" w:sz="4" w:space="0" w:color="auto"/>
              <w:left w:val="nil"/>
              <w:bottom w:val="double" w:sz="4" w:space="0" w:color="auto"/>
              <w:right w:val="nil"/>
            </w:tcBorders>
            <w:vAlign w:val="bottom"/>
          </w:tcPr>
          <w:p w:rsidR="00CD349A" w:rsidRPr="00903D3A" w:rsidRDefault="00CD349A" w:rsidP="002F5E50">
            <w:pPr>
              <w:overflowPunct/>
              <w:autoSpaceDE/>
              <w:autoSpaceDN/>
              <w:adjustRightInd/>
              <w:jc w:val="center"/>
              <w:textAlignment w:val="auto"/>
              <w:rPr>
                <w:rFonts w:cs="Arial"/>
                <w:b/>
                <w:sz w:val="16"/>
                <w:szCs w:val="16"/>
                <w:lang w:val="ru-RU" w:eastAsia="ru-RU"/>
              </w:rPr>
            </w:pPr>
            <w:r>
              <w:rPr>
                <w:rFonts w:cs="Arial"/>
                <w:b/>
                <w:sz w:val="16"/>
                <w:szCs w:val="16"/>
                <w:lang w:val="ru-RU" w:eastAsia="ru-RU"/>
              </w:rPr>
              <w:t>207 435</w:t>
            </w:r>
          </w:p>
        </w:tc>
      </w:tr>
    </w:tbl>
    <w:p w:rsidR="00CD349A" w:rsidRDefault="00CD349A" w:rsidP="001E7814">
      <w:pPr>
        <w:jc w:val="both"/>
        <w:rPr>
          <w:rFonts w:cs="Arial"/>
          <w:sz w:val="20"/>
          <w:szCs w:val="20"/>
          <w:lang w:val="ru-RU"/>
        </w:rPr>
      </w:pPr>
    </w:p>
    <w:p w:rsidR="001E7814" w:rsidRPr="001E7814" w:rsidRDefault="001E7814" w:rsidP="001E7814">
      <w:pPr>
        <w:jc w:val="both"/>
        <w:rPr>
          <w:rFonts w:cs="Arial"/>
          <w:sz w:val="20"/>
          <w:szCs w:val="20"/>
          <w:lang w:val="ru-RU"/>
        </w:rPr>
      </w:pPr>
      <w:r w:rsidRPr="001E7814">
        <w:rPr>
          <w:rFonts w:cs="Arial"/>
          <w:sz w:val="20"/>
          <w:szCs w:val="20"/>
          <w:lang w:val="ru-RU"/>
        </w:rPr>
        <w:t>По результатам проверки Банка в 2018 году вынесено Предписание ЦБ РФ от 30.01.2019г. № 36-7-3-1/1439ДСП, получено Банком – 31.01.2019г. В целях исполнение указанного требования Банком сформированы резервы на ближайшую внутримесячную дату, следующую за датой получения Предписания. Таким образом, Банком 1 февраля 2019 года сформирован резерв на возможные потери по ссудам юридических и физических лиц на общую сумму 119</w:t>
      </w:r>
      <w:r w:rsidRPr="001E7814">
        <w:rPr>
          <w:rFonts w:cs="Arial"/>
          <w:sz w:val="20"/>
          <w:szCs w:val="20"/>
        </w:rPr>
        <w:t> </w:t>
      </w:r>
      <w:r w:rsidRPr="001E7814">
        <w:rPr>
          <w:rFonts w:cs="Arial"/>
          <w:sz w:val="20"/>
          <w:szCs w:val="20"/>
          <w:lang w:val="ru-RU"/>
        </w:rPr>
        <w:t>502 тыс.руб. Отчет о выполнении требований представлен в Банк России 6 февраля 2019 года. Банк России принял решение о признании Предписания исполненным по ссудной задолженности юридических лиц и отменил его в этой части. Банк обеспечивает соблюдение пруденциальных норм, установленных Банком России в целях ограничения рисков.</w:t>
      </w:r>
      <w:r>
        <w:rPr>
          <w:rFonts w:cs="Arial"/>
          <w:sz w:val="20"/>
          <w:szCs w:val="20"/>
        </w:rPr>
        <w:t>  </w:t>
      </w:r>
      <w:r w:rsidRPr="001E7814">
        <w:rPr>
          <w:rFonts w:cs="Arial"/>
          <w:sz w:val="20"/>
          <w:szCs w:val="20"/>
          <w:lang w:val="ru-RU"/>
        </w:rPr>
        <w:t xml:space="preserve"> </w:t>
      </w:r>
    </w:p>
    <w:p w:rsidR="00DA3BF0" w:rsidRDefault="00DA3BF0" w:rsidP="00DA3BF0">
      <w:pPr>
        <w:pStyle w:val="2normal"/>
        <w:jc w:val="both"/>
        <w:rPr>
          <w:rFonts w:cs="Arial"/>
          <w:b/>
          <w:sz w:val="20"/>
          <w:szCs w:val="20"/>
          <w:highlight w:val="yellow"/>
          <w:lang w:val="ru-RU"/>
        </w:rPr>
      </w:pPr>
    </w:p>
    <w:p w:rsidR="006B4CC1" w:rsidRDefault="00DA3BF0" w:rsidP="00266984">
      <w:pPr>
        <w:pStyle w:val="2normal"/>
        <w:jc w:val="both"/>
        <w:rPr>
          <w:rFonts w:cs="Arial"/>
          <w:b/>
          <w:sz w:val="20"/>
          <w:szCs w:val="20"/>
          <w:lang w:val="ru-RU"/>
        </w:rPr>
      </w:pPr>
      <w:r w:rsidRPr="00266984">
        <w:rPr>
          <w:rFonts w:cs="Arial"/>
          <w:b/>
          <w:sz w:val="20"/>
          <w:szCs w:val="20"/>
          <w:lang w:val="ru-RU"/>
        </w:rPr>
        <w:t xml:space="preserve">6.1.9. </w:t>
      </w:r>
      <w:r w:rsidR="002905C4">
        <w:rPr>
          <w:rFonts w:cs="Arial"/>
          <w:b/>
          <w:sz w:val="20"/>
          <w:szCs w:val="20"/>
          <w:lang w:val="ru-RU"/>
        </w:rPr>
        <w:t xml:space="preserve">  </w:t>
      </w:r>
      <w:r w:rsidR="006B4CC1">
        <w:rPr>
          <w:rFonts w:cs="Arial"/>
          <w:b/>
          <w:sz w:val="20"/>
          <w:szCs w:val="20"/>
          <w:lang w:val="ru-RU"/>
        </w:rPr>
        <w:t>Информация о финансовых активах, переданных без прекращения признания</w:t>
      </w:r>
    </w:p>
    <w:p w:rsidR="00DA3BF0" w:rsidRPr="00266984" w:rsidRDefault="00DA3BF0" w:rsidP="00266984">
      <w:pPr>
        <w:pStyle w:val="2normal"/>
        <w:jc w:val="both"/>
        <w:rPr>
          <w:rFonts w:cs="Arial"/>
          <w:b/>
          <w:sz w:val="20"/>
          <w:szCs w:val="20"/>
          <w:lang w:val="ru-RU"/>
        </w:rPr>
      </w:pPr>
      <w:r w:rsidRPr="00E50F94">
        <w:rPr>
          <w:rFonts w:cs="Arial"/>
          <w:sz w:val="20"/>
          <w:szCs w:val="20"/>
          <w:lang w:val="ru-RU"/>
        </w:rPr>
        <w:t>Финансовы</w:t>
      </w:r>
      <w:r w:rsidR="00266984" w:rsidRPr="00E50F94">
        <w:rPr>
          <w:rFonts w:cs="Arial"/>
          <w:sz w:val="20"/>
          <w:szCs w:val="20"/>
          <w:lang w:val="ru-RU"/>
        </w:rPr>
        <w:t>х</w:t>
      </w:r>
      <w:r w:rsidRPr="00E50F94">
        <w:rPr>
          <w:rFonts w:cs="Arial"/>
          <w:sz w:val="20"/>
          <w:szCs w:val="20"/>
          <w:lang w:val="ru-RU"/>
        </w:rPr>
        <w:t xml:space="preserve"> актив</w:t>
      </w:r>
      <w:r w:rsidR="00266984" w:rsidRPr="00E50F94">
        <w:rPr>
          <w:rFonts w:cs="Arial"/>
          <w:sz w:val="20"/>
          <w:szCs w:val="20"/>
          <w:lang w:val="ru-RU"/>
        </w:rPr>
        <w:t>ов</w:t>
      </w:r>
      <w:r w:rsidRPr="00E50F94">
        <w:rPr>
          <w:rFonts w:cs="Arial"/>
          <w:sz w:val="20"/>
          <w:szCs w:val="20"/>
          <w:lang w:val="ru-RU"/>
        </w:rPr>
        <w:t>, переданны</w:t>
      </w:r>
      <w:r w:rsidR="00266984" w:rsidRPr="00E50F94">
        <w:rPr>
          <w:rFonts w:cs="Arial"/>
          <w:sz w:val="20"/>
          <w:szCs w:val="20"/>
          <w:lang w:val="ru-RU"/>
        </w:rPr>
        <w:t>х</w:t>
      </w:r>
      <w:r w:rsidRPr="00E50F94">
        <w:rPr>
          <w:rFonts w:cs="Arial"/>
          <w:sz w:val="20"/>
          <w:szCs w:val="20"/>
          <w:lang w:val="ru-RU"/>
        </w:rPr>
        <w:t xml:space="preserve"> без прекращения признания </w:t>
      </w:r>
      <w:r w:rsidR="00266984" w:rsidRPr="00E50F94">
        <w:rPr>
          <w:rFonts w:cs="Arial"/>
          <w:sz w:val="20"/>
          <w:szCs w:val="20"/>
          <w:lang w:val="ru-RU"/>
        </w:rPr>
        <w:t>у Банка</w:t>
      </w:r>
      <w:r w:rsidR="00266984" w:rsidRPr="00266984">
        <w:rPr>
          <w:rFonts w:cs="Arial"/>
          <w:sz w:val="20"/>
          <w:szCs w:val="20"/>
          <w:lang w:val="ru-RU"/>
        </w:rPr>
        <w:t xml:space="preserve"> нет</w:t>
      </w:r>
      <w:r w:rsidRPr="00266984">
        <w:rPr>
          <w:rFonts w:cs="Arial"/>
          <w:sz w:val="20"/>
          <w:szCs w:val="20"/>
          <w:lang w:val="ru-RU"/>
        </w:rPr>
        <w:t>.</w:t>
      </w:r>
    </w:p>
    <w:p w:rsidR="00DA3BF0" w:rsidRPr="00884713" w:rsidRDefault="00DA3BF0" w:rsidP="00AD5225">
      <w:pPr>
        <w:jc w:val="both"/>
        <w:rPr>
          <w:rFonts w:cs="Arial"/>
          <w:sz w:val="20"/>
          <w:szCs w:val="20"/>
          <w:highlight w:val="yellow"/>
          <w:lang w:val="ru-RU"/>
        </w:rPr>
      </w:pPr>
    </w:p>
    <w:p w:rsidR="00D86E93" w:rsidRPr="00266984" w:rsidRDefault="00DA3BF0" w:rsidP="00AD5225">
      <w:pPr>
        <w:jc w:val="both"/>
        <w:rPr>
          <w:rFonts w:cs="Arial"/>
          <w:b/>
          <w:sz w:val="20"/>
          <w:szCs w:val="20"/>
          <w:lang w:val="ru-RU"/>
        </w:rPr>
      </w:pPr>
      <w:r w:rsidRPr="00266984">
        <w:rPr>
          <w:rFonts w:cs="Arial"/>
          <w:b/>
          <w:sz w:val="20"/>
          <w:szCs w:val="20"/>
          <w:lang w:val="ru-RU"/>
        </w:rPr>
        <w:t>6</w:t>
      </w:r>
      <w:r w:rsidR="00B007D2" w:rsidRPr="00266984">
        <w:rPr>
          <w:rFonts w:cs="Arial"/>
          <w:b/>
          <w:sz w:val="20"/>
          <w:szCs w:val="20"/>
          <w:lang w:val="ru-RU"/>
        </w:rPr>
        <w:t>.1.10</w:t>
      </w:r>
      <w:r w:rsidR="00296D88" w:rsidRPr="00266984">
        <w:rPr>
          <w:rFonts w:cs="Arial"/>
          <w:b/>
          <w:sz w:val="20"/>
          <w:szCs w:val="20"/>
          <w:lang w:val="ru-RU"/>
        </w:rPr>
        <w:t>.</w:t>
      </w:r>
      <w:r w:rsidR="00B007D2" w:rsidRPr="00266984">
        <w:rPr>
          <w:rFonts w:cs="Arial"/>
          <w:b/>
          <w:sz w:val="20"/>
          <w:szCs w:val="20"/>
          <w:lang w:val="ru-RU"/>
        </w:rPr>
        <w:t xml:space="preserve"> </w:t>
      </w:r>
      <w:r w:rsidR="006B4CC1">
        <w:rPr>
          <w:rFonts w:cs="Arial"/>
          <w:b/>
          <w:sz w:val="20"/>
          <w:szCs w:val="20"/>
          <w:lang w:val="ru-RU"/>
        </w:rPr>
        <w:t>Информация о финансовых инструментах, имеющихся в наличии для продажи или удерживаемых для погашения, переклассифицированных</w:t>
      </w:r>
      <w:r w:rsidR="00F15797">
        <w:rPr>
          <w:rFonts w:cs="Arial"/>
          <w:b/>
          <w:sz w:val="20"/>
          <w:szCs w:val="20"/>
          <w:lang w:val="ru-RU"/>
        </w:rPr>
        <w:t xml:space="preserve"> из одной категории в другую</w:t>
      </w:r>
      <w:r w:rsidR="006B4CC1">
        <w:rPr>
          <w:rFonts w:cs="Arial"/>
          <w:b/>
          <w:sz w:val="20"/>
          <w:szCs w:val="20"/>
          <w:lang w:val="ru-RU"/>
        </w:rPr>
        <w:t xml:space="preserve"> </w:t>
      </w:r>
      <w:r w:rsidR="00D86E93" w:rsidRPr="00E50F94">
        <w:rPr>
          <w:rFonts w:cs="Arial"/>
          <w:sz w:val="20"/>
          <w:szCs w:val="20"/>
          <w:lang w:val="ru-RU"/>
        </w:rPr>
        <w:t xml:space="preserve">Финансовых инструментов </w:t>
      </w:r>
      <w:r w:rsidRPr="00E50F94">
        <w:rPr>
          <w:rFonts w:cs="Arial"/>
          <w:sz w:val="20"/>
          <w:szCs w:val="20"/>
          <w:lang w:val="ru-RU"/>
        </w:rPr>
        <w:t>для продажи или</w:t>
      </w:r>
      <w:r w:rsidR="00322E04" w:rsidRPr="00E50F94">
        <w:rPr>
          <w:rFonts w:cs="Arial"/>
          <w:sz w:val="20"/>
          <w:szCs w:val="20"/>
          <w:lang w:val="ru-RU"/>
        </w:rPr>
        <w:t xml:space="preserve"> удерживаемы</w:t>
      </w:r>
      <w:r w:rsidRPr="00E50F94">
        <w:rPr>
          <w:rFonts w:cs="Arial"/>
          <w:sz w:val="20"/>
          <w:szCs w:val="20"/>
          <w:lang w:val="ru-RU"/>
        </w:rPr>
        <w:t>х</w:t>
      </w:r>
      <w:r w:rsidR="00322E04" w:rsidRPr="00E50F94">
        <w:rPr>
          <w:rFonts w:cs="Arial"/>
          <w:sz w:val="20"/>
          <w:szCs w:val="20"/>
          <w:lang w:val="ru-RU"/>
        </w:rPr>
        <w:t xml:space="preserve"> до погашения</w:t>
      </w:r>
      <w:r w:rsidR="00D86E93" w:rsidRPr="00266984">
        <w:rPr>
          <w:rFonts w:cs="Arial"/>
          <w:sz w:val="20"/>
          <w:szCs w:val="20"/>
          <w:lang w:val="ru-RU"/>
        </w:rPr>
        <w:t xml:space="preserve"> </w:t>
      </w:r>
      <w:r w:rsidR="00AF7D29" w:rsidRPr="00266984">
        <w:rPr>
          <w:rFonts w:cs="Arial"/>
          <w:sz w:val="20"/>
          <w:szCs w:val="20"/>
          <w:lang w:val="ru-RU"/>
        </w:rPr>
        <w:t xml:space="preserve">у Банка </w:t>
      </w:r>
      <w:r w:rsidR="00D86E93" w:rsidRPr="00266984">
        <w:rPr>
          <w:rFonts w:cs="Arial"/>
          <w:sz w:val="20"/>
          <w:szCs w:val="20"/>
          <w:lang w:val="ru-RU"/>
        </w:rPr>
        <w:t>нет.</w:t>
      </w:r>
    </w:p>
    <w:p w:rsidR="00D86E93" w:rsidRDefault="00D86E93" w:rsidP="00AD5225">
      <w:pPr>
        <w:jc w:val="both"/>
        <w:rPr>
          <w:rFonts w:cs="Arial"/>
          <w:sz w:val="20"/>
          <w:szCs w:val="20"/>
          <w:highlight w:val="yellow"/>
          <w:lang w:val="ru-RU"/>
        </w:rPr>
      </w:pPr>
    </w:p>
    <w:p w:rsidR="00F15797" w:rsidRDefault="00AF7D29" w:rsidP="00AF7D29">
      <w:pPr>
        <w:overflowPunct/>
        <w:jc w:val="both"/>
        <w:textAlignment w:val="auto"/>
        <w:rPr>
          <w:rFonts w:eastAsiaTheme="minorHAnsi" w:cs="Arial"/>
          <w:b/>
          <w:sz w:val="20"/>
          <w:szCs w:val="20"/>
          <w:lang w:val="ru-RU"/>
        </w:rPr>
      </w:pPr>
      <w:r w:rsidRPr="00266984">
        <w:rPr>
          <w:rFonts w:eastAsiaTheme="minorHAnsi" w:cs="Arial"/>
          <w:b/>
          <w:sz w:val="20"/>
          <w:szCs w:val="20"/>
          <w:lang w:val="ru-RU"/>
        </w:rPr>
        <w:t xml:space="preserve">6.1.11. </w:t>
      </w:r>
      <w:r w:rsidR="00F15797">
        <w:rPr>
          <w:rFonts w:eastAsiaTheme="minorHAnsi" w:cs="Arial"/>
          <w:b/>
          <w:sz w:val="20"/>
          <w:szCs w:val="20"/>
          <w:lang w:val="ru-RU"/>
        </w:rPr>
        <w:t>Информация о финансовых активах и финансовых обязательствах, подлежащих взаимозачету</w:t>
      </w:r>
    </w:p>
    <w:p w:rsidR="00AF7D29" w:rsidRPr="00AF7D29" w:rsidRDefault="00AF7D29" w:rsidP="00AF7D29">
      <w:pPr>
        <w:overflowPunct/>
        <w:jc w:val="both"/>
        <w:textAlignment w:val="auto"/>
        <w:rPr>
          <w:rFonts w:eastAsiaTheme="minorHAnsi" w:cs="Arial"/>
          <w:b/>
          <w:sz w:val="20"/>
          <w:szCs w:val="20"/>
          <w:lang w:val="ru-RU"/>
        </w:rPr>
      </w:pPr>
      <w:r w:rsidRPr="00E50F94">
        <w:rPr>
          <w:rFonts w:eastAsiaTheme="minorHAnsi" w:cs="Arial"/>
          <w:sz w:val="20"/>
          <w:szCs w:val="20"/>
          <w:lang w:val="ru-RU"/>
        </w:rPr>
        <w:t>Финансовых активов и финансовых обязательств, подлежащих взаимозачету у</w:t>
      </w:r>
      <w:r w:rsidRPr="00266984">
        <w:rPr>
          <w:rFonts w:eastAsiaTheme="minorHAnsi" w:cs="Arial"/>
          <w:sz w:val="20"/>
          <w:szCs w:val="20"/>
          <w:lang w:val="ru-RU"/>
        </w:rPr>
        <w:t xml:space="preserve"> Банка нет.</w:t>
      </w:r>
    </w:p>
    <w:p w:rsidR="00AF7D29" w:rsidRPr="00884713" w:rsidRDefault="00AF7D29" w:rsidP="00AD5225">
      <w:pPr>
        <w:jc w:val="both"/>
        <w:rPr>
          <w:rFonts w:cs="Arial"/>
          <w:sz w:val="20"/>
          <w:szCs w:val="20"/>
          <w:highlight w:val="yellow"/>
          <w:lang w:val="ru-RU"/>
        </w:rPr>
      </w:pPr>
    </w:p>
    <w:p w:rsidR="00F15797" w:rsidRDefault="002905C4" w:rsidP="00AF7D29">
      <w:pPr>
        <w:jc w:val="both"/>
        <w:rPr>
          <w:rFonts w:cs="Arial"/>
          <w:b/>
          <w:sz w:val="20"/>
          <w:szCs w:val="20"/>
          <w:lang w:val="ru-RU"/>
        </w:rPr>
      </w:pPr>
      <w:r>
        <w:rPr>
          <w:rFonts w:cs="Arial"/>
          <w:b/>
          <w:sz w:val="20"/>
          <w:szCs w:val="20"/>
          <w:lang w:val="ru-RU"/>
        </w:rPr>
        <w:t xml:space="preserve">6.1.12. </w:t>
      </w:r>
      <w:r w:rsidR="00F15797">
        <w:rPr>
          <w:rFonts w:cs="Arial"/>
          <w:b/>
          <w:sz w:val="20"/>
          <w:szCs w:val="20"/>
          <w:lang w:val="ru-RU"/>
        </w:rPr>
        <w:t>Информация о финансовых активах, переданных (полученных) в качестве обеспечения</w:t>
      </w:r>
    </w:p>
    <w:p w:rsidR="00AF7D29" w:rsidRPr="00266984" w:rsidRDefault="00AF7D29" w:rsidP="00AF7D29">
      <w:pPr>
        <w:jc w:val="both"/>
        <w:rPr>
          <w:rFonts w:cs="Arial"/>
          <w:b/>
          <w:sz w:val="20"/>
          <w:szCs w:val="20"/>
          <w:lang w:val="ru-RU"/>
        </w:rPr>
      </w:pPr>
      <w:r w:rsidRPr="00E50F94">
        <w:rPr>
          <w:rFonts w:cs="Arial"/>
          <w:sz w:val="20"/>
          <w:szCs w:val="20"/>
          <w:lang w:val="ru-RU"/>
        </w:rPr>
        <w:t>Ценные бумаги в качестве обеспечения не предоставлялись</w:t>
      </w:r>
      <w:r w:rsidRPr="00266984">
        <w:rPr>
          <w:rFonts w:cs="Arial"/>
          <w:sz w:val="20"/>
          <w:szCs w:val="20"/>
          <w:lang w:val="ru-RU"/>
        </w:rPr>
        <w:t>.</w:t>
      </w:r>
    </w:p>
    <w:p w:rsidR="00AF7D29" w:rsidRDefault="00AF7D29" w:rsidP="00AD5225">
      <w:pPr>
        <w:jc w:val="both"/>
        <w:rPr>
          <w:rFonts w:cs="Arial"/>
          <w:b/>
          <w:sz w:val="20"/>
          <w:szCs w:val="20"/>
          <w:highlight w:val="yellow"/>
          <w:lang w:val="ru-RU"/>
        </w:rPr>
      </w:pPr>
    </w:p>
    <w:p w:rsidR="00703C5D" w:rsidRDefault="00AF7D29" w:rsidP="00AF7D29">
      <w:pPr>
        <w:overflowPunct/>
        <w:jc w:val="both"/>
        <w:textAlignment w:val="auto"/>
        <w:rPr>
          <w:rFonts w:eastAsiaTheme="minorHAnsi" w:cs="Arial"/>
          <w:b/>
          <w:bCs/>
          <w:sz w:val="20"/>
          <w:szCs w:val="20"/>
          <w:lang w:val="ru-RU"/>
        </w:rPr>
      </w:pPr>
      <w:r w:rsidRPr="00266984">
        <w:rPr>
          <w:rFonts w:eastAsiaTheme="minorHAnsi" w:cs="Arial"/>
          <w:b/>
          <w:bCs/>
          <w:sz w:val="20"/>
          <w:szCs w:val="20"/>
          <w:lang w:val="ru-RU"/>
        </w:rPr>
        <w:t xml:space="preserve">6.1.13. </w:t>
      </w:r>
      <w:r w:rsidR="00F15797">
        <w:rPr>
          <w:rFonts w:eastAsiaTheme="minorHAnsi" w:cs="Arial"/>
          <w:b/>
          <w:bCs/>
          <w:sz w:val="20"/>
          <w:szCs w:val="20"/>
          <w:lang w:val="ru-RU"/>
        </w:rPr>
        <w:t xml:space="preserve">Информация </w:t>
      </w:r>
      <w:r w:rsidR="00703C5D">
        <w:rPr>
          <w:rFonts w:eastAsiaTheme="minorHAnsi" w:cs="Arial"/>
          <w:b/>
          <w:bCs/>
          <w:sz w:val="20"/>
          <w:szCs w:val="20"/>
          <w:lang w:val="ru-RU"/>
        </w:rPr>
        <w:t>о финансовых активах, изменение первоначальной стоимости которых отражается путем создания резервов на возможные потери</w:t>
      </w:r>
    </w:p>
    <w:p w:rsidR="00AF7D29" w:rsidRPr="00266984" w:rsidRDefault="00266984" w:rsidP="00AF7D29">
      <w:pPr>
        <w:overflowPunct/>
        <w:jc w:val="both"/>
        <w:textAlignment w:val="auto"/>
        <w:rPr>
          <w:rFonts w:eastAsiaTheme="minorHAnsi" w:cs="Arial"/>
          <w:bCs/>
          <w:sz w:val="20"/>
          <w:szCs w:val="20"/>
          <w:lang w:val="ru-RU"/>
        </w:rPr>
      </w:pPr>
      <w:r w:rsidRPr="00E50F94">
        <w:rPr>
          <w:rFonts w:eastAsiaTheme="minorHAnsi" w:cs="Arial"/>
          <w:bCs/>
          <w:sz w:val="20"/>
          <w:szCs w:val="20"/>
          <w:lang w:val="ru-RU"/>
        </w:rPr>
        <w:t>И</w:t>
      </w:r>
      <w:r w:rsidR="00AF7D29" w:rsidRPr="00E50F94">
        <w:rPr>
          <w:rFonts w:eastAsiaTheme="minorHAnsi" w:cs="Arial"/>
          <w:bCs/>
          <w:sz w:val="20"/>
          <w:szCs w:val="20"/>
          <w:lang w:val="ru-RU"/>
        </w:rPr>
        <w:t xml:space="preserve">зменение первоначальной стоимости </w:t>
      </w:r>
      <w:r w:rsidRPr="00E50F94">
        <w:rPr>
          <w:rFonts w:eastAsiaTheme="minorHAnsi" w:cs="Arial"/>
          <w:bCs/>
          <w:sz w:val="20"/>
          <w:szCs w:val="20"/>
          <w:lang w:val="ru-RU"/>
        </w:rPr>
        <w:t>финансовых активов</w:t>
      </w:r>
      <w:r w:rsidR="00AF7D29" w:rsidRPr="00E50F94">
        <w:rPr>
          <w:rFonts w:eastAsiaTheme="minorHAnsi" w:cs="Arial"/>
          <w:bCs/>
          <w:sz w:val="20"/>
          <w:szCs w:val="20"/>
          <w:lang w:val="ru-RU"/>
        </w:rPr>
        <w:t xml:space="preserve"> путем создани</w:t>
      </w:r>
      <w:r w:rsidRPr="00E50F94">
        <w:rPr>
          <w:rFonts w:eastAsiaTheme="minorHAnsi" w:cs="Arial"/>
          <w:bCs/>
          <w:sz w:val="20"/>
          <w:szCs w:val="20"/>
          <w:lang w:val="ru-RU"/>
        </w:rPr>
        <w:t>я резервов на возможные потери не происходило</w:t>
      </w:r>
      <w:r w:rsidRPr="00266984">
        <w:rPr>
          <w:rFonts w:eastAsiaTheme="minorHAnsi" w:cs="Arial"/>
          <w:bCs/>
          <w:sz w:val="20"/>
          <w:szCs w:val="20"/>
          <w:lang w:val="ru-RU"/>
        </w:rPr>
        <w:t>.</w:t>
      </w:r>
    </w:p>
    <w:p w:rsidR="00AF7D29" w:rsidRDefault="00AF7D29" w:rsidP="00AD5225">
      <w:pPr>
        <w:jc w:val="both"/>
        <w:rPr>
          <w:rFonts w:cs="Arial"/>
          <w:b/>
          <w:sz w:val="20"/>
          <w:szCs w:val="20"/>
          <w:highlight w:val="yellow"/>
          <w:lang w:val="ru-RU"/>
        </w:rPr>
      </w:pPr>
    </w:p>
    <w:p w:rsidR="00AF7D29" w:rsidRPr="00AF7D29" w:rsidRDefault="00AF7D29" w:rsidP="00AF7D29">
      <w:pPr>
        <w:overflowPunct/>
        <w:jc w:val="both"/>
        <w:textAlignment w:val="auto"/>
        <w:rPr>
          <w:rFonts w:eastAsiaTheme="minorHAnsi" w:cs="Arial"/>
          <w:b/>
          <w:sz w:val="20"/>
          <w:szCs w:val="20"/>
          <w:lang w:val="ru-RU"/>
        </w:rPr>
      </w:pPr>
      <w:r w:rsidRPr="00AF7D29">
        <w:rPr>
          <w:rFonts w:eastAsiaTheme="minorHAnsi" w:cs="Arial"/>
          <w:b/>
          <w:sz w:val="20"/>
          <w:szCs w:val="20"/>
          <w:lang w:val="ru-RU"/>
        </w:rPr>
        <w:t>6.1.14. Информаци</w:t>
      </w:r>
      <w:r w:rsidR="00E50F94">
        <w:rPr>
          <w:rFonts w:eastAsiaTheme="minorHAnsi" w:cs="Arial"/>
          <w:b/>
          <w:sz w:val="20"/>
          <w:szCs w:val="20"/>
          <w:lang w:val="ru-RU"/>
        </w:rPr>
        <w:t>я</w:t>
      </w:r>
      <w:r w:rsidRPr="00AF7D29">
        <w:rPr>
          <w:rFonts w:eastAsiaTheme="minorHAnsi" w:cs="Arial"/>
          <w:b/>
          <w:sz w:val="20"/>
          <w:szCs w:val="20"/>
          <w:lang w:val="ru-RU"/>
        </w:rPr>
        <w:t xml:space="preserve"> по основны</w:t>
      </w:r>
      <w:r>
        <w:rPr>
          <w:rFonts w:eastAsiaTheme="minorHAnsi" w:cs="Arial"/>
          <w:b/>
          <w:sz w:val="20"/>
          <w:szCs w:val="20"/>
          <w:lang w:val="ru-RU"/>
        </w:rPr>
        <w:t>м</w:t>
      </w:r>
      <w:r w:rsidRPr="00AF7D29">
        <w:rPr>
          <w:rFonts w:eastAsiaTheme="minorHAnsi" w:cs="Arial"/>
          <w:b/>
          <w:sz w:val="20"/>
          <w:szCs w:val="20"/>
          <w:lang w:val="ru-RU"/>
        </w:rPr>
        <w:t xml:space="preserve"> средств</w:t>
      </w:r>
      <w:r>
        <w:rPr>
          <w:rFonts w:eastAsiaTheme="minorHAnsi" w:cs="Arial"/>
          <w:b/>
          <w:sz w:val="20"/>
          <w:szCs w:val="20"/>
          <w:lang w:val="ru-RU"/>
        </w:rPr>
        <w:t>ам</w:t>
      </w:r>
    </w:p>
    <w:p w:rsidR="005D25B4" w:rsidRDefault="005D25B4" w:rsidP="000C4231">
      <w:pPr>
        <w:jc w:val="both"/>
        <w:rPr>
          <w:sz w:val="20"/>
          <w:szCs w:val="20"/>
          <w:highlight w:val="yellow"/>
          <w:lang w:val="ru-RU"/>
        </w:rPr>
      </w:pPr>
    </w:p>
    <w:p w:rsidR="00BF2463" w:rsidRPr="00BF2463" w:rsidRDefault="00BF2463" w:rsidP="00BF2463">
      <w:pPr>
        <w:jc w:val="both"/>
        <w:rPr>
          <w:rFonts w:cs="Arial"/>
          <w:sz w:val="20"/>
          <w:szCs w:val="20"/>
          <w:lang w:val="ru-RU"/>
        </w:rPr>
      </w:pPr>
      <w:r w:rsidRPr="00BF2463">
        <w:rPr>
          <w:rFonts w:cs="Arial"/>
          <w:sz w:val="20"/>
          <w:szCs w:val="20"/>
          <w:lang w:val="ru-RU"/>
        </w:rPr>
        <w:t>Для определения балансовой стоимости основных средств Банк использует справедливую (рыночную</w:t>
      </w:r>
      <w:r>
        <w:rPr>
          <w:rFonts w:cs="Arial"/>
          <w:sz w:val="20"/>
          <w:szCs w:val="20"/>
          <w:lang w:val="ru-RU"/>
        </w:rPr>
        <w:t>)</w:t>
      </w:r>
      <w:r w:rsidRPr="00BF2463">
        <w:rPr>
          <w:rFonts w:cs="Arial"/>
          <w:sz w:val="20"/>
          <w:szCs w:val="20"/>
          <w:lang w:val="ru-RU"/>
        </w:rPr>
        <w:t xml:space="preserve"> стоимость. </w:t>
      </w:r>
    </w:p>
    <w:p w:rsidR="00BF2463" w:rsidRPr="00BF2463" w:rsidRDefault="00BF2463" w:rsidP="00BF2463">
      <w:pPr>
        <w:jc w:val="both"/>
        <w:rPr>
          <w:rFonts w:cs="Arial"/>
          <w:sz w:val="20"/>
          <w:szCs w:val="20"/>
          <w:lang w:val="ru-RU"/>
        </w:rPr>
      </w:pPr>
      <w:r w:rsidRPr="00BF2463">
        <w:rPr>
          <w:rFonts w:cs="Arial"/>
          <w:sz w:val="20"/>
          <w:szCs w:val="20"/>
          <w:lang w:val="ru-RU"/>
        </w:rPr>
        <w:t>Для всех основных средств Банк применяет метод равномерного начисления амортизации - линейный способ. С</w:t>
      </w:r>
      <w:r w:rsidRPr="00BF2463">
        <w:rPr>
          <w:rFonts w:eastAsia="Calibri" w:cs="Arial"/>
          <w:sz w:val="20"/>
          <w:szCs w:val="20"/>
          <w:lang w:val="ru-RU"/>
        </w:rPr>
        <w:t>пособ</w:t>
      </w:r>
      <w:r w:rsidR="00703C5D">
        <w:rPr>
          <w:rFonts w:eastAsia="Calibri" w:cs="Arial"/>
          <w:sz w:val="20"/>
          <w:szCs w:val="20"/>
          <w:lang w:val="ru-RU"/>
        </w:rPr>
        <w:t>ы</w:t>
      </w:r>
      <w:r w:rsidRPr="00BF2463">
        <w:rPr>
          <w:rFonts w:eastAsia="Calibri" w:cs="Arial"/>
          <w:sz w:val="20"/>
          <w:szCs w:val="20"/>
          <w:lang w:val="ru-RU"/>
        </w:rPr>
        <w:t xml:space="preserve"> начисления амортизации объекта основных средств пересматрива</w:t>
      </w:r>
      <w:r w:rsidR="00703C5D">
        <w:rPr>
          <w:rFonts w:eastAsia="Calibri" w:cs="Arial"/>
          <w:sz w:val="20"/>
          <w:szCs w:val="20"/>
          <w:lang w:val="ru-RU"/>
        </w:rPr>
        <w:t>ю</w:t>
      </w:r>
      <w:r w:rsidRPr="00BF2463">
        <w:rPr>
          <w:rFonts w:eastAsia="Calibri" w:cs="Arial"/>
          <w:sz w:val="20"/>
          <w:szCs w:val="20"/>
          <w:lang w:val="ru-RU"/>
        </w:rPr>
        <w:t>тся в конце каждого отчетного года.</w:t>
      </w:r>
    </w:p>
    <w:p w:rsidR="00BF2463" w:rsidRDefault="00BF2463" w:rsidP="00BF2463">
      <w:pPr>
        <w:jc w:val="both"/>
        <w:rPr>
          <w:rFonts w:cs="Arial"/>
          <w:sz w:val="20"/>
          <w:szCs w:val="20"/>
          <w:lang w:val="ru-RU"/>
        </w:rPr>
      </w:pPr>
      <w:r w:rsidRPr="00BF2463">
        <w:rPr>
          <w:rFonts w:cs="Arial"/>
          <w:sz w:val="20"/>
          <w:szCs w:val="20"/>
          <w:lang w:val="ru-RU"/>
        </w:rPr>
        <w:t>Срок полезного использования в отношении каждого объекта основных средств определяет Банк. Внутри однородных групп основных средств каждому объекту назначается свой срок полезного использования. С</w:t>
      </w:r>
      <w:r w:rsidRPr="00BF2463">
        <w:rPr>
          <w:rFonts w:eastAsia="Calibri" w:cs="Arial"/>
          <w:sz w:val="20"/>
          <w:szCs w:val="20"/>
          <w:lang w:val="ru-RU"/>
        </w:rPr>
        <w:t>рок</w:t>
      </w:r>
      <w:r w:rsidR="00703C5D">
        <w:rPr>
          <w:rFonts w:eastAsia="Calibri" w:cs="Arial"/>
          <w:sz w:val="20"/>
          <w:szCs w:val="20"/>
          <w:lang w:val="ru-RU"/>
        </w:rPr>
        <w:t>и</w:t>
      </w:r>
      <w:r w:rsidRPr="00BF2463">
        <w:rPr>
          <w:rFonts w:eastAsia="Calibri" w:cs="Arial"/>
          <w:sz w:val="20"/>
          <w:szCs w:val="20"/>
          <w:lang w:val="ru-RU"/>
        </w:rPr>
        <w:t xml:space="preserve"> полезного использования объекта основных средств пересматриваются в конце каждого отчетного года. </w:t>
      </w:r>
      <w:r w:rsidRPr="00BF2463">
        <w:rPr>
          <w:rFonts w:cs="Arial"/>
          <w:sz w:val="20"/>
          <w:szCs w:val="20"/>
          <w:lang w:val="ru-RU"/>
        </w:rPr>
        <w:t>В первый рабочий день года составляется распоряжение об утверждении сроков полезного использования по объектам основных средств. По вновь вводимым объектам основных средств создается отдельное распоряжение об утверждении срока полезного использования.</w:t>
      </w:r>
    </w:p>
    <w:p w:rsidR="00BF2463" w:rsidRPr="00BF2463" w:rsidRDefault="00BF2463" w:rsidP="00BF2463">
      <w:pPr>
        <w:jc w:val="both"/>
        <w:rPr>
          <w:rFonts w:cs="Arial"/>
          <w:sz w:val="20"/>
          <w:szCs w:val="20"/>
          <w:lang w:val="ru-RU"/>
        </w:rPr>
      </w:pPr>
    </w:p>
    <w:p w:rsidR="00BF2463" w:rsidRPr="00BF2463" w:rsidRDefault="00BF2463" w:rsidP="00BF2463">
      <w:pPr>
        <w:jc w:val="both"/>
        <w:rPr>
          <w:rFonts w:cs="Arial"/>
          <w:b/>
          <w:sz w:val="20"/>
          <w:szCs w:val="20"/>
          <w:lang w:val="ru-RU"/>
        </w:rPr>
      </w:pPr>
      <w:r w:rsidRPr="00BF2463">
        <w:rPr>
          <w:rFonts w:cs="Arial"/>
          <w:b/>
          <w:sz w:val="20"/>
          <w:szCs w:val="20"/>
          <w:lang w:val="ru-RU"/>
        </w:rPr>
        <w:t>Состав, структура и измен</w:t>
      </w:r>
      <w:r>
        <w:rPr>
          <w:rFonts w:cs="Arial"/>
          <w:b/>
          <w:sz w:val="20"/>
          <w:szCs w:val="20"/>
          <w:lang w:val="ru-RU"/>
        </w:rPr>
        <w:t>ение стоимости основных средств</w:t>
      </w:r>
    </w:p>
    <w:p w:rsidR="00BF2463" w:rsidRPr="00BF2463" w:rsidRDefault="00BF2463" w:rsidP="00BF2463">
      <w:pPr>
        <w:jc w:val="both"/>
        <w:rPr>
          <w:rFonts w:cs="Arial"/>
          <w:sz w:val="20"/>
          <w:szCs w:val="20"/>
          <w:lang w:val="ru-RU"/>
        </w:rPr>
      </w:pP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BF2463" w:rsidRPr="002B1610" w:rsidTr="00BF2463">
        <w:trPr>
          <w:trHeight w:val="239"/>
        </w:trPr>
        <w:tc>
          <w:tcPr>
            <w:tcW w:w="1843" w:type="dxa"/>
            <w:tcBorders>
              <w:top w:val="single" w:sz="4" w:space="0" w:color="auto"/>
              <w:bottom w:val="single" w:sz="4" w:space="0" w:color="auto"/>
            </w:tcBorders>
            <w:shd w:val="clear" w:color="auto" w:fill="auto"/>
            <w:vAlign w:val="bottom"/>
            <w:hideMark/>
          </w:tcPr>
          <w:p w:rsidR="00BF2463" w:rsidRPr="00BF2463" w:rsidRDefault="00BF2463" w:rsidP="00BF2463">
            <w:pPr>
              <w:rPr>
                <w:rFonts w:cs="Arial"/>
                <w:b/>
                <w:bCs/>
                <w:sz w:val="12"/>
                <w:szCs w:val="12"/>
                <w:lang w:val="ru-RU" w:eastAsia="ru-RU"/>
              </w:rPr>
            </w:pPr>
          </w:p>
        </w:tc>
        <w:tc>
          <w:tcPr>
            <w:tcW w:w="2126" w:type="dxa"/>
            <w:gridSpan w:val="2"/>
            <w:tcBorders>
              <w:top w:val="single" w:sz="4" w:space="0" w:color="auto"/>
              <w:bottom w:val="single" w:sz="4" w:space="0" w:color="auto"/>
            </w:tcBorders>
          </w:tcPr>
          <w:p w:rsidR="00BF2463" w:rsidRPr="00BF2463" w:rsidRDefault="00BF2463" w:rsidP="00BF2463">
            <w:pPr>
              <w:rPr>
                <w:rFonts w:cs="Arial"/>
                <w:b/>
                <w:bCs/>
                <w:sz w:val="12"/>
                <w:szCs w:val="12"/>
                <w:lang w:val="ru-RU"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31.12.2017</w:t>
            </w:r>
          </w:p>
        </w:tc>
        <w:tc>
          <w:tcPr>
            <w:tcW w:w="2410" w:type="dxa"/>
            <w:gridSpan w:val="3"/>
            <w:tcBorders>
              <w:top w:val="single" w:sz="4" w:space="0" w:color="auto"/>
              <w:bottom w:val="single" w:sz="4" w:space="0" w:color="auto"/>
            </w:tcBorders>
            <w:shd w:val="clear" w:color="auto" w:fill="auto"/>
            <w:vAlign w:val="bottom"/>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За двенадцать месяцев, завершившихся 31.12.2018</w:t>
            </w:r>
          </w:p>
        </w:tc>
        <w:tc>
          <w:tcPr>
            <w:tcW w:w="3575" w:type="dxa"/>
            <w:gridSpan w:val="4"/>
            <w:tcBorders>
              <w:top w:val="single" w:sz="4" w:space="0" w:color="auto"/>
              <w:bottom w:val="single" w:sz="4" w:space="0" w:color="auto"/>
            </w:tcBorders>
            <w:shd w:val="clear" w:color="auto" w:fill="auto"/>
            <w:noWrap/>
            <w:vAlign w:val="bottom"/>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 xml:space="preserve"> 31.12.2018</w:t>
            </w:r>
          </w:p>
        </w:tc>
      </w:tr>
      <w:tr w:rsidR="00BF2463" w:rsidRPr="002B1610" w:rsidTr="00BF2463">
        <w:trPr>
          <w:trHeight w:val="462"/>
        </w:trPr>
        <w:tc>
          <w:tcPr>
            <w:tcW w:w="1843" w:type="dxa"/>
            <w:tcBorders>
              <w:top w:val="single" w:sz="4" w:space="0" w:color="auto"/>
              <w:bottom w:val="single" w:sz="4" w:space="0" w:color="auto"/>
            </w:tcBorders>
            <w:shd w:val="clear" w:color="auto" w:fill="auto"/>
            <w:noWrap/>
            <w:vAlign w:val="center"/>
            <w:hideMark/>
          </w:tcPr>
          <w:p w:rsidR="00BF2463" w:rsidRPr="002B1610" w:rsidRDefault="00BF2463" w:rsidP="00BF2463">
            <w:pPr>
              <w:rPr>
                <w:rFonts w:cs="Arial"/>
                <w:b/>
                <w:bCs/>
                <w:sz w:val="12"/>
                <w:szCs w:val="12"/>
                <w:lang w:eastAsia="ru-RU"/>
              </w:rPr>
            </w:pPr>
          </w:p>
          <w:p w:rsidR="00BF2463" w:rsidRPr="002B1610" w:rsidRDefault="00BF2463" w:rsidP="00BF2463">
            <w:pPr>
              <w:rPr>
                <w:rFonts w:cs="Arial"/>
                <w:b/>
                <w:bCs/>
                <w:sz w:val="12"/>
                <w:szCs w:val="12"/>
                <w:lang w:eastAsia="ru-RU"/>
              </w:rPr>
            </w:pPr>
          </w:p>
          <w:p w:rsidR="00BF2463" w:rsidRPr="002B1610" w:rsidRDefault="00BF2463" w:rsidP="00BF2463">
            <w:pPr>
              <w:rPr>
                <w:rFonts w:cs="Arial"/>
                <w:b/>
                <w:bCs/>
                <w:sz w:val="12"/>
                <w:szCs w:val="12"/>
                <w:lang w:eastAsia="ru-RU"/>
              </w:rPr>
            </w:pPr>
            <w:r w:rsidRPr="002B1610">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2B1610" w:rsidRDefault="00BF2463" w:rsidP="00BF2463">
            <w:pPr>
              <w:jc w:val="center"/>
              <w:rPr>
                <w:rFonts w:cs="Arial"/>
                <w:b/>
                <w:bCs/>
                <w:sz w:val="12"/>
                <w:szCs w:val="12"/>
                <w:lang w:eastAsia="ru-RU"/>
              </w:rPr>
            </w:pPr>
          </w:p>
        </w:tc>
        <w:tc>
          <w:tcPr>
            <w:tcW w:w="1275"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Переоценка</w:t>
            </w:r>
            <w:r>
              <w:rPr>
                <w:rFonts w:cs="Arial"/>
                <w:b/>
                <w:bCs/>
                <w:sz w:val="12"/>
                <w:szCs w:val="12"/>
                <w:lang w:eastAsia="ru-RU"/>
              </w:rPr>
              <w:t xml:space="preserve"> (обесценение)</w:t>
            </w:r>
          </w:p>
        </w:tc>
        <w:tc>
          <w:tcPr>
            <w:tcW w:w="992"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Default="00BF2463" w:rsidP="00BF2463">
            <w:pPr>
              <w:jc w:val="center"/>
              <w:rPr>
                <w:rFonts w:cs="Arial"/>
                <w:b/>
                <w:bCs/>
                <w:sz w:val="12"/>
                <w:szCs w:val="12"/>
                <w:lang w:val="ru-RU" w:eastAsia="ru-RU"/>
              </w:rPr>
            </w:pPr>
            <w:r w:rsidRPr="002B1610">
              <w:rPr>
                <w:rFonts w:cs="Arial"/>
                <w:b/>
                <w:bCs/>
                <w:sz w:val="12"/>
                <w:szCs w:val="12"/>
                <w:lang w:eastAsia="ru-RU"/>
              </w:rPr>
              <w:t>Поступле</w:t>
            </w: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ние</w:t>
            </w:r>
          </w:p>
        </w:tc>
        <w:tc>
          <w:tcPr>
            <w:tcW w:w="709"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Default="00BF2463" w:rsidP="00BF2463">
            <w:pPr>
              <w:jc w:val="center"/>
              <w:rPr>
                <w:rFonts w:cs="Arial"/>
                <w:b/>
                <w:bCs/>
                <w:sz w:val="12"/>
                <w:szCs w:val="12"/>
                <w:lang w:val="ru-RU" w:eastAsia="ru-RU"/>
              </w:rPr>
            </w:pPr>
            <w:r w:rsidRPr="002B1610">
              <w:rPr>
                <w:rFonts w:cs="Arial"/>
                <w:b/>
                <w:bCs/>
                <w:sz w:val="12"/>
                <w:szCs w:val="12"/>
                <w:lang w:eastAsia="ru-RU"/>
              </w:rPr>
              <w:t>Остаточ</w:t>
            </w: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ная стоимость</w:t>
            </w:r>
          </w:p>
        </w:tc>
        <w:tc>
          <w:tcPr>
            <w:tcW w:w="740"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Итого</w:t>
            </w:r>
          </w:p>
        </w:tc>
      </w:tr>
      <w:tr w:rsidR="00BF2463" w:rsidRPr="002B1610" w:rsidTr="00BF2463">
        <w:trPr>
          <w:trHeight w:val="390"/>
        </w:trPr>
        <w:tc>
          <w:tcPr>
            <w:tcW w:w="1843" w:type="dxa"/>
            <w:tcBorders>
              <w:top w:val="single" w:sz="4" w:space="0" w:color="auto"/>
            </w:tcBorders>
            <w:shd w:val="clear" w:color="auto" w:fill="auto"/>
            <w:vAlign w:val="bottom"/>
            <w:hideMark/>
          </w:tcPr>
          <w:p w:rsidR="00BF2463" w:rsidRPr="00BF2463" w:rsidRDefault="00BF2463" w:rsidP="00BF2463">
            <w:pPr>
              <w:rPr>
                <w:rFonts w:cs="Arial"/>
                <w:b/>
                <w:bCs/>
                <w:sz w:val="12"/>
                <w:szCs w:val="12"/>
                <w:lang w:val="ru-RU" w:eastAsia="ru-RU"/>
              </w:rPr>
            </w:pPr>
            <w:r w:rsidRPr="00BF2463">
              <w:rPr>
                <w:rFonts w:cs="Arial"/>
                <w:b/>
                <w:bCs/>
                <w:sz w:val="12"/>
                <w:szCs w:val="12"/>
                <w:lang w:val="ru-RU" w:eastAsia="ru-RU"/>
              </w:rPr>
              <w:t>Основные средства, всего в т.ч.:</w:t>
            </w:r>
          </w:p>
        </w:tc>
        <w:tc>
          <w:tcPr>
            <w:tcW w:w="851" w:type="dxa"/>
            <w:tcBorders>
              <w:top w:val="single" w:sz="4" w:space="0" w:color="auto"/>
              <w:bottom w:val="single" w:sz="4" w:space="0" w:color="auto"/>
            </w:tcBorders>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1 098 938</w:t>
            </w:r>
          </w:p>
        </w:tc>
        <w:tc>
          <w:tcPr>
            <w:tcW w:w="1275"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1 512 412</w:t>
            </w:r>
          </w:p>
        </w:tc>
        <w:tc>
          <w:tcPr>
            <w:tcW w:w="709"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43 365</w:t>
            </w:r>
          </w:p>
        </w:tc>
        <w:tc>
          <w:tcPr>
            <w:tcW w:w="992"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5 756</w:t>
            </w:r>
          </w:p>
        </w:tc>
        <w:tc>
          <w:tcPr>
            <w:tcW w:w="709"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(2 936)</w:t>
            </w:r>
          </w:p>
        </w:tc>
        <w:tc>
          <w:tcPr>
            <w:tcW w:w="1134"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(464 040)</w:t>
            </w:r>
          </w:p>
        </w:tc>
        <w:tc>
          <w:tcPr>
            <w:tcW w:w="851"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1 094 557</w:t>
            </w:r>
          </w:p>
        </w:tc>
        <w:tc>
          <w:tcPr>
            <w:tcW w:w="740"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1 094 557</w:t>
            </w:r>
          </w:p>
        </w:tc>
      </w:tr>
      <w:tr w:rsidR="00BF2463" w:rsidRPr="002B1610" w:rsidTr="00BF2463">
        <w:trPr>
          <w:trHeight w:val="300"/>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здания </w:t>
            </w:r>
          </w:p>
        </w:tc>
        <w:tc>
          <w:tcPr>
            <w:tcW w:w="851" w:type="dxa"/>
            <w:tcBorders>
              <w:top w:val="single" w:sz="4" w:space="0" w:color="auto"/>
            </w:tcBorders>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1 086 878</w:t>
            </w:r>
          </w:p>
        </w:tc>
        <w:tc>
          <w:tcPr>
            <w:tcW w:w="1275"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1 363 843</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43 365</w:t>
            </w:r>
          </w:p>
        </w:tc>
        <w:tc>
          <w:tcPr>
            <w:tcW w:w="992"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(323 785)</w:t>
            </w:r>
          </w:p>
        </w:tc>
        <w:tc>
          <w:tcPr>
            <w:tcW w:w="851"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1 083 423</w:t>
            </w:r>
          </w:p>
        </w:tc>
        <w:tc>
          <w:tcPr>
            <w:tcW w:w="74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1 083 423</w:t>
            </w:r>
          </w:p>
        </w:tc>
      </w:tr>
      <w:tr w:rsidR="00BF2463" w:rsidRPr="002B1610" w:rsidTr="00BF2463">
        <w:trPr>
          <w:trHeight w:val="80"/>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оборудование</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7 261</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115 794</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140</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(113 391)</w:t>
            </w:r>
          </w:p>
        </w:tc>
        <w:tc>
          <w:tcPr>
            <w:tcW w:w="851" w:type="dxa"/>
            <w:shd w:val="clear" w:color="auto" w:fill="auto"/>
            <w:noWrap/>
            <w:vAlign w:val="bottom"/>
          </w:tcPr>
          <w:p w:rsidR="00BF2463" w:rsidRPr="00011138" w:rsidRDefault="00011138" w:rsidP="00BF2463">
            <w:pPr>
              <w:jc w:val="center"/>
              <w:rPr>
                <w:rFonts w:cs="Arial"/>
                <w:sz w:val="12"/>
                <w:szCs w:val="12"/>
                <w:lang w:val="ru-RU" w:eastAsia="ru-RU"/>
              </w:rPr>
            </w:pPr>
            <w:r>
              <w:rPr>
                <w:rFonts w:cs="Arial"/>
                <w:sz w:val="12"/>
                <w:szCs w:val="12"/>
                <w:lang w:val="ru-RU" w:eastAsia="ru-RU"/>
              </w:rPr>
              <w:t>2 543</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011138" w:rsidRDefault="00011138" w:rsidP="00BF2463">
            <w:pPr>
              <w:jc w:val="center"/>
              <w:rPr>
                <w:rFonts w:cs="Arial"/>
                <w:sz w:val="12"/>
                <w:szCs w:val="12"/>
                <w:lang w:val="ru-RU" w:eastAsia="ru-RU"/>
              </w:rPr>
            </w:pPr>
            <w:r>
              <w:rPr>
                <w:rFonts w:cs="Arial"/>
                <w:sz w:val="12"/>
                <w:szCs w:val="12"/>
                <w:lang w:val="ru-RU" w:eastAsia="ru-RU"/>
              </w:rPr>
              <w:t>2 543</w:t>
            </w:r>
          </w:p>
        </w:tc>
      </w:tr>
      <w:tr w:rsidR="00BF2463" w:rsidRPr="002B1610" w:rsidTr="00BF2463">
        <w:trPr>
          <w:trHeight w:val="186"/>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транспорт</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4 799</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32 775</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5 616</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(2 936)</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(26 864)</w:t>
            </w:r>
          </w:p>
        </w:tc>
        <w:tc>
          <w:tcPr>
            <w:tcW w:w="851" w:type="dxa"/>
            <w:shd w:val="clear" w:color="auto" w:fill="auto"/>
            <w:noWrap/>
            <w:vAlign w:val="bottom"/>
          </w:tcPr>
          <w:p w:rsidR="00BF2463" w:rsidRPr="00011138" w:rsidRDefault="00011138" w:rsidP="00BF2463">
            <w:pPr>
              <w:jc w:val="center"/>
              <w:rPr>
                <w:rFonts w:cs="Arial"/>
                <w:sz w:val="12"/>
                <w:szCs w:val="12"/>
                <w:lang w:val="ru-RU" w:eastAsia="ru-RU"/>
              </w:rPr>
            </w:pPr>
            <w:r>
              <w:rPr>
                <w:rFonts w:cs="Arial"/>
                <w:sz w:val="12"/>
                <w:szCs w:val="12"/>
                <w:lang w:val="ru-RU" w:eastAsia="ru-RU"/>
              </w:rPr>
              <w:t>8 591</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011138" w:rsidRDefault="00011138" w:rsidP="00BF2463">
            <w:pPr>
              <w:jc w:val="center"/>
              <w:rPr>
                <w:rFonts w:cs="Arial"/>
                <w:sz w:val="12"/>
                <w:szCs w:val="12"/>
                <w:lang w:val="ru-RU" w:eastAsia="ru-RU"/>
              </w:rPr>
            </w:pPr>
            <w:r>
              <w:rPr>
                <w:rFonts w:cs="Arial"/>
                <w:sz w:val="12"/>
                <w:szCs w:val="12"/>
                <w:lang w:val="ru-RU" w:eastAsia="ru-RU"/>
              </w:rPr>
              <w:t>8 591</w:t>
            </w:r>
          </w:p>
        </w:tc>
      </w:tr>
      <w:tr w:rsidR="00BF2463" w:rsidRPr="002B1610" w:rsidTr="00BF2463">
        <w:trPr>
          <w:trHeight w:val="300"/>
        </w:trPr>
        <w:tc>
          <w:tcPr>
            <w:tcW w:w="1843" w:type="dxa"/>
            <w:shd w:val="clear" w:color="auto" w:fill="auto"/>
            <w:noWrap/>
            <w:vAlign w:val="bottom"/>
            <w:hideMark/>
          </w:tcPr>
          <w:p w:rsidR="00BF2463" w:rsidRPr="002B1610" w:rsidRDefault="00BF2463" w:rsidP="00BF2463">
            <w:pPr>
              <w:rPr>
                <w:rFonts w:cs="Arial"/>
                <w:b/>
                <w:bCs/>
                <w:sz w:val="12"/>
                <w:szCs w:val="12"/>
                <w:lang w:eastAsia="ru-RU"/>
              </w:rPr>
            </w:pPr>
            <w:r w:rsidRPr="002B1610">
              <w:rPr>
                <w:rFonts w:cs="Arial"/>
                <w:b/>
                <w:bCs/>
                <w:sz w:val="12"/>
                <w:szCs w:val="12"/>
                <w:lang w:eastAsia="ru-RU"/>
              </w:rPr>
              <w:t>Земля</w:t>
            </w:r>
          </w:p>
        </w:tc>
        <w:tc>
          <w:tcPr>
            <w:tcW w:w="851" w:type="dxa"/>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c>
          <w:tcPr>
            <w:tcW w:w="1275"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c>
          <w:tcPr>
            <w:tcW w:w="709"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20 147</w:t>
            </w:r>
          </w:p>
        </w:tc>
        <w:tc>
          <w:tcPr>
            <w:tcW w:w="992"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709"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1"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20 609</w:t>
            </w:r>
          </w:p>
        </w:tc>
        <w:tc>
          <w:tcPr>
            <w:tcW w:w="740"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20 609</w:t>
            </w:r>
          </w:p>
        </w:tc>
      </w:tr>
      <w:tr w:rsidR="00BF2463" w:rsidRPr="002B1610" w:rsidTr="00BF2463">
        <w:trPr>
          <w:trHeight w:val="390"/>
        </w:trPr>
        <w:tc>
          <w:tcPr>
            <w:tcW w:w="1843" w:type="dxa"/>
            <w:shd w:val="clear" w:color="auto" w:fill="auto"/>
            <w:vAlign w:val="bottom"/>
            <w:hideMark/>
          </w:tcPr>
          <w:p w:rsidR="00BF2463" w:rsidRPr="00BF2463" w:rsidRDefault="00BF2463" w:rsidP="00BF2463">
            <w:pPr>
              <w:rPr>
                <w:rFonts w:cs="Arial"/>
                <w:b/>
                <w:bCs/>
                <w:sz w:val="12"/>
                <w:szCs w:val="12"/>
                <w:lang w:val="ru-RU" w:eastAsia="ru-RU"/>
              </w:rPr>
            </w:pPr>
            <w:r w:rsidRPr="00BF2463">
              <w:rPr>
                <w:rFonts w:cs="Arial"/>
                <w:b/>
                <w:bCs/>
                <w:sz w:val="12"/>
                <w:szCs w:val="12"/>
                <w:lang w:val="ru-RU" w:eastAsia="ru-RU"/>
              </w:rPr>
              <w:t>Материальные запасы, всего в т.ч.:</w:t>
            </w:r>
          </w:p>
        </w:tc>
        <w:tc>
          <w:tcPr>
            <w:tcW w:w="851" w:type="dxa"/>
            <w:tcBorders>
              <w:bottom w:val="single" w:sz="4" w:space="0" w:color="auto"/>
            </w:tcBorders>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5 772</w:t>
            </w:r>
          </w:p>
        </w:tc>
        <w:tc>
          <w:tcPr>
            <w:tcW w:w="1275"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5 772</w:t>
            </w:r>
          </w:p>
        </w:tc>
        <w:tc>
          <w:tcPr>
            <w:tcW w:w="709"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992"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22 890</w:t>
            </w:r>
          </w:p>
        </w:tc>
        <w:tc>
          <w:tcPr>
            <w:tcW w:w="709"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(22 260)</w:t>
            </w:r>
          </w:p>
        </w:tc>
        <w:tc>
          <w:tcPr>
            <w:tcW w:w="1134"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1"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6 402</w:t>
            </w:r>
          </w:p>
        </w:tc>
        <w:tc>
          <w:tcPr>
            <w:tcW w:w="740"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6 402</w:t>
            </w:r>
          </w:p>
        </w:tc>
      </w:tr>
      <w:tr w:rsidR="00BF2463" w:rsidRPr="002B1610" w:rsidTr="00BF2463">
        <w:trPr>
          <w:trHeight w:val="158"/>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запчасти</w:t>
            </w:r>
          </w:p>
        </w:tc>
        <w:tc>
          <w:tcPr>
            <w:tcW w:w="851" w:type="dxa"/>
            <w:tcBorders>
              <w:top w:val="single" w:sz="4" w:space="0" w:color="auto"/>
            </w:tcBorders>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57</w:t>
            </w:r>
          </w:p>
        </w:tc>
        <w:tc>
          <w:tcPr>
            <w:tcW w:w="1275" w:type="dxa"/>
            <w:tcBorders>
              <w:top w:val="single" w:sz="4" w:space="0" w:color="auto"/>
            </w:tcBorders>
            <w:shd w:val="clear" w:color="auto" w:fill="auto"/>
            <w:noWrap/>
            <w:vAlign w:val="bottom"/>
          </w:tcPr>
          <w:p w:rsidR="00BF2463" w:rsidRPr="002B1610" w:rsidRDefault="00BF2463" w:rsidP="006C411E">
            <w:pPr>
              <w:jc w:val="center"/>
              <w:rPr>
                <w:rFonts w:cs="Arial"/>
                <w:sz w:val="12"/>
                <w:szCs w:val="12"/>
                <w:lang w:eastAsia="ru-RU"/>
              </w:rPr>
            </w:pPr>
            <w:r w:rsidRPr="002B1610">
              <w:rPr>
                <w:rFonts w:cs="Arial"/>
                <w:sz w:val="12"/>
                <w:szCs w:val="12"/>
                <w:lang w:eastAsia="ru-RU"/>
              </w:rPr>
              <w:t>57</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2 680</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(2 583)</w:t>
            </w:r>
          </w:p>
        </w:tc>
        <w:tc>
          <w:tcPr>
            <w:tcW w:w="1134"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154</w:t>
            </w:r>
          </w:p>
        </w:tc>
        <w:tc>
          <w:tcPr>
            <w:tcW w:w="74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154</w:t>
            </w:r>
          </w:p>
        </w:tc>
      </w:tr>
      <w:tr w:rsidR="00BF2463" w:rsidRPr="002B1610" w:rsidTr="006C411E">
        <w:trPr>
          <w:trHeight w:val="132"/>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материалы</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1 408</w:t>
            </w:r>
          </w:p>
        </w:tc>
        <w:tc>
          <w:tcPr>
            <w:tcW w:w="1275" w:type="dxa"/>
            <w:shd w:val="clear" w:color="auto" w:fill="auto"/>
            <w:noWrap/>
            <w:vAlign w:val="bottom"/>
          </w:tcPr>
          <w:p w:rsidR="00BF2463" w:rsidRPr="002B1610" w:rsidRDefault="00BF2463" w:rsidP="006C411E">
            <w:pPr>
              <w:jc w:val="center"/>
              <w:rPr>
                <w:rFonts w:cs="Arial"/>
                <w:sz w:val="12"/>
                <w:szCs w:val="12"/>
                <w:lang w:eastAsia="ru-RU"/>
              </w:rPr>
            </w:pPr>
            <w:r w:rsidRPr="002B1610">
              <w:rPr>
                <w:rFonts w:cs="Arial"/>
                <w:sz w:val="12"/>
                <w:szCs w:val="12"/>
                <w:lang w:eastAsia="ru-RU"/>
              </w:rPr>
              <w:t>1 408</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14 422</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(14 089)</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1 741</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1 741</w:t>
            </w:r>
          </w:p>
        </w:tc>
      </w:tr>
      <w:tr w:rsidR="00BF2463" w:rsidRPr="002B1610" w:rsidTr="00BF2463">
        <w:trPr>
          <w:trHeight w:val="247"/>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инвентарь и          принадлежности</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4 307</w:t>
            </w:r>
          </w:p>
        </w:tc>
        <w:tc>
          <w:tcPr>
            <w:tcW w:w="1275" w:type="dxa"/>
            <w:shd w:val="clear" w:color="auto" w:fill="auto"/>
            <w:noWrap/>
            <w:vAlign w:val="bottom"/>
          </w:tcPr>
          <w:p w:rsidR="00BF2463" w:rsidRPr="002B1610" w:rsidRDefault="00BF2463" w:rsidP="006C411E">
            <w:pPr>
              <w:jc w:val="center"/>
              <w:rPr>
                <w:rFonts w:cs="Arial"/>
                <w:sz w:val="12"/>
                <w:szCs w:val="12"/>
                <w:lang w:eastAsia="ru-RU"/>
              </w:rPr>
            </w:pPr>
            <w:r w:rsidRPr="002B1610">
              <w:rPr>
                <w:rFonts w:cs="Arial"/>
                <w:sz w:val="12"/>
                <w:szCs w:val="12"/>
                <w:lang w:eastAsia="ru-RU"/>
              </w:rPr>
              <w:t>4 307</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5 788</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(5 588)</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4 507</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4 507</w:t>
            </w:r>
          </w:p>
        </w:tc>
      </w:tr>
      <w:tr w:rsidR="00BF2463" w:rsidRPr="002B1610" w:rsidTr="006C411E">
        <w:trPr>
          <w:trHeight w:val="128"/>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издания</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275" w:type="dxa"/>
            <w:shd w:val="clear" w:color="auto" w:fill="auto"/>
            <w:noWrap/>
            <w:vAlign w:val="bottom"/>
          </w:tcPr>
          <w:p w:rsidR="00BF2463" w:rsidRPr="002B1610" w:rsidRDefault="00BF2463" w:rsidP="006C411E">
            <w:pPr>
              <w:jc w:val="center"/>
              <w:rPr>
                <w:rFonts w:cs="Arial"/>
                <w:sz w:val="12"/>
                <w:szCs w:val="12"/>
                <w:lang w:eastAsia="ru-RU"/>
              </w:rPr>
            </w:pPr>
            <w:r w:rsidRPr="002B1610">
              <w:rPr>
                <w:rFonts w:cs="Arial"/>
                <w:sz w:val="12"/>
                <w:szCs w:val="12"/>
                <w:lang w:eastAsia="ru-RU"/>
              </w:rPr>
              <w:t>-</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r>
      <w:tr w:rsidR="00BF2463" w:rsidRPr="006C411E" w:rsidTr="006C411E">
        <w:trPr>
          <w:trHeight w:val="80"/>
        </w:trPr>
        <w:tc>
          <w:tcPr>
            <w:tcW w:w="1843" w:type="dxa"/>
            <w:shd w:val="clear" w:color="auto" w:fill="auto"/>
            <w:vAlign w:val="bottom"/>
          </w:tcPr>
          <w:p w:rsidR="00BF2463" w:rsidRPr="006C411E" w:rsidRDefault="006C411E" w:rsidP="00BF2463">
            <w:pPr>
              <w:rPr>
                <w:rFonts w:cs="Arial"/>
                <w:b/>
                <w:sz w:val="12"/>
                <w:szCs w:val="12"/>
                <w:lang w:val="ru-RU" w:eastAsia="ru-RU"/>
              </w:rPr>
            </w:pPr>
            <w:r w:rsidRPr="006C411E">
              <w:rPr>
                <w:rFonts w:cs="Arial"/>
                <w:b/>
                <w:sz w:val="12"/>
                <w:szCs w:val="12"/>
                <w:lang w:val="ru-RU" w:eastAsia="ru-RU"/>
              </w:rPr>
              <w:t>Вложения в сооружение (строительство),создание (изготовление) и приобретение основных средств и нематериальных активов</w:t>
            </w:r>
          </w:p>
        </w:tc>
        <w:tc>
          <w:tcPr>
            <w:tcW w:w="851" w:type="dxa"/>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236</w:t>
            </w:r>
          </w:p>
        </w:tc>
        <w:tc>
          <w:tcPr>
            <w:tcW w:w="1275" w:type="dxa"/>
            <w:shd w:val="clear" w:color="auto" w:fill="auto"/>
            <w:noWrap/>
            <w:vAlign w:val="bottom"/>
          </w:tcPr>
          <w:p w:rsidR="00BF2463" w:rsidRPr="006C411E" w:rsidRDefault="006C411E" w:rsidP="006C411E">
            <w:pPr>
              <w:jc w:val="center"/>
              <w:rPr>
                <w:rFonts w:cs="Arial"/>
                <w:b/>
                <w:sz w:val="12"/>
                <w:szCs w:val="12"/>
                <w:lang w:val="ru-RU" w:eastAsia="ru-RU"/>
              </w:rPr>
            </w:pPr>
            <w:r w:rsidRPr="006C411E">
              <w:rPr>
                <w:rFonts w:cs="Arial"/>
                <w:b/>
                <w:sz w:val="12"/>
                <w:szCs w:val="12"/>
                <w:lang w:val="ru-RU" w:eastAsia="ru-RU"/>
              </w:rPr>
              <w:t>236</w:t>
            </w:r>
          </w:p>
        </w:tc>
        <w:tc>
          <w:tcPr>
            <w:tcW w:w="709" w:type="dxa"/>
            <w:shd w:val="clear" w:color="auto" w:fill="auto"/>
            <w:noWrap/>
            <w:vAlign w:val="bottom"/>
          </w:tcPr>
          <w:p w:rsidR="00BF2463" w:rsidRPr="006C411E" w:rsidRDefault="006C411E" w:rsidP="00BF2463">
            <w:pPr>
              <w:rPr>
                <w:rFonts w:cs="Arial"/>
                <w:b/>
                <w:sz w:val="12"/>
                <w:szCs w:val="12"/>
                <w:lang w:val="ru-RU" w:eastAsia="ru-RU"/>
              </w:rPr>
            </w:pPr>
            <w:r w:rsidRPr="006C411E">
              <w:rPr>
                <w:rFonts w:cs="Arial"/>
                <w:b/>
                <w:sz w:val="12"/>
                <w:szCs w:val="12"/>
                <w:lang w:val="ru-RU" w:eastAsia="ru-RU"/>
              </w:rPr>
              <w:t>-</w:t>
            </w:r>
          </w:p>
        </w:tc>
        <w:tc>
          <w:tcPr>
            <w:tcW w:w="992"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w:t>
            </w:r>
          </w:p>
        </w:tc>
        <w:tc>
          <w:tcPr>
            <w:tcW w:w="709"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w:t>
            </w:r>
          </w:p>
        </w:tc>
        <w:tc>
          <w:tcPr>
            <w:tcW w:w="1134"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w:t>
            </w:r>
          </w:p>
        </w:tc>
        <w:tc>
          <w:tcPr>
            <w:tcW w:w="851"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236</w:t>
            </w:r>
          </w:p>
        </w:tc>
        <w:tc>
          <w:tcPr>
            <w:tcW w:w="740"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w:t>
            </w:r>
          </w:p>
        </w:tc>
        <w:tc>
          <w:tcPr>
            <w:tcW w:w="850" w:type="dxa"/>
            <w:shd w:val="clear" w:color="auto" w:fill="auto"/>
            <w:noWrap/>
            <w:vAlign w:val="bottom"/>
          </w:tcPr>
          <w:p w:rsidR="00BF2463" w:rsidRPr="006C411E" w:rsidRDefault="006C411E" w:rsidP="00BF2463">
            <w:pPr>
              <w:jc w:val="center"/>
              <w:rPr>
                <w:rFonts w:cs="Arial"/>
                <w:b/>
                <w:sz w:val="12"/>
                <w:szCs w:val="12"/>
                <w:lang w:val="ru-RU" w:eastAsia="ru-RU"/>
              </w:rPr>
            </w:pPr>
            <w:r w:rsidRPr="006C411E">
              <w:rPr>
                <w:rFonts w:cs="Arial"/>
                <w:b/>
                <w:sz w:val="12"/>
                <w:szCs w:val="12"/>
                <w:lang w:val="ru-RU" w:eastAsia="ru-RU"/>
              </w:rPr>
              <w:t>236</w:t>
            </w:r>
          </w:p>
        </w:tc>
      </w:tr>
      <w:tr w:rsidR="00BF2463" w:rsidRPr="002B1610" w:rsidTr="00BE27CD">
        <w:trPr>
          <w:trHeight w:val="239"/>
        </w:trPr>
        <w:tc>
          <w:tcPr>
            <w:tcW w:w="1843" w:type="dxa"/>
            <w:tcBorders>
              <w:top w:val="single" w:sz="4" w:space="0" w:color="auto"/>
              <w:bottom w:val="single" w:sz="4" w:space="0" w:color="auto"/>
            </w:tcBorders>
            <w:shd w:val="clear" w:color="auto" w:fill="auto"/>
            <w:vAlign w:val="bottom"/>
            <w:hideMark/>
          </w:tcPr>
          <w:p w:rsidR="00BF2463" w:rsidRPr="006C411E" w:rsidRDefault="00BF2463" w:rsidP="00BF2463">
            <w:pPr>
              <w:rPr>
                <w:rFonts w:cs="Arial"/>
                <w:b/>
                <w:bCs/>
                <w:sz w:val="12"/>
                <w:szCs w:val="12"/>
                <w:lang w:val="ru-RU" w:eastAsia="ru-RU"/>
              </w:rPr>
            </w:pPr>
          </w:p>
        </w:tc>
        <w:tc>
          <w:tcPr>
            <w:tcW w:w="2126" w:type="dxa"/>
            <w:gridSpan w:val="2"/>
            <w:tcBorders>
              <w:top w:val="single" w:sz="4" w:space="0" w:color="auto"/>
              <w:bottom w:val="single" w:sz="4" w:space="0" w:color="auto"/>
            </w:tcBorders>
          </w:tcPr>
          <w:p w:rsidR="00BF2463" w:rsidRPr="006C411E" w:rsidRDefault="00BF2463" w:rsidP="00BF2463">
            <w:pPr>
              <w:rPr>
                <w:rFonts w:cs="Arial"/>
                <w:b/>
                <w:bCs/>
                <w:sz w:val="12"/>
                <w:szCs w:val="12"/>
                <w:lang w:val="ru-RU"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31.12.2016</w:t>
            </w:r>
          </w:p>
        </w:tc>
        <w:tc>
          <w:tcPr>
            <w:tcW w:w="2410" w:type="dxa"/>
            <w:gridSpan w:val="3"/>
            <w:tcBorders>
              <w:top w:val="single" w:sz="4" w:space="0" w:color="auto"/>
              <w:bottom w:val="single" w:sz="4" w:space="0" w:color="auto"/>
            </w:tcBorders>
            <w:shd w:val="clear" w:color="auto" w:fill="auto"/>
            <w:vAlign w:val="bottom"/>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За двенадцать месяцев, завершившихся 31.12.2017</w:t>
            </w:r>
          </w:p>
        </w:tc>
        <w:tc>
          <w:tcPr>
            <w:tcW w:w="3575" w:type="dxa"/>
            <w:gridSpan w:val="4"/>
            <w:tcBorders>
              <w:top w:val="single" w:sz="4" w:space="0" w:color="auto"/>
              <w:bottom w:val="single" w:sz="4" w:space="0" w:color="auto"/>
            </w:tcBorders>
            <w:shd w:val="clear" w:color="auto" w:fill="auto"/>
            <w:noWrap/>
            <w:vAlign w:val="bottom"/>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31.12.2017</w:t>
            </w:r>
          </w:p>
        </w:tc>
      </w:tr>
      <w:tr w:rsidR="00BF2463" w:rsidRPr="002B1610" w:rsidTr="00BE27CD">
        <w:trPr>
          <w:trHeight w:val="462"/>
        </w:trPr>
        <w:tc>
          <w:tcPr>
            <w:tcW w:w="1843" w:type="dxa"/>
            <w:tcBorders>
              <w:top w:val="single" w:sz="4" w:space="0" w:color="auto"/>
              <w:bottom w:val="single" w:sz="4" w:space="0" w:color="auto"/>
            </w:tcBorders>
            <w:shd w:val="clear" w:color="auto" w:fill="auto"/>
            <w:noWrap/>
            <w:vAlign w:val="center"/>
            <w:hideMark/>
          </w:tcPr>
          <w:p w:rsidR="00BF2463" w:rsidRPr="002B1610" w:rsidRDefault="00BF2463" w:rsidP="00BF2463">
            <w:pPr>
              <w:rPr>
                <w:rFonts w:cs="Arial"/>
                <w:b/>
                <w:bCs/>
                <w:sz w:val="12"/>
                <w:szCs w:val="12"/>
                <w:lang w:eastAsia="ru-RU"/>
              </w:rPr>
            </w:pPr>
          </w:p>
          <w:p w:rsidR="00BF2463" w:rsidRPr="002B1610" w:rsidRDefault="00BF2463" w:rsidP="00BF2463">
            <w:pPr>
              <w:rPr>
                <w:rFonts w:cs="Arial"/>
                <w:b/>
                <w:bCs/>
                <w:sz w:val="12"/>
                <w:szCs w:val="12"/>
                <w:lang w:eastAsia="ru-RU"/>
              </w:rPr>
            </w:pPr>
          </w:p>
          <w:p w:rsidR="00BF2463" w:rsidRPr="002B1610" w:rsidRDefault="00BF2463" w:rsidP="00BF2463">
            <w:pPr>
              <w:rPr>
                <w:rFonts w:cs="Arial"/>
                <w:b/>
                <w:bCs/>
                <w:sz w:val="12"/>
                <w:szCs w:val="12"/>
                <w:lang w:eastAsia="ru-RU"/>
              </w:rPr>
            </w:pPr>
            <w:r w:rsidRPr="002B1610">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2B1610" w:rsidRDefault="00BF2463" w:rsidP="00BF2463">
            <w:pPr>
              <w:jc w:val="center"/>
              <w:rPr>
                <w:rFonts w:cs="Arial"/>
                <w:b/>
                <w:bCs/>
                <w:sz w:val="12"/>
                <w:szCs w:val="12"/>
                <w:lang w:eastAsia="ru-RU"/>
              </w:rPr>
            </w:pPr>
          </w:p>
        </w:tc>
        <w:tc>
          <w:tcPr>
            <w:tcW w:w="1275"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Переоценка (обесценение)</w:t>
            </w:r>
          </w:p>
        </w:tc>
        <w:tc>
          <w:tcPr>
            <w:tcW w:w="992"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Default="00BF2463" w:rsidP="00BF2463">
            <w:pPr>
              <w:jc w:val="center"/>
              <w:rPr>
                <w:rFonts w:cs="Arial"/>
                <w:b/>
                <w:bCs/>
                <w:sz w:val="12"/>
                <w:szCs w:val="12"/>
                <w:lang w:val="ru-RU" w:eastAsia="ru-RU"/>
              </w:rPr>
            </w:pPr>
            <w:r w:rsidRPr="002B1610">
              <w:rPr>
                <w:rFonts w:cs="Arial"/>
                <w:b/>
                <w:bCs/>
                <w:sz w:val="12"/>
                <w:szCs w:val="12"/>
                <w:lang w:eastAsia="ru-RU"/>
              </w:rPr>
              <w:t>Поступле</w:t>
            </w: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ние</w:t>
            </w:r>
          </w:p>
        </w:tc>
        <w:tc>
          <w:tcPr>
            <w:tcW w:w="709"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Default="00BF2463" w:rsidP="00BF2463">
            <w:pPr>
              <w:jc w:val="center"/>
              <w:rPr>
                <w:rFonts w:cs="Arial"/>
                <w:b/>
                <w:bCs/>
                <w:sz w:val="12"/>
                <w:szCs w:val="12"/>
                <w:lang w:val="ru-RU" w:eastAsia="ru-RU"/>
              </w:rPr>
            </w:pPr>
            <w:r w:rsidRPr="002B1610">
              <w:rPr>
                <w:rFonts w:cs="Arial"/>
                <w:b/>
                <w:bCs/>
                <w:sz w:val="12"/>
                <w:szCs w:val="12"/>
                <w:lang w:eastAsia="ru-RU"/>
              </w:rPr>
              <w:t>Остаточ</w:t>
            </w: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ная стоимость</w:t>
            </w:r>
          </w:p>
        </w:tc>
        <w:tc>
          <w:tcPr>
            <w:tcW w:w="740"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p>
          <w:p w:rsidR="00BF2463" w:rsidRPr="002B1610" w:rsidRDefault="00BF2463" w:rsidP="00BF2463">
            <w:pPr>
              <w:jc w:val="center"/>
              <w:rPr>
                <w:rFonts w:cs="Arial"/>
                <w:b/>
                <w:bCs/>
                <w:sz w:val="12"/>
                <w:szCs w:val="12"/>
                <w:lang w:eastAsia="ru-RU"/>
              </w:rPr>
            </w:pPr>
            <w:r w:rsidRPr="002B1610">
              <w:rPr>
                <w:rFonts w:cs="Arial"/>
                <w:b/>
                <w:bCs/>
                <w:sz w:val="12"/>
                <w:szCs w:val="12"/>
                <w:lang w:eastAsia="ru-RU"/>
              </w:rPr>
              <w:t>Итого</w:t>
            </w:r>
          </w:p>
        </w:tc>
      </w:tr>
      <w:tr w:rsidR="00BF2463" w:rsidRPr="002B1610" w:rsidTr="00BE27CD">
        <w:trPr>
          <w:trHeight w:val="390"/>
        </w:trPr>
        <w:tc>
          <w:tcPr>
            <w:tcW w:w="1843" w:type="dxa"/>
            <w:tcBorders>
              <w:top w:val="single" w:sz="4" w:space="0" w:color="auto"/>
            </w:tcBorders>
            <w:shd w:val="clear" w:color="auto" w:fill="auto"/>
            <w:vAlign w:val="bottom"/>
            <w:hideMark/>
          </w:tcPr>
          <w:p w:rsidR="00BF2463" w:rsidRPr="00BF2463" w:rsidRDefault="00BF2463" w:rsidP="00BF2463">
            <w:pPr>
              <w:rPr>
                <w:rFonts w:cs="Arial"/>
                <w:b/>
                <w:bCs/>
                <w:sz w:val="12"/>
                <w:szCs w:val="12"/>
                <w:lang w:val="ru-RU" w:eastAsia="ru-RU"/>
              </w:rPr>
            </w:pPr>
            <w:r w:rsidRPr="00BF2463">
              <w:rPr>
                <w:rFonts w:cs="Arial"/>
                <w:b/>
                <w:bCs/>
                <w:sz w:val="12"/>
                <w:szCs w:val="12"/>
                <w:lang w:val="ru-RU" w:eastAsia="ru-RU"/>
              </w:rPr>
              <w:t>Основные средства, всего в т.ч.:</w:t>
            </w:r>
          </w:p>
        </w:tc>
        <w:tc>
          <w:tcPr>
            <w:tcW w:w="851" w:type="dxa"/>
            <w:tcBorders>
              <w:top w:val="single" w:sz="4" w:space="0" w:color="auto"/>
              <w:bottom w:val="single" w:sz="4" w:space="0" w:color="auto"/>
            </w:tcBorders>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1 131 574</w:t>
            </w:r>
          </w:p>
        </w:tc>
        <w:tc>
          <w:tcPr>
            <w:tcW w:w="1275"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1 502 250</w:t>
            </w:r>
          </w:p>
        </w:tc>
        <w:tc>
          <w:tcPr>
            <w:tcW w:w="709"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7 430</w:t>
            </w:r>
          </w:p>
        </w:tc>
        <w:tc>
          <w:tcPr>
            <w:tcW w:w="992"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6 841</w:t>
            </w:r>
          </w:p>
        </w:tc>
        <w:tc>
          <w:tcPr>
            <w:tcW w:w="709"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(4 110)</w:t>
            </w:r>
          </w:p>
        </w:tc>
        <w:tc>
          <w:tcPr>
            <w:tcW w:w="1134"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(413 473)</w:t>
            </w:r>
          </w:p>
        </w:tc>
        <w:tc>
          <w:tcPr>
            <w:tcW w:w="851"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1 098 938</w:t>
            </w:r>
          </w:p>
        </w:tc>
        <w:tc>
          <w:tcPr>
            <w:tcW w:w="740"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tcBorders>
              <w:top w:val="single" w:sz="4" w:space="0" w:color="auto"/>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1 098 938</w:t>
            </w:r>
          </w:p>
        </w:tc>
      </w:tr>
      <w:tr w:rsidR="00BF2463" w:rsidRPr="002B1610" w:rsidTr="00BE27CD">
        <w:trPr>
          <w:trHeight w:val="300"/>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здания </w:t>
            </w:r>
          </w:p>
        </w:tc>
        <w:tc>
          <w:tcPr>
            <w:tcW w:w="851" w:type="dxa"/>
            <w:tcBorders>
              <w:top w:val="single" w:sz="4" w:space="0" w:color="auto"/>
            </w:tcBorders>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1 118 455</w:t>
            </w:r>
          </w:p>
        </w:tc>
        <w:tc>
          <w:tcPr>
            <w:tcW w:w="1275"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1 356 412</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7 430</w:t>
            </w:r>
          </w:p>
        </w:tc>
        <w:tc>
          <w:tcPr>
            <w:tcW w:w="992"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(276 964)</w:t>
            </w:r>
          </w:p>
        </w:tc>
        <w:tc>
          <w:tcPr>
            <w:tcW w:w="851"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1 086 878</w:t>
            </w:r>
          </w:p>
        </w:tc>
        <w:tc>
          <w:tcPr>
            <w:tcW w:w="74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1 086 878</w:t>
            </w:r>
          </w:p>
        </w:tc>
      </w:tr>
      <w:tr w:rsidR="00BF2463" w:rsidRPr="002B1610" w:rsidTr="00BE27CD">
        <w:trPr>
          <w:trHeight w:val="80"/>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оборудование</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8 785</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117 401</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3 650</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(4 110)</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(109 680)</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7 261</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7 261</w:t>
            </w:r>
          </w:p>
        </w:tc>
      </w:tr>
      <w:tr w:rsidR="00BF2463" w:rsidRPr="002B1610" w:rsidTr="00BE27CD">
        <w:trPr>
          <w:trHeight w:val="186"/>
        </w:trPr>
        <w:tc>
          <w:tcPr>
            <w:tcW w:w="1843" w:type="dxa"/>
            <w:shd w:val="clear" w:color="auto" w:fill="auto"/>
            <w:noWrap/>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транспорт</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4 334</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28 437</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3 191</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(26 829)</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4 799</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4 799</w:t>
            </w:r>
          </w:p>
        </w:tc>
      </w:tr>
      <w:tr w:rsidR="00BF2463" w:rsidRPr="002B1610" w:rsidTr="00BE27CD">
        <w:trPr>
          <w:trHeight w:val="300"/>
        </w:trPr>
        <w:tc>
          <w:tcPr>
            <w:tcW w:w="1843" w:type="dxa"/>
            <w:shd w:val="clear" w:color="auto" w:fill="auto"/>
            <w:noWrap/>
            <w:vAlign w:val="bottom"/>
            <w:hideMark/>
          </w:tcPr>
          <w:p w:rsidR="00BF2463" w:rsidRPr="002B1610" w:rsidRDefault="00BF2463" w:rsidP="00BF2463">
            <w:pPr>
              <w:rPr>
                <w:rFonts w:cs="Arial"/>
                <w:b/>
                <w:bCs/>
                <w:sz w:val="12"/>
                <w:szCs w:val="12"/>
                <w:lang w:eastAsia="ru-RU"/>
              </w:rPr>
            </w:pPr>
            <w:r w:rsidRPr="002B1610">
              <w:rPr>
                <w:rFonts w:cs="Arial"/>
                <w:b/>
                <w:bCs/>
                <w:sz w:val="12"/>
                <w:szCs w:val="12"/>
                <w:lang w:eastAsia="ru-RU"/>
              </w:rPr>
              <w:t>Земля</w:t>
            </w:r>
          </w:p>
        </w:tc>
        <w:tc>
          <w:tcPr>
            <w:tcW w:w="851" w:type="dxa"/>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c>
          <w:tcPr>
            <w:tcW w:w="1275"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c>
          <w:tcPr>
            <w:tcW w:w="709"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992"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709"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1"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c>
          <w:tcPr>
            <w:tcW w:w="740"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462</w:t>
            </w:r>
          </w:p>
        </w:tc>
      </w:tr>
      <w:tr w:rsidR="00BF2463" w:rsidRPr="002B1610" w:rsidTr="00BE27CD">
        <w:trPr>
          <w:trHeight w:val="390"/>
        </w:trPr>
        <w:tc>
          <w:tcPr>
            <w:tcW w:w="1843" w:type="dxa"/>
            <w:shd w:val="clear" w:color="auto" w:fill="auto"/>
            <w:vAlign w:val="bottom"/>
            <w:hideMark/>
          </w:tcPr>
          <w:p w:rsidR="00BF2463" w:rsidRPr="00BF2463" w:rsidRDefault="00BF2463" w:rsidP="00BF2463">
            <w:pPr>
              <w:rPr>
                <w:rFonts w:cs="Arial"/>
                <w:b/>
                <w:bCs/>
                <w:sz w:val="12"/>
                <w:szCs w:val="12"/>
                <w:lang w:val="ru-RU" w:eastAsia="ru-RU"/>
              </w:rPr>
            </w:pPr>
            <w:r w:rsidRPr="00BF2463">
              <w:rPr>
                <w:rFonts w:cs="Arial"/>
                <w:b/>
                <w:bCs/>
                <w:sz w:val="12"/>
                <w:szCs w:val="12"/>
                <w:lang w:val="ru-RU" w:eastAsia="ru-RU"/>
              </w:rPr>
              <w:lastRenderedPageBreak/>
              <w:t>Материальные запасы, всего в т.ч.:</w:t>
            </w:r>
          </w:p>
        </w:tc>
        <w:tc>
          <w:tcPr>
            <w:tcW w:w="851" w:type="dxa"/>
            <w:tcBorders>
              <w:bottom w:val="single" w:sz="4" w:space="0" w:color="auto"/>
            </w:tcBorders>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13 626</w:t>
            </w:r>
          </w:p>
        </w:tc>
        <w:tc>
          <w:tcPr>
            <w:tcW w:w="1275"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13 626</w:t>
            </w:r>
          </w:p>
        </w:tc>
        <w:tc>
          <w:tcPr>
            <w:tcW w:w="709"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992"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17 107</w:t>
            </w:r>
          </w:p>
        </w:tc>
        <w:tc>
          <w:tcPr>
            <w:tcW w:w="709"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(24 961)</w:t>
            </w:r>
          </w:p>
        </w:tc>
        <w:tc>
          <w:tcPr>
            <w:tcW w:w="1134"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1"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5 772</w:t>
            </w:r>
          </w:p>
        </w:tc>
        <w:tc>
          <w:tcPr>
            <w:tcW w:w="740"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w:t>
            </w:r>
          </w:p>
        </w:tc>
        <w:tc>
          <w:tcPr>
            <w:tcW w:w="850" w:type="dxa"/>
            <w:tcBorders>
              <w:bottom w:val="single" w:sz="4" w:space="0" w:color="auto"/>
            </w:tcBorders>
            <w:shd w:val="clear" w:color="auto" w:fill="auto"/>
            <w:noWrap/>
            <w:vAlign w:val="bottom"/>
          </w:tcPr>
          <w:p w:rsidR="00BF2463" w:rsidRPr="002B1610" w:rsidRDefault="00BF2463" w:rsidP="00BF2463">
            <w:pPr>
              <w:jc w:val="center"/>
              <w:rPr>
                <w:rFonts w:cs="Arial"/>
                <w:b/>
                <w:bCs/>
                <w:sz w:val="12"/>
                <w:szCs w:val="12"/>
                <w:lang w:eastAsia="ru-RU"/>
              </w:rPr>
            </w:pPr>
            <w:r w:rsidRPr="002B1610">
              <w:rPr>
                <w:rFonts w:cs="Arial"/>
                <w:b/>
                <w:bCs/>
                <w:sz w:val="12"/>
                <w:szCs w:val="12"/>
                <w:lang w:eastAsia="ru-RU"/>
              </w:rPr>
              <w:t>5 772</w:t>
            </w:r>
          </w:p>
        </w:tc>
      </w:tr>
      <w:tr w:rsidR="00BF2463" w:rsidRPr="002B1610" w:rsidTr="00BE27CD">
        <w:trPr>
          <w:trHeight w:val="158"/>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запчасти</w:t>
            </w:r>
          </w:p>
        </w:tc>
        <w:tc>
          <w:tcPr>
            <w:tcW w:w="851" w:type="dxa"/>
            <w:tcBorders>
              <w:top w:val="single" w:sz="4" w:space="0" w:color="auto"/>
            </w:tcBorders>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112</w:t>
            </w:r>
          </w:p>
        </w:tc>
        <w:tc>
          <w:tcPr>
            <w:tcW w:w="1275"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112</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2 289</w:t>
            </w:r>
          </w:p>
        </w:tc>
        <w:tc>
          <w:tcPr>
            <w:tcW w:w="709"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(2 344)</w:t>
            </w:r>
          </w:p>
        </w:tc>
        <w:tc>
          <w:tcPr>
            <w:tcW w:w="1134"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57</w:t>
            </w:r>
          </w:p>
        </w:tc>
        <w:tc>
          <w:tcPr>
            <w:tcW w:w="74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tcBorders>
              <w:top w:val="single" w:sz="4" w:space="0" w:color="auto"/>
            </w:tcBorders>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57</w:t>
            </w:r>
          </w:p>
        </w:tc>
      </w:tr>
      <w:tr w:rsidR="00BF2463" w:rsidRPr="002B1610" w:rsidTr="00BE27CD">
        <w:trPr>
          <w:trHeight w:val="132"/>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материалы</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1 593</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1 593</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9 595</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(9 780)</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1 408</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1 408</w:t>
            </w:r>
          </w:p>
        </w:tc>
      </w:tr>
      <w:tr w:rsidR="00BF2463" w:rsidRPr="002B1610" w:rsidTr="00BE27CD">
        <w:trPr>
          <w:trHeight w:val="247"/>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инвентарь и          принадлежности</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11 921</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11 921</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5 223</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(12 837)</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4 307</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4 307</w:t>
            </w:r>
          </w:p>
        </w:tc>
      </w:tr>
      <w:tr w:rsidR="00BF2463" w:rsidRPr="002B1610" w:rsidTr="00BE27CD">
        <w:trPr>
          <w:trHeight w:val="128"/>
        </w:trPr>
        <w:tc>
          <w:tcPr>
            <w:tcW w:w="1843" w:type="dxa"/>
            <w:shd w:val="clear" w:color="auto" w:fill="auto"/>
            <w:vAlign w:val="bottom"/>
            <w:hideMark/>
          </w:tcPr>
          <w:p w:rsidR="00BF2463" w:rsidRPr="002B1610" w:rsidRDefault="00BF2463" w:rsidP="00BF2463">
            <w:pPr>
              <w:rPr>
                <w:rFonts w:cs="Arial"/>
                <w:sz w:val="12"/>
                <w:szCs w:val="12"/>
                <w:lang w:eastAsia="ru-RU"/>
              </w:rPr>
            </w:pPr>
            <w:r w:rsidRPr="002B1610">
              <w:rPr>
                <w:rFonts w:cs="Arial"/>
                <w:sz w:val="12"/>
                <w:szCs w:val="12"/>
                <w:lang w:eastAsia="ru-RU"/>
              </w:rPr>
              <w:t xml:space="preserve">       издания</w:t>
            </w:r>
          </w:p>
        </w:tc>
        <w:tc>
          <w:tcPr>
            <w:tcW w:w="851" w:type="dxa"/>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275"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992"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09"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1134"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1"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740" w:type="dxa"/>
            <w:shd w:val="clear" w:color="auto" w:fill="auto"/>
            <w:noWrap/>
            <w:vAlign w:val="bottom"/>
          </w:tcPr>
          <w:p w:rsidR="00BF2463" w:rsidRPr="002B1610" w:rsidRDefault="00BF2463" w:rsidP="00BF2463">
            <w:pPr>
              <w:jc w:val="center"/>
              <w:rPr>
                <w:rFonts w:cs="Arial"/>
                <w:sz w:val="12"/>
                <w:szCs w:val="12"/>
                <w:lang w:eastAsia="ru-RU"/>
              </w:rPr>
            </w:pPr>
            <w:r w:rsidRPr="002B1610">
              <w:rPr>
                <w:rFonts w:cs="Arial"/>
                <w:sz w:val="12"/>
                <w:szCs w:val="12"/>
                <w:lang w:eastAsia="ru-RU"/>
              </w:rPr>
              <w:t>-</w:t>
            </w:r>
          </w:p>
        </w:tc>
        <w:tc>
          <w:tcPr>
            <w:tcW w:w="850" w:type="dxa"/>
            <w:shd w:val="clear" w:color="auto" w:fill="auto"/>
            <w:noWrap/>
            <w:vAlign w:val="bottom"/>
          </w:tcPr>
          <w:p w:rsidR="006C411E" w:rsidRPr="006C411E" w:rsidRDefault="00BF2463" w:rsidP="006C411E">
            <w:pPr>
              <w:jc w:val="center"/>
              <w:rPr>
                <w:rFonts w:cs="Arial"/>
                <w:sz w:val="12"/>
                <w:szCs w:val="12"/>
                <w:lang w:val="ru-RU" w:eastAsia="ru-RU"/>
              </w:rPr>
            </w:pPr>
            <w:r w:rsidRPr="002B1610">
              <w:rPr>
                <w:rFonts w:cs="Arial"/>
                <w:sz w:val="12"/>
                <w:szCs w:val="12"/>
                <w:lang w:eastAsia="ru-RU"/>
              </w:rPr>
              <w:t>-</w:t>
            </w:r>
          </w:p>
        </w:tc>
      </w:tr>
      <w:tr w:rsidR="006C411E" w:rsidRPr="006C411E" w:rsidTr="00BE27CD">
        <w:trPr>
          <w:trHeight w:val="128"/>
        </w:trPr>
        <w:tc>
          <w:tcPr>
            <w:tcW w:w="1843" w:type="dxa"/>
            <w:tcBorders>
              <w:bottom w:val="double" w:sz="4" w:space="0" w:color="auto"/>
            </w:tcBorders>
            <w:shd w:val="clear" w:color="auto" w:fill="auto"/>
            <w:vAlign w:val="bottom"/>
          </w:tcPr>
          <w:p w:rsidR="006C411E" w:rsidRPr="006C411E" w:rsidRDefault="006C411E" w:rsidP="006C411E">
            <w:pPr>
              <w:rPr>
                <w:rFonts w:cs="Arial"/>
                <w:b/>
                <w:sz w:val="12"/>
                <w:szCs w:val="12"/>
                <w:lang w:val="ru-RU" w:eastAsia="ru-RU"/>
              </w:rPr>
            </w:pPr>
            <w:r w:rsidRPr="006C411E">
              <w:rPr>
                <w:rFonts w:cs="Arial"/>
                <w:b/>
                <w:sz w:val="12"/>
                <w:szCs w:val="12"/>
                <w:lang w:val="ru-RU" w:eastAsia="ru-RU"/>
              </w:rPr>
              <w:t>Вложения в сооружение (строительство) ,создание (изготовление) и приобретение основных средств и нематериальных активов</w:t>
            </w:r>
            <w:r w:rsidRPr="006C411E">
              <w:rPr>
                <w:rFonts w:cs="Arial"/>
                <w:b/>
                <w:sz w:val="12"/>
                <w:szCs w:val="12"/>
                <w:lang w:val="ru-RU" w:eastAsia="ru-RU"/>
              </w:rPr>
              <w:tab/>
            </w:r>
            <w:r w:rsidRPr="006C411E">
              <w:rPr>
                <w:rFonts w:cs="Arial"/>
                <w:b/>
                <w:sz w:val="12"/>
                <w:szCs w:val="12"/>
                <w:lang w:val="ru-RU" w:eastAsia="ru-RU"/>
              </w:rPr>
              <w:tab/>
            </w:r>
          </w:p>
        </w:tc>
        <w:tc>
          <w:tcPr>
            <w:tcW w:w="851" w:type="dxa"/>
            <w:tcBorders>
              <w:bottom w:val="double" w:sz="4" w:space="0" w:color="auto"/>
            </w:tcBorders>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236</w:t>
            </w:r>
          </w:p>
        </w:tc>
        <w:tc>
          <w:tcPr>
            <w:tcW w:w="1275"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236</w:t>
            </w:r>
          </w:p>
        </w:tc>
        <w:tc>
          <w:tcPr>
            <w:tcW w:w="709" w:type="dxa"/>
            <w:tcBorders>
              <w:bottom w:val="double" w:sz="4" w:space="0" w:color="auto"/>
            </w:tcBorders>
            <w:shd w:val="clear" w:color="auto" w:fill="auto"/>
            <w:noWrap/>
            <w:vAlign w:val="bottom"/>
          </w:tcPr>
          <w:p w:rsidR="006C411E" w:rsidRPr="006C411E" w:rsidRDefault="006C411E" w:rsidP="00A702EE">
            <w:pPr>
              <w:rPr>
                <w:rFonts w:cs="Arial"/>
                <w:b/>
                <w:sz w:val="12"/>
                <w:szCs w:val="12"/>
                <w:lang w:val="ru-RU" w:eastAsia="ru-RU"/>
              </w:rPr>
            </w:pPr>
            <w:r w:rsidRPr="006C411E">
              <w:rPr>
                <w:rFonts w:cs="Arial"/>
                <w:b/>
                <w:sz w:val="12"/>
                <w:szCs w:val="12"/>
                <w:lang w:val="ru-RU" w:eastAsia="ru-RU"/>
              </w:rPr>
              <w:t>-</w:t>
            </w:r>
          </w:p>
        </w:tc>
        <w:tc>
          <w:tcPr>
            <w:tcW w:w="992"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w:t>
            </w:r>
          </w:p>
        </w:tc>
        <w:tc>
          <w:tcPr>
            <w:tcW w:w="709"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w:t>
            </w:r>
          </w:p>
        </w:tc>
        <w:tc>
          <w:tcPr>
            <w:tcW w:w="1134"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w:t>
            </w:r>
          </w:p>
        </w:tc>
        <w:tc>
          <w:tcPr>
            <w:tcW w:w="851"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236</w:t>
            </w:r>
          </w:p>
        </w:tc>
        <w:tc>
          <w:tcPr>
            <w:tcW w:w="740"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w:t>
            </w:r>
          </w:p>
        </w:tc>
        <w:tc>
          <w:tcPr>
            <w:tcW w:w="850" w:type="dxa"/>
            <w:tcBorders>
              <w:bottom w:val="double" w:sz="4" w:space="0" w:color="auto"/>
            </w:tcBorders>
            <w:shd w:val="clear" w:color="auto" w:fill="auto"/>
            <w:noWrap/>
            <w:vAlign w:val="bottom"/>
          </w:tcPr>
          <w:p w:rsidR="006C411E" w:rsidRPr="006C411E" w:rsidRDefault="006C411E" w:rsidP="00A702EE">
            <w:pPr>
              <w:jc w:val="center"/>
              <w:rPr>
                <w:rFonts w:cs="Arial"/>
                <w:b/>
                <w:sz w:val="12"/>
                <w:szCs w:val="12"/>
                <w:lang w:val="ru-RU" w:eastAsia="ru-RU"/>
              </w:rPr>
            </w:pPr>
            <w:r w:rsidRPr="006C411E">
              <w:rPr>
                <w:rFonts w:cs="Arial"/>
                <w:b/>
                <w:sz w:val="12"/>
                <w:szCs w:val="12"/>
                <w:lang w:val="ru-RU" w:eastAsia="ru-RU"/>
              </w:rPr>
              <w:t>236</w:t>
            </w:r>
          </w:p>
        </w:tc>
      </w:tr>
      <w:tr w:rsidR="00BF2463" w:rsidRPr="006C411E" w:rsidTr="00BE27CD">
        <w:trPr>
          <w:trHeight w:val="80"/>
        </w:trPr>
        <w:tc>
          <w:tcPr>
            <w:tcW w:w="1843" w:type="dxa"/>
            <w:tcBorders>
              <w:top w:val="double" w:sz="4" w:space="0" w:color="auto"/>
            </w:tcBorders>
            <w:shd w:val="clear" w:color="auto" w:fill="auto"/>
            <w:vAlign w:val="bottom"/>
          </w:tcPr>
          <w:p w:rsidR="00BF2463" w:rsidRPr="006C411E" w:rsidRDefault="00BF2463" w:rsidP="00BF2463">
            <w:pPr>
              <w:rPr>
                <w:rFonts w:cs="Arial"/>
                <w:sz w:val="12"/>
                <w:szCs w:val="12"/>
                <w:lang w:val="ru-RU" w:eastAsia="ru-RU"/>
              </w:rPr>
            </w:pPr>
          </w:p>
        </w:tc>
        <w:tc>
          <w:tcPr>
            <w:tcW w:w="851" w:type="dxa"/>
            <w:tcBorders>
              <w:top w:val="double" w:sz="4" w:space="0" w:color="auto"/>
            </w:tcBorders>
            <w:vAlign w:val="bottom"/>
          </w:tcPr>
          <w:p w:rsidR="00BF2463" w:rsidRPr="006C411E" w:rsidRDefault="00BF2463" w:rsidP="00BF2463">
            <w:pPr>
              <w:jc w:val="center"/>
              <w:rPr>
                <w:rFonts w:cs="Arial"/>
                <w:sz w:val="12"/>
                <w:szCs w:val="12"/>
                <w:lang w:val="ru-RU" w:eastAsia="ru-RU"/>
              </w:rPr>
            </w:pPr>
          </w:p>
        </w:tc>
        <w:tc>
          <w:tcPr>
            <w:tcW w:w="1275" w:type="dxa"/>
            <w:tcBorders>
              <w:top w:val="double" w:sz="4" w:space="0" w:color="auto"/>
            </w:tcBorders>
            <w:shd w:val="clear" w:color="auto" w:fill="auto"/>
            <w:noWrap/>
            <w:vAlign w:val="bottom"/>
          </w:tcPr>
          <w:p w:rsidR="00BF2463" w:rsidRPr="006C411E" w:rsidRDefault="00BF2463" w:rsidP="00BF2463">
            <w:pPr>
              <w:rPr>
                <w:rFonts w:cs="Arial"/>
                <w:sz w:val="12"/>
                <w:szCs w:val="12"/>
                <w:lang w:val="ru-RU" w:eastAsia="ru-RU"/>
              </w:rPr>
            </w:pPr>
          </w:p>
        </w:tc>
        <w:tc>
          <w:tcPr>
            <w:tcW w:w="709" w:type="dxa"/>
            <w:tcBorders>
              <w:top w:val="double" w:sz="4" w:space="0" w:color="auto"/>
            </w:tcBorders>
            <w:shd w:val="clear" w:color="auto" w:fill="auto"/>
            <w:noWrap/>
            <w:vAlign w:val="bottom"/>
          </w:tcPr>
          <w:p w:rsidR="00BF2463" w:rsidRPr="006C411E" w:rsidRDefault="00BF2463" w:rsidP="00BF2463">
            <w:pPr>
              <w:rPr>
                <w:rFonts w:cs="Arial"/>
                <w:sz w:val="12"/>
                <w:szCs w:val="12"/>
                <w:lang w:val="ru-RU" w:eastAsia="ru-RU"/>
              </w:rPr>
            </w:pPr>
          </w:p>
        </w:tc>
        <w:tc>
          <w:tcPr>
            <w:tcW w:w="992"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c>
          <w:tcPr>
            <w:tcW w:w="709"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c>
          <w:tcPr>
            <w:tcW w:w="1134"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c>
          <w:tcPr>
            <w:tcW w:w="851"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c>
          <w:tcPr>
            <w:tcW w:w="740"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c>
          <w:tcPr>
            <w:tcW w:w="850" w:type="dxa"/>
            <w:tcBorders>
              <w:top w:val="double" w:sz="4" w:space="0" w:color="auto"/>
            </w:tcBorders>
            <w:shd w:val="clear" w:color="auto" w:fill="auto"/>
            <w:noWrap/>
            <w:vAlign w:val="bottom"/>
          </w:tcPr>
          <w:p w:rsidR="00BF2463" w:rsidRPr="006C411E" w:rsidRDefault="00BF2463" w:rsidP="00BF2463">
            <w:pPr>
              <w:jc w:val="center"/>
              <w:rPr>
                <w:rFonts w:cs="Arial"/>
                <w:sz w:val="12"/>
                <w:szCs w:val="12"/>
                <w:lang w:val="ru-RU" w:eastAsia="ru-RU"/>
              </w:rPr>
            </w:pPr>
          </w:p>
        </w:tc>
      </w:tr>
    </w:tbl>
    <w:p w:rsidR="00BF2463" w:rsidRPr="00703C5D" w:rsidRDefault="00BF2463" w:rsidP="00BF2463">
      <w:pPr>
        <w:jc w:val="both"/>
        <w:rPr>
          <w:rFonts w:cs="Arial"/>
          <w:b/>
          <w:sz w:val="20"/>
          <w:szCs w:val="20"/>
          <w:lang w:val="ru-RU"/>
        </w:rPr>
      </w:pPr>
      <w:r w:rsidRPr="00703C5D">
        <w:rPr>
          <w:rFonts w:cs="Arial"/>
          <w:b/>
          <w:sz w:val="20"/>
          <w:szCs w:val="20"/>
          <w:lang w:val="ru-RU"/>
        </w:rPr>
        <w:t>Поступление и выбытие основных средств за 2018 год:</w:t>
      </w:r>
    </w:p>
    <w:p w:rsidR="00BF2463" w:rsidRPr="00BF2463" w:rsidRDefault="00BF2463" w:rsidP="00BF2463">
      <w:pPr>
        <w:jc w:val="both"/>
        <w:rPr>
          <w:rFonts w:cs="Arial"/>
          <w:sz w:val="20"/>
          <w:szCs w:val="20"/>
          <w:lang w:val="ru-RU"/>
        </w:rPr>
      </w:pPr>
    </w:p>
    <w:tbl>
      <w:tblPr>
        <w:tblW w:w="9639" w:type="dxa"/>
        <w:tblLayout w:type="fixed"/>
        <w:tblCellMar>
          <w:left w:w="0" w:type="dxa"/>
          <w:right w:w="0" w:type="dxa"/>
        </w:tblCellMar>
        <w:tblLook w:val="0600" w:firstRow="0" w:lastRow="0" w:firstColumn="0" w:lastColumn="0" w:noHBand="1" w:noVBand="1"/>
      </w:tblPr>
      <w:tblGrid>
        <w:gridCol w:w="2410"/>
        <w:gridCol w:w="567"/>
        <w:gridCol w:w="4394"/>
        <w:gridCol w:w="1134"/>
        <w:gridCol w:w="1134"/>
      </w:tblGrid>
      <w:tr w:rsidR="00BF2463" w:rsidRPr="000B58E7" w:rsidTr="00BF2463">
        <w:trPr>
          <w:trHeight w:val="255"/>
          <w:tblHeader/>
        </w:trPr>
        <w:tc>
          <w:tcPr>
            <w:tcW w:w="2410" w:type="dxa"/>
            <w:tcBorders>
              <w:top w:val="single" w:sz="4" w:space="0" w:color="auto"/>
              <w:bottom w:val="single" w:sz="4" w:space="0" w:color="auto"/>
            </w:tcBorders>
            <w:shd w:val="clear" w:color="auto" w:fill="auto"/>
            <w:noWrap/>
            <w:vAlign w:val="center"/>
            <w:hideMark/>
          </w:tcPr>
          <w:p w:rsidR="00BF2463" w:rsidRPr="000B58E7" w:rsidRDefault="00BF2463" w:rsidP="00BF2463">
            <w:pPr>
              <w:jc w:val="center"/>
              <w:rPr>
                <w:rFonts w:cs="Arial"/>
                <w:b/>
                <w:sz w:val="14"/>
                <w:szCs w:val="14"/>
                <w:lang w:eastAsia="ru-RU"/>
              </w:rPr>
            </w:pPr>
            <w:r w:rsidRPr="000B58E7">
              <w:rPr>
                <w:rFonts w:cs="Arial"/>
                <w:b/>
                <w:sz w:val="14"/>
                <w:szCs w:val="14"/>
                <w:lang w:eastAsia="ru-RU"/>
              </w:rPr>
              <w:t>Наименование объекта</w:t>
            </w:r>
          </w:p>
        </w:tc>
        <w:tc>
          <w:tcPr>
            <w:tcW w:w="567" w:type="dxa"/>
            <w:tcBorders>
              <w:top w:val="single" w:sz="4" w:space="0" w:color="auto"/>
              <w:bottom w:val="single" w:sz="4" w:space="0" w:color="auto"/>
            </w:tcBorders>
            <w:vAlign w:val="center"/>
          </w:tcPr>
          <w:p w:rsidR="00BF2463" w:rsidRPr="000B58E7" w:rsidRDefault="00BF2463" w:rsidP="00BF2463">
            <w:pPr>
              <w:jc w:val="center"/>
              <w:rPr>
                <w:rFonts w:cs="Arial"/>
                <w:b/>
                <w:sz w:val="14"/>
                <w:szCs w:val="14"/>
                <w:lang w:eastAsia="ru-RU"/>
              </w:rPr>
            </w:pPr>
            <w:r w:rsidRPr="000B58E7">
              <w:rPr>
                <w:rFonts w:cs="Arial"/>
                <w:b/>
                <w:sz w:val="14"/>
                <w:szCs w:val="14"/>
                <w:lang w:eastAsia="ru-RU"/>
              </w:rPr>
              <w:t>Кол-во</w:t>
            </w:r>
          </w:p>
        </w:tc>
        <w:tc>
          <w:tcPr>
            <w:tcW w:w="4394" w:type="dxa"/>
            <w:tcBorders>
              <w:top w:val="single" w:sz="4" w:space="0" w:color="auto"/>
              <w:bottom w:val="single" w:sz="4" w:space="0" w:color="auto"/>
            </w:tcBorders>
            <w:vAlign w:val="center"/>
          </w:tcPr>
          <w:p w:rsidR="00BF2463" w:rsidRPr="000B58E7" w:rsidRDefault="00BF2463" w:rsidP="00BF2463">
            <w:pPr>
              <w:jc w:val="center"/>
              <w:rPr>
                <w:rFonts w:cs="Arial"/>
                <w:b/>
                <w:sz w:val="14"/>
                <w:szCs w:val="14"/>
                <w:lang w:eastAsia="ru-RU"/>
              </w:rPr>
            </w:pPr>
            <w:r w:rsidRPr="000B58E7">
              <w:rPr>
                <w:rFonts w:cs="Arial"/>
                <w:b/>
                <w:sz w:val="14"/>
                <w:szCs w:val="14"/>
                <w:lang w:eastAsia="ru-RU"/>
              </w:rPr>
              <w:t>Основание</w:t>
            </w:r>
          </w:p>
        </w:tc>
        <w:tc>
          <w:tcPr>
            <w:tcW w:w="1134" w:type="dxa"/>
            <w:tcBorders>
              <w:top w:val="single" w:sz="4" w:space="0" w:color="auto"/>
              <w:bottom w:val="single" w:sz="4" w:space="0" w:color="auto"/>
            </w:tcBorders>
            <w:shd w:val="clear" w:color="auto" w:fill="auto"/>
            <w:noWrap/>
            <w:vAlign w:val="center"/>
            <w:hideMark/>
          </w:tcPr>
          <w:p w:rsidR="00BF2463" w:rsidRPr="000B58E7" w:rsidRDefault="00BF2463" w:rsidP="00BF2463">
            <w:pPr>
              <w:jc w:val="center"/>
              <w:rPr>
                <w:rFonts w:cs="Arial"/>
                <w:b/>
                <w:sz w:val="14"/>
                <w:szCs w:val="14"/>
                <w:lang w:eastAsia="ru-RU"/>
              </w:rPr>
            </w:pPr>
            <w:r w:rsidRPr="000B58E7">
              <w:rPr>
                <w:rFonts w:cs="Arial"/>
                <w:b/>
                <w:sz w:val="14"/>
                <w:szCs w:val="14"/>
                <w:lang w:eastAsia="ru-RU"/>
              </w:rPr>
              <w:t>Поступление</w:t>
            </w:r>
          </w:p>
        </w:tc>
        <w:tc>
          <w:tcPr>
            <w:tcW w:w="1134" w:type="dxa"/>
            <w:tcBorders>
              <w:top w:val="single" w:sz="4" w:space="0" w:color="auto"/>
              <w:bottom w:val="single" w:sz="4" w:space="0" w:color="auto"/>
            </w:tcBorders>
            <w:shd w:val="clear" w:color="auto" w:fill="auto"/>
            <w:noWrap/>
            <w:vAlign w:val="center"/>
            <w:hideMark/>
          </w:tcPr>
          <w:p w:rsidR="00BF2463" w:rsidRPr="000B58E7" w:rsidRDefault="00BF2463" w:rsidP="00BF2463">
            <w:pPr>
              <w:jc w:val="center"/>
              <w:rPr>
                <w:rFonts w:cs="Arial"/>
                <w:b/>
                <w:sz w:val="14"/>
                <w:szCs w:val="14"/>
                <w:lang w:eastAsia="ru-RU"/>
              </w:rPr>
            </w:pPr>
            <w:r w:rsidRPr="000B58E7">
              <w:rPr>
                <w:rFonts w:cs="Arial"/>
                <w:b/>
                <w:sz w:val="14"/>
                <w:szCs w:val="14"/>
                <w:lang w:eastAsia="ru-RU"/>
              </w:rPr>
              <w:t>Выбытие (реализация)</w:t>
            </w:r>
          </w:p>
        </w:tc>
      </w:tr>
      <w:tr w:rsidR="00BF2463" w:rsidRPr="000B58E7" w:rsidTr="00BF2463">
        <w:trPr>
          <w:trHeight w:val="284"/>
        </w:trPr>
        <w:tc>
          <w:tcPr>
            <w:tcW w:w="2410" w:type="dxa"/>
            <w:tcBorders>
              <w:top w:val="single" w:sz="4" w:space="0" w:color="auto"/>
            </w:tcBorders>
            <w:shd w:val="clear" w:color="auto" w:fill="auto"/>
            <w:noWrap/>
            <w:vAlign w:val="center"/>
          </w:tcPr>
          <w:p w:rsidR="00BF2463" w:rsidRPr="00BF2463" w:rsidRDefault="00BF2463" w:rsidP="00BF2463">
            <w:pPr>
              <w:rPr>
                <w:rFonts w:cs="Arial"/>
                <w:sz w:val="14"/>
                <w:szCs w:val="14"/>
                <w:lang w:eastAsia="ru-RU"/>
              </w:rPr>
            </w:pPr>
          </w:p>
          <w:p w:rsidR="00BF2463" w:rsidRPr="00BF2463" w:rsidRDefault="00BF2463" w:rsidP="00BF2463">
            <w:pPr>
              <w:rPr>
                <w:rFonts w:cs="Arial"/>
                <w:sz w:val="14"/>
                <w:szCs w:val="14"/>
                <w:lang w:eastAsia="ru-RU"/>
              </w:rPr>
            </w:pPr>
            <w:r w:rsidRPr="00BF2463">
              <w:rPr>
                <w:rFonts w:cs="Arial"/>
                <w:sz w:val="14"/>
                <w:szCs w:val="14"/>
                <w:lang w:eastAsia="ru-RU"/>
              </w:rPr>
              <w:t>Автомобиль</w:t>
            </w:r>
          </w:p>
          <w:p w:rsidR="00BF2463" w:rsidRPr="00BF2463" w:rsidRDefault="00BF2463" w:rsidP="00BF2463">
            <w:pPr>
              <w:rPr>
                <w:rFonts w:cs="Arial"/>
                <w:sz w:val="14"/>
                <w:szCs w:val="14"/>
                <w:lang w:eastAsia="ru-RU"/>
              </w:rPr>
            </w:pPr>
            <w:r w:rsidRPr="00BF2463">
              <w:rPr>
                <w:rFonts w:cs="Arial"/>
                <w:sz w:val="14"/>
                <w:szCs w:val="14"/>
                <w:lang w:eastAsia="ru-RU"/>
              </w:rPr>
              <w:t>Сортировщик банкнот</w:t>
            </w:r>
          </w:p>
        </w:tc>
        <w:tc>
          <w:tcPr>
            <w:tcW w:w="567" w:type="dxa"/>
            <w:tcBorders>
              <w:top w:val="single" w:sz="4" w:space="0" w:color="auto"/>
            </w:tcBorders>
            <w:vAlign w:val="center"/>
          </w:tcPr>
          <w:p w:rsidR="00BF2463" w:rsidRPr="00BF2463" w:rsidRDefault="00BF2463" w:rsidP="00BF2463">
            <w:pPr>
              <w:jc w:val="center"/>
              <w:rPr>
                <w:rFonts w:cs="Arial"/>
                <w:sz w:val="14"/>
                <w:szCs w:val="14"/>
                <w:lang w:eastAsia="ru-RU"/>
              </w:rPr>
            </w:pPr>
          </w:p>
          <w:p w:rsidR="00BF2463" w:rsidRPr="00BF2463" w:rsidRDefault="00BF2463" w:rsidP="00BF2463">
            <w:pPr>
              <w:jc w:val="center"/>
              <w:rPr>
                <w:rFonts w:cs="Arial"/>
                <w:sz w:val="14"/>
                <w:szCs w:val="14"/>
                <w:lang w:eastAsia="ru-RU"/>
              </w:rPr>
            </w:pPr>
            <w:r w:rsidRPr="00BF2463">
              <w:rPr>
                <w:rFonts w:cs="Arial"/>
                <w:sz w:val="14"/>
                <w:szCs w:val="14"/>
                <w:lang w:eastAsia="ru-RU"/>
              </w:rPr>
              <w:t>5</w:t>
            </w:r>
          </w:p>
          <w:p w:rsidR="00BF2463" w:rsidRPr="00BF2463" w:rsidRDefault="00BF2463" w:rsidP="00BF2463">
            <w:pPr>
              <w:jc w:val="center"/>
              <w:rPr>
                <w:rFonts w:cs="Arial"/>
                <w:sz w:val="14"/>
                <w:szCs w:val="14"/>
                <w:lang w:eastAsia="ru-RU"/>
              </w:rPr>
            </w:pPr>
            <w:r w:rsidRPr="00BF2463">
              <w:rPr>
                <w:rFonts w:cs="Arial"/>
                <w:sz w:val="14"/>
                <w:szCs w:val="14"/>
                <w:lang w:eastAsia="ru-RU"/>
              </w:rPr>
              <w:t>1</w:t>
            </w:r>
          </w:p>
        </w:tc>
        <w:tc>
          <w:tcPr>
            <w:tcW w:w="4394" w:type="dxa"/>
            <w:tcBorders>
              <w:top w:val="single" w:sz="4" w:space="0" w:color="auto"/>
            </w:tcBorders>
            <w:vAlign w:val="center"/>
          </w:tcPr>
          <w:p w:rsidR="00BF2463" w:rsidRPr="00BF2463" w:rsidRDefault="00BF2463" w:rsidP="00BF2463">
            <w:pPr>
              <w:rPr>
                <w:rFonts w:cs="Arial"/>
                <w:sz w:val="14"/>
                <w:szCs w:val="14"/>
                <w:lang w:eastAsia="ru-RU"/>
              </w:rPr>
            </w:pPr>
          </w:p>
          <w:p w:rsidR="00BF2463" w:rsidRPr="00BF2463" w:rsidRDefault="00BF2463" w:rsidP="00BF2463">
            <w:pPr>
              <w:rPr>
                <w:rFonts w:cs="Arial"/>
                <w:sz w:val="14"/>
                <w:szCs w:val="14"/>
                <w:lang w:eastAsia="ru-RU"/>
              </w:rPr>
            </w:pPr>
            <w:r w:rsidRPr="00BF2463">
              <w:rPr>
                <w:rFonts w:cs="Arial"/>
                <w:sz w:val="14"/>
                <w:szCs w:val="14"/>
                <w:lang w:eastAsia="ru-RU"/>
              </w:rPr>
              <w:t>Товарная накладная</w:t>
            </w:r>
          </w:p>
          <w:p w:rsidR="00BF2463" w:rsidRPr="00BF2463" w:rsidRDefault="00BF2463" w:rsidP="00BF2463">
            <w:pPr>
              <w:rPr>
                <w:rFonts w:cs="Arial"/>
                <w:sz w:val="14"/>
                <w:szCs w:val="14"/>
                <w:lang w:eastAsia="ru-RU"/>
              </w:rPr>
            </w:pPr>
            <w:r w:rsidRPr="00BF2463">
              <w:rPr>
                <w:rFonts w:cs="Arial"/>
                <w:sz w:val="14"/>
                <w:szCs w:val="14"/>
                <w:lang w:eastAsia="ru-RU"/>
              </w:rPr>
              <w:t>Товарная накладная</w:t>
            </w:r>
          </w:p>
        </w:tc>
        <w:tc>
          <w:tcPr>
            <w:tcW w:w="1134" w:type="dxa"/>
            <w:tcBorders>
              <w:top w:val="single" w:sz="4" w:space="0" w:color="auto"/>
            </w:tcBorders>
            <w:shd w:val="clear" w:color="auto" w:fill="auto"/>
            <w:noWrap/>
            <w:vAlign w:val="center"/>
          </w:tcPr>
          <w:p w:rsidR="00BF2463" w:rsidRPr="00BF2463" w:rsidRDefault="00BF2463" w:rsidP="00BF2463">
            <w:pPr>
              <w:jc w:val="center"/>
              <w:rPr>
                <w:rFonts w:cs="Arial"/>
                <w:sz w:val="14"/>
                <w:szCs w:val="14"/>
                <w:lang w:eastAsia="ru-RU"/>
              </w:rPr>
            </w:pPr>
          </w:p>
          <w:p w:rsidR="00BF2463" w:rsidRPr="00BF2463" w:rsidRDefault="00BF2463" w:rsidP="00BF2463">
            <w:pPr>
              <w:jc w:val="center"/>
              <w:rPr>
                <w:rFonts w:cs="Arial"/>
                <w:sz w:val="14"/>
                <w:szCs w:val="14"/>
                <w:lang w:eastAsia="ru-RU"/>
              </w:rPr>
            </w:pPr>
            <w:r w:rsidRPr="00BF2463">
              <w:rPr>
                <w:rFonts w:cs="Arial"/>
                <w:sz w:val="14"/>
                <w:szCs w:val="14"/>
                <w:lang w:eastAsia="ru-RU"/>
              </w:rPr>
              <w:t>5 616</w:t>
            </w:r>
          </w:p>
          <w:p w:rsidR="00BF2463" w:rsidRPr="00BF2463" w:rsidRDefault="00BF2463" w:rsidP="00BF2463">
            <w:pPr>
              <w:jc w:val="center"/>
              <w:rPr>
                <w:rFonts w:cs="Arial"/>
                <w:sz w:val="14"/>
                <w:szCs w:val="14"/>
                <w:lang w:eastAsia="ru-RU"/>
              </w:rPr>
            </w:pPr>
            <w:r w:rsidRPr="00BF2463">
              <w:rPr>
                <w:rFonts w:cs="Arial"/>
                <w:sz w:val="14"/>
                <w:szCs w:val="14"/>
                <w:lang w:eastAsia="ru-RU"/>
              </w:rPr>
              <w:t>140</w:t>
            </w:r>
          </w:p>
        </w:tc>
        <w:tc>
          <w:tcPr>
            <w:tcW w:w="1134" w:type="dxa"/>
            <w:tcBorders>
              <w:top w:val="single" w:sz="4" w:space="0" w:color="auto"/>
            </w:tcBorders>
            <w:shd w:val="clear" w:color="auto" w:fill="auto"/>
            <w:noWrap/>
            <w:vAlign w:val="center"/>
          </w:tcPr>
          <w:p w:rsidR="00BF2463" w:rsidRPr="00BF2463" w:rsidRDefault="00BF2463" w:rsidP="00BF2463">
            <w:pPr>
              <w:jc w:val="center"/>
              <w:rPr>
                <w:rFonts w:cs="Arial"/>
                <w:sz w:val="14"/>
                <w:szCs w:val="14"/>
                <w:lang w:eastAsia="ru-RU"/>
              </w:rPr>
            </w:pPr>
          </w:p>
        </w:tc>
      </w:tr>
      <w:tr w:rsidR="00BF2463" w:rsidRPr="000B58E7" w:rsidTr="00BF2463">
        <w:trPr>
          <w:trHeight w:val="284"/>
        </w:trPr>
        <w:tc>
          <w:tcPr>
            <w:tcW w:w="2410" w:type="dxa"/>
            <w:tcBorders>
              <w:bottom w:val="single" w:sz="4" w:space="0" w:color="auto"/>
            </w:tcBorders>
            <w:shd w:val="clear" w:color="auto" w:fill="auto"/>
            <w:noWrap/>
            <w:vAlign w:val="center"/>
          </w:tcPr>
          <w:p w:rsidR="00BF2463" w:rsidRPr="00BF2463" w:rsidRDefault="00BF2463" w:rsidP="00BF2463">
            <w:pPr>
              <w:rPr>
                <w:rFonts w:cs="Arial"/>
                <w:sz w:val="14"/>
                <w:szCs w:val="14"/>
                <w:lang w:eastAsia="ru-RU"/>
              </w:rPr>
            </w:pPr>
            <w:r w:rsidRPr="00BF2463">
              <w:rPr>
                <w:rFonts w:cs="Arial"/>
                <w:sz w:val="14"/>
                <w:szCs w:val="14"/>
                <w:lang w:eastAsia="ru-RU"/>
              </w:rPr>
              <w:t>Автомобиль</w:t>
            </w:r>
          </w:p>
        </w:tc>
        <w:tc>
          <w:tcPr>
            <w:tcW w:w="567" w:type="dxa"/>
            <w:tcBorders>
              <w:bottom w:val="single" w:sz="4" w:space="0" w:color="auto"/>
            </w:tcBorders>
            <w:vAlign w:val="center"/>
          </w:tcPr>
          <w:p w:rsidR="00BF2463" w:rsidRPr="00BF2463" w:rsidRDefault="00BF2463" w:rsidP="00BF2463">
            <w:pPr>
              <w:jc w:val="center"/>
              <w:rPr>
                <w:rFonts w:cs="Arial"/>
                <w:sz w:val="14"/>
                <w:szCs w:val="14"/>
                <w:lang w:eastAsia="ru-RU"/>
              </w:rPr>
            </w:pPr>
            <w:r w:rsidRPr="00BF2463">
              <w:rPr>
                <w:rFonts w:cs="Arial"/>
                <w:sz w:val="14"/>
                <w:szCs w:val="14"/>
                <w:lang w:eastAsia="ru-RU"/>
              </w:rPr>
              <w:t>5</w:t>
            </w:r>
          </w:p>
        </w:tc>
        <w:tc>
          <w:tcPr>
            <w:tcW w:w="4394" w:type="dxa"/>
            <w:tcBorders>
              <w:bottom w:val="single" w:sz="4" w:space="0" w:color="auto"/>
            </w:tcBorders>
            <w:vAlign w:val="center"/>
          </w:tcPr>
          <w:p w:rsidR="00BF2463" w:rsidRPr="00BF2463" w:rsidRDefault="00BF2463" w:rsidP="00BF2463">
            <w:pPr>
              <w:rPr>
                <w:rFonts w:cs="Arial"/>
                <w:sz w:val="14"/>
                <w:szCs w:val="14"/>
                <w:lang w:eastAsia="ru-RU"/>
              </w:rPr>
            </w:pPr>
            <w:r w:rsidRPr="00BF2463">
              <w:rPr>
                <w:rFonts w:cs="Arial"/>
                <w:sz w:val="14"/>
                <w:szCs w:val="14"/>
                <w:lang w:eastAsia="ru-RU"/>
              </w:rPr>
              <w:t>Договор купли-продажи автомобиля</w:t>
            </w:r>
          </w:p>
        </w:tc>
        <w:tc>
          <w:tcPr>
            <w:tcW w:w="1134" w:type="dxa"/>
            <w:tcBorders>
              <w:bottom w:val="single" w:sz="4" w:space="0" w:color="auto"/>
            </w:tcBorders>
            <w:shd w:val="clear" w:color="auto" w:fill="auto"/>
            <w:noWrap/>
            <w:vAlign w:val="center"/>
          </w:tcPr>
          <w:p w:rsidR="00BF2463" w:rsidRPr="00BF2463" w:rsidRDefault="00BF2463" w:rsidP="00BF2463">
            <w:pPr>
              <w:jc w:val="center"/>
              <w:rPr>
                <w:rFonts w:cs="Arial"/>
                <w:sz w:val="14"/>
                <w:szCs w:val="14"/>
                <w:lang w:eastAsia="ru-RU"/>
              </w:rPr>
            </w:pPr>
          </w:p>
        </w:tc>
        <w:tc>
          <w:tcPr>
            <w:tcW w:w="1134" w:type="dxa"/>
            <w:tcBorders>
              <w:bottom w:val="single" w:sz="4" w:space="0" w:color="auto"/>
            </w:tcBorders>
            <w:shd w:val="clear" w:color="auto" w:fill="auto"/>
            <w:noWrap/>
            <w:vAlign w:val="center"/>
          </w:tcPr>
          <w:p w:rsidR="00BF2463" w:rsidRPr="00BF2463" w:rsidRDefault="00BF2463" w:rsidP="00BF2463">
            <w:pPr>
              <w:jc w:val="center"/>
              <w:rPr>
                <w:rFonts w:cs="Arial"/>
                <w:sz w:val="14"/>
                <w:szCs w:val="14"/>
                <w:lang w:eastAsia="ru-RU"/>
              </w:rPr>
            </w:pPr>
            <w:r w:rsidRPr="00BF2463">
              <w:rPr>
                <w:rFonts w:cs="Arial"/>
                <w:sz w:val="14"/>
                <w:szCs w:val="14"/>
                <w:lang w:eastAsia="ru-RU"/>
              </w:rPr>
              <w:t>2 936</w:t>
            </w:r>
          </w:p>
        </w:tc>
      </w:tr>
    </w:tbl>
    <w:p w:rsidR="00BF2463" w:rsidRDefault="00BF2463" w:rsidP="00BF2463">
      <w:pPr>
        <w:jc w:val="both"/>
        <w:rPr>
          <w:rFonts w:cs="Arial"/>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t>За 2018 года Банк, отразил в составе прочего совокупного дохода увеличение стоимости от переоценки в сумме 60</w:t>
      </w:r>
      <w:r w:rsidRPr="000B58E7">
        <w:rPr>
          <w:rFonts w:cs="Arial"/>
          <w:sz w:val="20"/>
          <w:szCs w:val="20"/>
        </w:rPr>
        <w:t> </w:t>
      </w:r>
      <w:r w:rsidRPr="00BF2463">
        <w:rPr>
          <w:rFonts w:cs="Arial"/>
          <w:sz w:val="20"/>
          <w:szCs w:val="20"/>
          <w:lang w:val="ru-RU"/>
        </w:rPr>
        <w:t>113 тыс.</w:t>
      </w:r>
      <w:r w:rsidR="00703C5D">
        <w:rPr>
          <w:rFonts w:cs="Arial"/>
          <w:sz w:val="20"/>
          <w:szCs w:val="20"/>
          <w:lang w:val="ru-RU"/>
        </w:rPr>
        <w:t xml:space="preserve"> </w:t>
      </w:r>
      <w:r w:rsidRPr="00BF2463">
        <w:rPr>
          <w:rFonts w:cs="Arial"/>
          <w:sz w:val="20"/>
          <w:szCs w:val="20"/>
          <w:lang w:val="ru-RU"/>
        </w:rPr>
        <w:t xml:space="preserve">руб. </w:t>
      </w:r>
    </w:p>
    <w:p w:rsidR="00BF2463" w:rsidRPr="00BF2463" w:rsidRDefault="00BF2463" w:rsidP="00BF2463">
      <w:pPr>
        <w:jc w:val="both"/>
        <w:rPr>
          <w:rFonts w:cs="Arial"/>
          <w:sz w:val="20"/>
          <w:szCs w:val="20"/>
          <w:lang w:val="ru-RU"/>
        </w:rPr>
      </w:pPr>
      <w:r w:rsidRPr="00BF2463">
        <w:rPr>
          <w:rFonts w:cs="Arial"/>
          <w:sz w:val="20"/>
          <w:szCs w:val="20"/>
          <w:lang w:val="ru-RU"/>
        </w:rPr>
        <w:t>За 31 декабря 2018 год в состав</w:t>
      </w:r>
      <w:r>
        <w:rPr>
          <w:rFonts w:cs="Arial"/>
          <w:sz w:val="20"/>
          <w:szCs w:val="20"/>
          <w:lang w:val="ru-RU"/>
        </w:rPr>
        <w:t>е</w:t>
      </w:r>
      <w:r w:rsidRPr="00BF2463">
        <w:rPr>
          <w:rFonts w:cs="Arial"/>
          <w:sz w:val="20"/>
          <w:szCs w:val="20"/>
          <w:lang w:val="ru-RU"/>
        </w:rPr>
        <w:t xml:space="preserve"> убытка Банк, признал убыток от обесценения в сумме 5</w:t>
      </w:r>
      <w:r w:rsidRPr="000B58E7">
        <w:rPr>
          <w:rFonts w:cs="Arial"/>
          <w:sz w:val="20"/>
          <w:szCs w:val="20"/>
        </w:rPr>
        <w:t> </w:t>
      </w:r>
      <w:r w:rsidR="00E50F94">
        <w:rPr>
          <w:rFonts w:cs="Arial"/>
          <w:sz w:val="20"/>
          <w:szCs w:val="20"/>
          <w:lang w:val="ru-RU"/>
        </w:rPr>
        <w:t>910 тыс.</w:t>
      </w:r>
      <w:r w:rsidRPr="00BF2463">
        <w:rPr>
          <w:rFonts w:cs="Arial"/>
          <w:sz w:val="20"/>
          <w:szCs w:val="20"/>
          <w:lang w:val="ru-RU"/>
        </w:rPr>
        <w:t>руб.</w:t>
      </w:r>
    </w:p>
    <w:p w:rsidR="00BF2463" w:rsidRPr="00BF2463" w:rsidRDefault="00BF2463" w:rsidP="00BF2463">
      <w:pPr>
        <w:jc w:val="both"/>
        <w:rPr>
          <w:rFonts w:cs="Arial"/>
          <w:sz w:val="20"/>
          <w:szCs w:val="20"/>
          <w:lang w:val="ru-RU"/>
        </w:rPr>
      </w:pPr>
      <w:r w:rsidRPr="00BF2463">
        <w:rPr>
          <w:rFonts w:cs="Arial"/>
          <w:sz w:val="20"/>
          <w:szCs w:val="20"/>
          <w:lang w:val="ru-RU"/>
        </w:rPr>
        <w:t>За 2018 года Банк, не имеет убытка от обесценения, восстановленных в составе прибыли или убытка.</w:t>
      </w:r>
    </w:p>
    <w:p w:rsidR="00BF2463" w:rsidRDefault="00BF2463" w:rsidP="00BF2463">
      <w:pPr>
        <w:jc w:val="both"/>
        <w:rPr>
          <w:rFonts w:cs="Arial"/>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t>На момент составления годовой бухгалтерской (финансовой) отчетности Банк не имеет информации о наличии ограничений прав собственности на основные средства, а также о стоимости основных средств, переданных в залог в качестве обеспечения обязательств, так же не имеет затрат на сооружение (строительство) объекта основных средств и не имеет договорных обязательств по приобретению основных средств.</w:t>
      </w:r>
    </w:p>
    <w:p w:rsidR="00BF2463" w:rsidRPr="00BF2463" w:rsidRDefault="00BF2463" w:rsidP="00BF2463">
      <w:pPr>
        <w:jc w:val="both"/>
        <w:rPr>
          <w:rFonts w:cs="Arial"/>
          <w:sz w:val="20"/>
          <w:szCs w:val="20"/>
          <w:lang w:val="ru-RU"/>
        </w:rPr>
      </w:pPr>
      <w:r w:rsidRPr="00BF2463">
        <w:rPr>
          <w:rFonts w:cs="Arial"/>
          <w:sz w:val="20"/>
          <w:szCs w:val="20"/>
          <w:lang w:val="ru-RU"/>
        </w:rPr>
        <w:t>Банк не располагает информацией о компенсации, выплаченной третьим лицам в связи с обесценением, утратой или передачей объектов основных средств, включенных в состав прибыли или убытка.</w:t>
      </w:r>
    </w:p>
    <w:p w:rsidR="00BF2463" w:rsidRPr="00BF2463" w:rsidRDefault="00BF2463" w:rsidP="00BF2463">
      <w:pPr>
        <w:jc w:val="both"/>
        <w:rPr>
          <w:rFonts w:cs="Arial"/>
          <w:sz w:val="20"/>
          <w:szCs w:val="20"/>
          <w:lang w:val="ru-RU"/>
        </w:rPr>
      </w:pPr>
      <w:r w:rsidRPr="00BF2463">
        <w:rPr>
          <w:rFonts w:eastAsia="Calibri" w:cs="Arial"/>
          <w:sz w:val="20"/>
          <w:szCs w:val="20"/>
          <w:lang w:val="ru-RU"/>
        </w:rPr>
        <w:t>Стоимость объектов основных средств погашается посредством начисления амортизации в течение срока их полезного использования.</w:t>
      </w:r>
    </w:p>
    <w:p w:rsidR="00BF2463" w:rsidRPr="00BF2463" w:rsidRDefault="00BF2463" w:rsidP="00BF2463">
      <w:pPr>
        <w:jc w:val="both"/>
        <w:rPr>
          <w:rFonts w:eastAsia="Calibri" w:cs="Arial"/>
          <w:sz w:val="20"/>
          <w:szCs w:val="20"/>
          <w:lang w:val="ru-RU"/>
        </w:rPr>
      </w:pPr>
      <w:r w:rsidRPr="00BF2463">
        <w:rPr>
          <w:rFonts w:eastAsia="Calibri" w:cs="Arial"/>
          <w:sz w:val="20"/>
          <w:szCs w:val="20"/>
          <w:lang w:val="ru-RU"/>
        </w:rPr>
        <w:t xml:space="preserve">При признании объекта основных средств банк определяет срок полезного использования объекта основных средств исходя: </w:t>
      </w:r>
      <w:r w:rsidRPr="00BF2463">
        <w:rPr>
          <w:rFonts w:eastAsia="Calibri" w:cs="Arial"/>
          <w:color w:val="231F20"/>
          <w:sz w:val="20"/>
          <w:szCs w:val="20"/>
          <w:lang w:val="ru-RU"/>
        </w:rPr>
        <w:t>из ожидаемого срока использования этого объекта в соответствии с ожидаемой производительностью или мощностью;</w:t>
      </w:r>
      <w:r w:rsidRPr="00BF2463">
        <w:rPr>
          <w:rFonts w:eastAsia="Calibri" w:cs="Arial"/>
          <w:sz w:val="20"/>
          <w:szCs w:val="20"/>
          <w:lang w:val="ru-RU"/>
        </w:rPr>
        <w:t xml:space="preserve"> </w:t>
      </w:r>
      <w:r w:rsidRPr="00BF2463">
        <w:rPr>
          <w:rFonts w:eastAsia="Calibri" w:cs="Arial"/>
          <w:color w:val="231F20"/>
          <w:sz w:val="20"/>
          <w:szCs w:val="20"/>
          <w:lang w:val="ru-RU"/>
        </w:rPr>
        <w:t>ожидаемого физического износа этого объекта, зависящего от режима эксплуатации, естественных условий и влияния агрессивной среды, системы проведения ремонта;</w:t>
      </w:r>
      <w:r w:rsidRPr="00BF2463">
        <w:rPr>
          <w:rFonts w:eastAsia="Calibri" w:cs="Arial"/>
          <w:sz w:val="20"/>
          <w:szCs w:val="20"/>
          <w:lang w:val="ru-RU"/>
        </w:rPr>
        <w:t xml:space="preserve"> </w:t>
      </w:r>
      <w:r w:rsidRPr="00BF2463">
        <w:rPr>
          <w:rFonts w:eastAsia="Calibri" w:cs="Arial"/>
          <w:color w:val="231F20"/>
          <w:sz w:val="20"/>
          <w:szCs w:val="20"/>
          <w:lang w:val="ru-RU"/>
        </w:rPr>
        <w:t>нормативно-правовых и других ограничений использования этого объекта;</w:t>
      </w:r>
      <w:r w:rsidRPr="00BF2463">
        <w:rPr>
          <w:rFonts w:eastAsia="Calibri" w:cs="Arial"/>
          <w:sz w:val="20"/>
          <w:szCs w:val="20"/>
          <w:lang w:val="ru-RU"/>
        </w:rPr>
        <w:t xml:space="preserve"> </w:t>
      </w:r>
      <w:r w:rsidRPr="00BF2463">
        <w:rPr>
          <w:rFonts w:eastAsia="Calibri" w:cs="Arial"/>
          <w:color w:val="231F20"/>
          <w:sz w:val="20"/>
          <w:szCs w:val="20"/>
          <w:lang w:val="ru-RU"/>
        </w:rPr>
        <w:t>морального износа этого объекта, возникающего в результате изменения или усовершенствования производственного процесса или в результате изменения рыночного спроса на услуги, оказываемые при помощи основного средства.</w:t>
      </w:r>
    </w:p>
    <w:p w:rsidR="00BF2463" w:rsidRPr="00BF2463" w:rsidRDefault="00BF2463" w:rsidP="00BF2463">
      <w:pPr>
        <w:jc w:val="both"/>
        <w:rPr>
          <w:rFonts w:eastAsia="Calibri" w:cs="Arial"/>
          <w:sz w:val="20"/>
          <w:szCs w:val="20"/>
          <w:lang w:val="ru-RU"/>
        </w:rPr>
      </w:pPr>
      <w:r w:rsidRPr="00BF2463">
        <w:rPr>
          <w:rFonts w:eastAsia="Calibri" w:cs="Arial"/>
          <w:sz w:val="20"/>
          <w:szCs w:val="20"/>
          <w:lang w:val="ru-RU"/>
        </w:rPr>
        <w:t>Перечень объектов основных средств, по которым начисление амортизации не производится, определяется банком в соответствии с законодательством РФ, утверждается распоряжением.</w:t>
      </w:r>
    </w:p>
    <w:p w:rsidR="00BF2463" w:rsidRPr="00BF2463" w:rsidRDefault="00BF2463" w:rsidP="00BF2463">
      <w:pPr>
        <w:jc w:val="both"/>
        <w:rPr>
          <w:rFonts w:cs="Arial"/>
          <w:sz w:val="20"/>
          <w:szCs w:val="20"/>
          <w:lang w:val="ru-RU"/>
        </w:rPr>
      </w:pPr>
      <w:r w:rsidRPr="00BF2463">
        <w:rPr>
          <w:rFonts w:cs="Arial"/>
          <w:sz w:val="20"/>
          <w:szCs w:val="20"/>
          <w:lang w:val="ru-RU"/>
        </w:rPr>
        <w:t>За отчетный период сумма начисленной амортизации, независимо от признания ее в составе прибыли или убытка, или в составе первоначальной стоимости других активов составила 44</w:t>
      </w:r>
      <w:r w:rsidRPr="000B58E7">
        <w:rPr>
          <w:rFonts w:cs="Arial"/>
          <w:sz w:val="20"/>
          <w:szCs w:val="20"/>
        </w:rPr>
        <w:t> </w:t>
      </w:r>
      <w:r w:rsidRPr="00BF2463">
        <w:rPr>
          <w:rFonts w:cs="Arial"/>
          <w:sz w:val="20"/>
          <w:szCs w:val="20"/>
          <w:lang w:val="ru-RU"/>
        </w:rPr>
        <w:t>194 ты</w:t>
      </w:r>
      <w:r w:rsidR="00DF4911">
        <w:rPr>
          <w:rFonts w:cs="Arial"/>
          <w:sz w:val="20"/>
          <w:szCs w:val="20"/>
          <w:lang w:val="ru-RU"/>
        </w:rPr>
        <w:t>с.</w:t>
      </w:r>
      <w:r w:rsidRPr="00BF2463">
        <w:rPr>
          <w:rFonts w:cs="Arial"/>
          <w:sz w:val="20"/>
          <w:szCs w:val="20"/>
          <w:lang w:val="ru-RU"/>
        </w:rPr>
        <w:t>руб.</w:t>
      </w:r>
    </w:p>
    <w:p w:rsidR="00BF2463" w:rsidRPr="00BF2463" w:rsidRDefault="00BF2463" w:rsidP="00BF2463">
      <w:pPr>
        <w:jc w:val="both"/>
        <w:rPr>
          <w:rFonts w:cs="Arial"/>
          <w:sz w:val="20"/>
          <w:szCs w:val="20"/>
          <w:lang w:val="ru-RU"/>
        </w:rPr>
      </w:pPr>
      <w:r w:rsidRPr="00BF2463">
        <w:rPr>
          <w:rFonts w:cs="Arial"/>
          <w:sz w:val="20"/>
          <w:szCs w:val="20"/>
          <w:lang w:val="ru-RU"/>
        </w:rPr>
        <w:t>Сумма накопленной амортизации за 31 декабря 2018 года составила 464</w:t>
      </w:r>
      <w:r w:rsidRPr="000B58E7">
        <w:rPr>
          <w:rFonts w:cs="Arial"/>
          <w:sz w:val="20"/>
          <w:szCs w:val="20"/>
        </w:rPr>
        <w:t> </w:t>
      </w:r>
      <w:r w:rsidR="00DF4911">
        <w:rPr>
          <w:rFonts w:cs="Arial"/>
          <w:sz w:val="20"/>
          <w:szCs w:val="20"/>
          <w:lang w:val="ru-RU"/>
        </w:rPr>
        <w:t>040 тыс.</w:t>
      </w:r>
      <w:r w:rsidRPr="00BF2463">
        <w:rPr>
          <w:rFonts w:cs="Arial"/>
          <w:sz w:val="20"/>
          <w:szCs w:val="20"/>
          <w:lang w:val="ru-RU"/>
        </w:rPr>
        <w:t>руб.</w:t>
      </w:r>
    </w:p>
    <w:p w:rsidR="00DF4911" w:rsidRDefault="00BF2463" w:rsidP="00DF4911">
      <w:pPr>
        <w:jc w:val="both"/>
        <w:rPr>
          <w:rFonts w:cs="Arial"/>
          <w:sz w:val="20"/>
          <w:szCs w:val="20"/>
          <w:lang w:val="ru-RU"/>
        </w:rPr>
      </w:pPr>
      <w:r w:rsidRPr="00BF2463">
        <w:rPr>
          <w:rFonts w:cs="Arial"/>
          <w:sz w:val="20"/>
          <w:szCs w:val="20"/>
          <w:lang w:val="ru-RU"/>
        </w:rPr>
        <w:t xml:space="preserve">На момент составления годовой бухгалтерской (финансовой) отчетности Банк не имеет информации о степени влияния, которое оказывают изменения расчётных оценок на показатели отчетного периода в отношении: величин ликвидационной степени; расчетной величины затрат на демонтаж, перемещение или восстановление объектов основных средств и методов амортизации и </w:t>
      </w:r>
      <w:r w:rsidR="00DF4911">
        <w:rPr>
          <w:rFonts w:cs="Arial"/>
          <w:sz w:val="20"/>
          <w:szCs w:val="20"/>
          <w:lang w:val="ru-RU"/>
        </w:rPr>
        <w:t>сроков полезного использования.</w:t>
      </w:r>
    </w:p>
    <w:p w:rsidR="00DF4911" w:rsidRDefault="00DF4911" w:rsidP="00DF4911">
      <w:pPr>
        <w:jc w:val="both"/>
        <w:rPr>
          <w:rFonts w:cs="Arial"/>
          <w:sz w:val="20"/>
          <w:szCs w:val="20"/>
          <w:lang w:val="ru-RU"/>
        </w:rPr>
      </w:pPr>
    </w:p>
    <w:p w:rsidR="00BF2463" w:rsidRPr="00BF2463" w:rsidRDefault="00BF2463" w:rsidP="00DF4911">
      <w:pPr>
        <w:jc w:val="both"/>
        <w:rPr>
          <w:rFonts w:cs="Arial"/>
          <w:sz w:val="20"/>
          <w:szCs w:val="20"/>
          <w:lang w:val="ru-RU"/>
        </w:rPr>
      </w:pPr>
      <w:r w:rsidRPr="00BF2463">
        <w:rPr>
          <w:rFonts w:cs="Arial"/>
          <w:sz w:val="20"/>
          <w:szCs w:val="20"/>
          <w:lang w:val="ru-RU"/>
        </w:rPr>
        <w:t>Дополнительная информация по объектам основных средств, учитыва</w:t>
      </w:r>
      <w:r w:rsidR="00DF4911">
        <w:rPr>
          <w:rFonts w:cs="Arial"/>
          <w:sz w:val="20"/>
          <w:szCs w:val="20"/>
          <w:lang w:val="ru-RU"/>
        </w:rPr>
        <w:t>емых по переоцененной стоимости.</w:t>
      </w:r>
    </w:p>
    <w:p w:rsidR="00BD17F4" w:rsidRPr="00BF2463" w:rsidRDefault="00BF2463" w:rsidP="00BD17F4">
      <w:pPr>
        <w:jc w:val="both"/>
        <w:rPr>
          <w:rFonts w:cs="Arial"/>
          <w:sz w:val="20"/>
          <w:szCs w:val="20"/>
          <w:lang w:val="ru-RU"/>
        </w:rPr>
      </w:pPr>
      <w:r w:rsidRPr="00BF2463">
        <w:rPr>
          <w:rFonts w:cs="Arial"/>
          <w:sz w:val="20"/>
          <w:szCs w:val="20"/>
          <w:lang w:val="ru-RU"/>
        </w:rPr>
        <w:t>За отчетный период</w:t>
      </w:r>
      <w:r w:rsidR="00DF4911">
        <w:rPr>
          <w:rFonts w:cs="Arial"/>
          <w:sz w:val="20"/>
          <w:szCs w:val="20"/>
          <w:lang w:val="ru-RU"/>
        </w:rPr>
        <w:t>,</w:t>
      </w:r>
      <w:r w:rsidRPr="00BF2463">
        <w:rPr>
          <w:rFonts w:cs="Arial"/>
          <w:sz w:val="20"/>
          <w:szCs w:val="20"/>
          <w:lang w:val="ru-RU"/>
        </w:rPr>
        <w:t xml:space="preserve"> завершившийся 31 декабря 2018 года</w:t>
      </w:r>
      <w:r w:rsidR="00DF4911">
        <w:rPr>
          <w:rFonts w:cs="Arial"/>
          <w:sz w:val="20"/>
          <w:szCs w:val="20"/>
          <w:lang w:val="ru-RU"/>
        </w:rPr>
        <w:t>,</w:t>
      </w:r>
      <w:r w:rsidRPr="00BF2463">
        <w:rPr>
          <w:rFonts w:cs="Arial"/>
          <w:sz w:val="20"/>
          <w:szCs w:val="20"/>
          <w:lang w:val="ru-RU"/>
        </w:rPr>
        <w:t xml:space="preserve"> Банк внёс изменение в Учетную политику на 2018 года, </w:t>
      </w:r>
      <w:r w:rsidR="00DF4911">
        <w:rPr>
          <w:rFonts w:cs="Arial"/>
          <w:sz w:val="20"/>
          <w:szCs w:val="20"/>
          <w:lang w:val="ru-RU"/>
        </w:rPr>
        <w:t>(</w:t>
      </w:r>
      <w:r w:rsidRPr="00BF2463">
        <w:rPr>
          <w:rFonts w:cs="Arial"/>
          <w:sz w:val="20"/>
          <w:szCs w:val="20"/>
          <w:lang w:val="ru-RU"/>
        </w:rPr>
        <w:t xml:space="preserve">приказ </w:t>
      </w:r>
      <w:r w:rsidR="00DF4911">
        <w:rPr>
          <w:rFonts w:cs="Arial"/>
          <w:sz w:val="20"/>
          <w:szCs w:val="20"/>
          <w:lang w:val="ru-RU"/>
        </w:rPr>
        <w:t>по Банку № 151/1 от 29.10.2018г.)</w:t>
      </w:r>
      <w:r w:rsidRPr="00BF2463">
        <w:rPr>
          <w:rFonts w:cs="Arial"/>
          <w:sz w:val="20"/>
          <w:szCs w:val="20"/>
          <w:lang w:val="ru-RU"/>
        </w:rPr>
        <w:t xml:space="preserve">, </w:t>
      </w:r>
      <w:r w:rsidR="00DF4911">
        <w:rPr>
          <w:rFonts w:cs="Arial"/>
          <w:sz w:val="20"/>
          <w:szCs w:val="20"/>
          <w:lang w:val="ru-RU"/>
        </w:rPr>
        <w:t>и установил периодичность переоценки основных средств</w:t>
      </w:r>
      <w:r w:rsidR="00BD17F4">
        <w:rPr>
          <w:rFonts w:cs="Arial"/>
          <w:sz w:val="20"/>
          <w:szCs w:val="20"/>
          <w:lang w:val="ru-RU"/>
        </w:rPr>
        <w:t xml:space="preserve"> </w:t>
      </w:r>
      <w:r w:rsidR="00BD17F4" w:rsidRPr="00BF2463">
        <w:rPr>
          <w:rFonts w:cs="Arial"/>
          <w:sz w:val="20"/>
          <w:szCs w:val="20"/>
          <w:lang w:val="ru-RU"/>
        </w:rPr>
        <w:t>в связи с производственной необходим</w:t>
      </w:r>
      <w:r w:rsidR="00BD17F4">
        <w:rPr>
          <w:rFonts w:cs="Arial"/>
          <w:sz w:val="20"/>
          <w:szCs w:val="20"/>
          <w:lang w:val="ru-RU"/>
        </w:rPr>
        <w:t xml:space="preserve">остью и на конец отчётного года по решению </w:t>
      </w:r>
      <w:r w:rsidR="00BD17F4" w:rsidRPr="00BF2463">
        <w:rPr>
          <w:rFonts w:cs="Arial"/>
          <w:sz w:val="20"/>
          <w:szCs w:val="20"/>
          <w:lang w:val="ru-RU"/>
        </w:rPr>
        <w:t>руководства Банка (решени</w:t>
      </w:r>
      <w:r w:rsidR="00BD17F4">
        <w:rPr>
          <w:rFonts w:cs="Arial"/>
          <w:sz w:val="20"/>
          <w:szCs w:val="20"/>
          <w:lang w:val="ru-RU"/>
        </w:rPr>
        <w:t>ю</w:t>
      </w:r>
      <w:r w:rsidR="00BD17F4" w:rsidRPr="00BF2463">
        <w:rPr>
          <w:rFonts w:cs="Arial"/>
          <w:sz w:val="20"/>
          <w:szCs w:val="20"/>
          <w:lang w:val="ru-RU"/>
        </w:rPr>
        <w:t xml:space="preserve"> соответствующего органа)</w:t>
      </w:r>
      <w:r w:rsidR="00BD17F4">
        <w:rPr>
          <w:rFonts w:cs="Arial"/>
          <w:sz w:val="20"/>
          <w:szCs w:val="20"/>
          <w:lang w:val="ru-RU"/>
        </w:rPr>
        <w:t>.</w:t>
      </w:r>
    </w:p>
    <w:p w:rsidR="00BF2463" w:rsidRPr="00BF2463" w:rsidRDefault="00BF2463" w:rsidP="00BF2463">
      <w:pPr>
        <w:jc w:val="both"/>
        <w:rPr>
          <w:rFonts w:cs="Arial"/>
          <w:sz w:val="20"/>
          <w:szCs w:val="20"/>
          <w:lang w:val="ru-RU"/>
        </w:rPr>
      </w:pPr>
      <w:r w:rsidRPr="00BF2463">
        <w:rPr>
          <w:rFonts w:cs="Arial"/>
          <w:sz w:val="20"/>
          <w:szCs w:val="20"/>
          <w:lang w:val="ru-RU"/>
        </w:rPr>
        <w:t>По решению Совета директоров от 31.10.2018г</w:t>
      </w:r>
      <w:r w:rsidR="00BD17F4">
        <w:rPr>
          <w:rFonts w:cs="Arial"/>
          <w:sz w:val="20"/>
          <w:szCs w:val="20"/>
          <w:lang w:val="ru-RU"/>
        </w:rPr>
        <w:t>.</w:t>
      </w:r>
      <w:r w:rsidRPr="00BF2463">
        <w:rPr>
          <w:rFonts w:cs="Arial"/>
          <w:sz w:val="20"/>
          <w:szCs w:val="20"/>
          <w:lang w:val="ru-RU"/>
        </w:rPr>
        <w:t xml:space="preserve"> в связи с производственной необходимостью, </w:t>
      </w:r>
      <w:r w:rsidR="00BD17F4">
        <w:rPr>
          <w:rFonts w:cs="Arial"/>
          <w:sz w:val="20"/>
          <w:szCs w:val="20"/>
          <w:lang w:val="ru-RU"/>
        </w:rPr>
        <w:t xml:space="preserve">по </w:t>
      </w:r>
      <w:r w:rsidRPr="00BF2463">
        <w:rPr>
          <w:rFonts w:cs="Arial"/>
          <w:sz w:val="20"/>
          <w:szCs w:val="20"/>
          <w:lang w:val="ru-RU"/>
        </w:rPr>
        <w:t>групп</w:t>
      </w:r>
      <w:r w:rsidR="00BD17F4">
        <w:rPr>
          <w:rFonts w:cs="Arial"/>
          <w:sz w:val="20"/>
          <w:szCs w:val="20"/>
          <w:lang w:val="ru-RU"/>
        </w:rPr>
        <w:t>ам</w:t>
      </w:r>
      <w:r w:rsidRPr="00BF2463">
        <w:rPr>
          <w:rFonts w:cs="Arial"/>
          <w:sz w:val="20"/>
          <w:szCs w:val="20"/>
          <w:lang w:val="ru-RU"/>
        </w:rPr>
        <w:t xml:space="preserve"> однородных объектов основных средств «Здания» и «Земля»</w:t>
      </w:r>
      <w:r w:rsidR="00C77E2C">
        <w:rPr>
          <w:rFonts w:cs="Arial"/>
          <w:sz w:val="20"/>
          <w:szCs w:val="20"/>
          <w:lang w:val="ru-RU"/>
        </w:rPr>
        <w:t xml:space="preserve"> по состоянию на 01.11.2018г.</w:t>
      </w:r>
      <w:r w:rsidRPr="00BF2463">
        <w:rPr>
          <w:rFonts w:cs="Arial"/>
          <w:sz w:val="20"/>
          <w:szCs w:val="20"/>
          <w:lang w:val="ru-RU"/>
        </w:rPr>
        <w:t xml:space="preserve"> (основание приказ Банка от 31.10.2018г. № 156/1). При проведении переоценки групп </w:t>
      </w:r>
      <w:r w:rsidRPr="00BF2463">
        <w:rPr>
          <w:rFonts w:cs="Arial"/>
          <w:sz w:val="20"/>
          <w:szCs w:val="20"/>
          <w:lang w:val="ru-RU"/>
        </w:rPr>
        <w:lastRenderedPageBreak/>
        <w:t xml:space="preserve">однородных объектов основных средств «Здания» и «Земля» использована рыночная стоимость объектов, определенная профессиональным оценщиком ООО «Омега». Результаты переоценки групп однородных объектов основных средств «Здания» и «Земля» на 01.11.2018 года отражены в балансе Банка за 27.11.2018 года после подписания акта приема-передачи выполненных услуг и получении отчета об определении рыночной стоимости. </w:t>
      </w:r>
    </w:p>
    <w:p w:rsidR="00BF2463" w:rsidRPr="00BF2463" w:rsidRDefault="00BF2463" w:rsidP="00BF2463">
      <w:pPr>
        <w:jc w:val="both"/>
        <w:rPr>
          <w:rFonts w:cs="Arial"/>
          <w:sz w:val="20"/>
          <w:szCs w:val="20"/>
          <w:lang w:val="ru-RU"/>
        </w:rPr>
      </w:pPr>
      <w:r w:rsidRPr="00BF2463">
        <w:rPr>
          <w:rFonts w:cs="Arial"/>
          <w:sz w:val="20"/>
          <w:szCs w:val="20"/>
          <w:lang w:val="ru-RU"/>
        </w:rPr>
        <w:t>На конец отчетного года, завершившийся 31 декабря 2018 года</w:t>
      </w:r>
      <w:r w:rsidR="00BD17F4">
        <w:rPr>
          <w:rFonts w:cs="Arial"/>
          <w:sz w:val="20"/>
          <w:szCs w:val="20"/>
          <w:lang w:val="ru-RU"/>
        </w:rPr>
        <w:t>,</w:t>
      </w:r>
      <w:r w:rsidRPr="00BF2463">
        <w:rPr>
          <w:rFonts w:cs="Arial"/>
          <w:sz w:val="20"/>
          <w:szCs w:val="20"/>
          <w:lang w:val="ru-RU"/>
        </w:rPr>
        <w:t xml:space="preserve"> на </w:t>
      </w:r>
      <w:r w:rsidR="00BD17F4">
        <w:rPr>
          <w:rFonts w:cs="Arial"/>
          <w:sz w:val="20"/>
          <w:szCs w:val="20"/>
          <w:lang w:val="ru-RU"/>
        </w:rPr>
        <w:t>основании приказа от 24.12.2018</w:t>
      </w:r>
      <w:r w:rsidRPr="00BF2463">
        <w:rPr>
          <w:rFonts w:cs="Arial"/>
          <w:sz w:val="20"/>
          <w:szCs w:val="20"/>
          <w:lang w:val="ru-RU"/>
        </w:rPr>
        <w:t>г</w:t>
      </w:r>
      <w:r w:rsidR="00BD17F4">
        <w:rPr>
          <w:rFonts w:cs="Arial"/>
          <w:sz w:val="20"/>
          <w:szCs w:val="20"/>
          <w:lang w:val="ru-RU"/>
        </w:rPr>
        <w:t>.</w:t>
      </w:r>
      <w:r w:rsidRPr="00BF2463">
        <w:rPr>
          <w:rFonts w:cs="Arial"/>
          <w:sz w:val="20"/>
          <w:szCs w:val="20"/>
          <w:lang w:val="ru-RU"/>
        </w:rPr>
        <w:t xml:space="preserve"> № 179 Банк принял результаты проведенной переоценки групп однородных объектов основных средств «Здания» и «Земля» на 01.11.2018г</w:t>
      </w:r>
      <w:r w:rsidR="00BD17F4">
        <w:rPr>
          <w:rFonts w:cs="Arial"/>
          <w:sz w:val="20"/>
          <w:szCs w:val="20"/>
          <w:lang w:val="ru-RU"/>
        </w:rPr>
        <w:t>.</w:t>
      </w:r>
      <w:r w:rsidRPr="00BF2463">
        <w:rPr>
          <w:rFonts w:cs="Arial"/>
          <w:sz w:val="20"/>
          <w:szCs w:val="20"/>
          <w:lang w:val="ru-RU"/>
        </w:rPr>
        <w:t xml:space="preserve"> по состоянию за 31.12.2018г</w:t>
      </w:r>
      <w:r w:rsidR="00BD17F4">
        <w:rPr>
          <w:rFonts w:cs="Arial"/>
          <w:sz w:val="20"/>
          <w:szCs w:val="20"/>
          <w:lang w:val="ru-RU"/>
        </w:rPr>
        <w:t>.</w:t>
      </w:r>
      <w:r w:rsidRPr="00BF2463">
        <w:rPr>
          <w:rFonts w:cs="Arial"/>
          <w:sz w:val="20"/>
          <w:szCs w:val="20"/>
          <w:lang w:val="ru-RU"/>
        </w:rPr>
        <w:t xml:space="preserve"> на основании отчета от профессиональных оценщиков ООО «Омега». При проведении теста на обесценение на 01.01.2019г</w:t>
      </w:r>
      <w:r w:rsidR="00BD17F4">
        <w:rPr>
          <w:rFonts w:cs="Arial"/>
          <w:sz w:val="20"/>
          <w:szCs w:val="20"/>
          <w:lang w:val="ru-RU"/>
        </w:rPr>
        <w:t>.</w:t>
      </w:r>
      <w:r w:rsidRPr="00BF2463">
        <w:rPr>
          <w:rFonts w:cs="Arial"/>
          <w:sz w:val="20"/>
          <w:szCs w:val="20"/>
          <w:lang w:val="ru-RU"/>
        </w:rPr>
        <w:t xml:space="preserve"> по транспортным средствам, вычислительной технике, оборудованию, мебели и инвентарю, а также при переоценке групп однородных объектов основных средств «Здания» и «Земля» использована рыночная стоимость объектов, определенная профессиональными оценщиками ООО «Омега». Результаты теста на обесценение по транспортным средствам, вычислительной технике, оборудованию, мебели и инвентарю на 01.01.2019г</w:t>
      </w:r>
      <w:r w:rsidR="00BD17F4">
        <w:rPr>
          <w:rFonts w:cs="Arial"/>
          <w:sz w:val="20"/>
          <w:szCs w:val="20"/>
          <w:lang w:val="ru-RU"/>
        </w:rPr>
        <w:t xml:space="preserve">. </w:t>
      </w:r>
      <w:r w:rsidRPr="00BF2463">
        <w:rPr>
          <w:rFonts w:cs="Arial"/>
          <w:sz w:val="20"/>
          <w:szCs w:val="20"/>
          <w:lang w:val="ru-RU"/>
        </w:rPr>
        <w:t>отражены в балансе Банка за 31.12.2018г</w:t>
      </w:r>
      <w:r w:rsidR="00526405">
        <w:rPr>
          <w:rFonts w:cs="Arial"/>
          <w:sz w:val="20"/>
          <w:szCs w:val="20"/>
          <w:lang w:val="ru-RU"/>
        </w:rPr>
        <w:t>.</w:t>
      </w:r>
      <w:r w:rsidRPr="00BF2463">
        <w:rPr>
          <w:rFonts w:cs="Arial"/>
          <w:sz w:val="20"/>
          <w:szCs w:val="20"/>
          <w:lang w:val="ru-RU"/>
        </w:rPr>
        <w:t xml:space="preserve"> событием после отчетной даты (СПОД).</w:t>
      </w:r>
    </w:p>
    <w:p w:rsidR="00BF2463" w:rsidRPr="00BF2463" w:rsidRDefault="00BF2463" w:rsidP="00BF2463">
      <w:pPr>
        <w:rPr>
          <w:rFonts w:cs="Arial"/>
          <w:sz w:val="20"/>
          <w:szCs w:val="20"/>
          <w:lang w:val="ru-RU"/>
        </w:rPr>
      </w:pPr>
    </w:p>
    <w:p w:rsidR="00BF2463" w:rsidRPr="00BF2463" w:rsidRDefault="00BF2463" w:rsidP="00BF2463">
      <w:pPr>
        <w:rPr>
          <w:rFonts w:cs="Arial"/>
          <w:sz w:val="20"/>
          <w:szCs w:val="20"/>
          <w:lang w:val="ru-RU"/>
        </w:rPr>
      </w:pPr>
      <w:r w:rsidRPr="00BF2463">
        <w:rPr>
          <w:rFonts w:cs="Arial"/>
          <w:sz w:val="20"/>
          <w:szCs w:val="20"/>
          <w:lang w:val="ru-RU"/>
        </w:rPr>
        <w:t>Оценка объектов проводилась специалистами ООО «Омега»</w:t>
      </w:r>
      <w:r w:rsidR="00526405">
        <w:rPr>
          <w:rFonts w:cs="Arial"/>
          <w:sz w:val="20"/>
          <w:szCs w:val="20"/>
          <w:lang w:val="ru-RU"/>
        </w:rPr>
        <w:t xml:space="preserve"> на основании договоров</w:t>
      </w:r>
      <w:r w:rsidRPr="00BF2463">
        <w:rPr>
          <w:rFonts w:cs="Arial"/>
          <w:sz w:val="20"/>
          <w:szCs w:val="20"/>
          <w:lang w:val="ru-RU"/>
        </w:rPr>
        <w:t xml:space="preserve">: </w:t>
      </w:r>
    </w:p>
    <w:p w:rsidR="00BF2463" w:rsidRPr="00703C5D" w:rsidRDefault="00BF2463" w:rsidP="00FC5D59">
      <w:pPr>
        <w:pStyle w:val="afd"/>
        <w:numPr>
          <w:ilvl w:val="0"/>
          <w:numId w:val="75"/>
        </w:numPr>
        <w:tabs>
          <w:tab w:val="left" w:pos="851"/>
        </w:tabs>
        <w:ind w:left="0" w:firstLine="567"/>
        <w:rPr>
          <w:rFonts w:cs="Arial"/>
          <w:sz w:val="20"/>
          <w:szCs w:val="20"/>
          <w:lang w:val="ru-RU"/>
        </w:rPr>
      </w:pPr>
      <w:r w:rsidRPr="00703C5D">
        <w:rPr>
          <w:rFonts w:cs="Arial"/>
          <w:sz w:val="20"/>
          <w:szCs w:val="20"/>
          <w:lang w:val="ru-RU"/>
        </w:rPr>
        <w:t>10-ОЦ-46/2018 на оказание услуг по оценке от 25.10.2018г.;</w:t>
      </w:r>
    </w:p>
    <w:p w:rsidR="00BF2463" w:rsidRPr="00703C5D" w:rsidRDefault="00BF2463" w:rsidP="00FC5D59">
      <w:pPr>
        <w:pStyle w:val="afd"/>
        <w:numPr>
          <w:ilvl w:val="0"/>
          <w:numId w:val="75"/>
        </w:numPr>
        <w:tabs>
          <w:tab w:val="left" w:pos="851"/>
        </w:tabs>
        <w:ind w:left="0" w:firstLine="567"/>
        <w:rPr>
          <w:rFonts w:cs="Arial"/>
          <w:sz w:val="20"/>
          <w:szCs w:val="20"/>
          <w:lang w:val="ru-RU"/>
        </w:rPr>
      </w:pPr>
      <w:r w:rsidRPr="00703C5D">
        <w:rPr>
          <w:rFonts w:cs="Arial"/>
          <w:sz w:val="20"/>
          <w:szCs w:val="20"/>
          <w:lang w:val="ru-RU"/>
        </w:rPr>
        <w:t>10-КУ-72/2018 на оказание услуг по оценке от 04.12.2018г.;</w:t>
      </w:r>
    </w:p>
    <w:p w:rsidR="00BF2463" w:rsidRPr="00703C5D" w:rsidRDefault="00BF2463" w:rsidP="00FC5D59">
      <w:pPr>
        <w:pStyle w:val="afd"/>
        <w:numPr>
          <w:ilvl w:val="0"/>
          <w:numId w:val="75"/>
        </w:numPr>
        <w:tabs>
          <w:tab w:val="left" w:pos="851"/>
        </w:tabs>
        <w:ind w:left="0" w:firstLine="567"/>
        <w:rPr>
          <w:rFonts w:cs="Arial"/>
          <w:sz w:val="20"/>
          <w:szCs w:val="20"/>
          <w:lang w:val="ru-RU"/>
        </w:rPr>
      </w:pPr>
      <w:r w:rsidRPr="00703C5D">
        <w:rPr>
          <w:rFonts w:cs="Arial"/>
          <w:sz w:val="20"/>
          <w:szCs w:val="20"/>
          <w:lang w:val="ru-RU"/>
        </w:rPr>
        <w:t>10-ОЦ-73/2018 на оказание услуг по оценке от 04.12.2018г.;</w:t>
      </w:r>
    </w:p>
    <w:p w:rsidR="00BF2463" w:rsidRPr="00703C5D" w:rsidRDefault="00BF2463" w:rsidP="00FC5D59">
      <w:pPr>
        <w:pStyle w:val="afd"/>
        <w:numPr>
          <w:ilvl w:val="0"/>
          <w:numId w:val="75"/>
        </w:numPr>
        <w:tabs>
          <w:tab w:val="left" w:pos="851"/>
        </w:tabs>
        <w:ind w:left="0" w:firstLine="567"/>
        <w:rPr>
          <w:rFonts w:cs="Arial"/>
          <w:sz w:val="20"/>
          <w:szCs w:val="20"/>
          <w:lang w:val="ru-RU"/>
        </w:rPr>
      </w:pPr>
      <w:r w:rsidRPr="00703C5D">
        <w:rPr>
          <w:rFonts w:cs="Arial"/>
          <w:sz w:val="20"/>
          <w:szCs w:val="20"/>
          <w:lang w:val="ru-RU"/>
        </w:rPr>
        <w:t xml:space="preserve">10-ОЦ-74/2018 на оказание </w:t>
      </w:r>
      <w:r w:rsidR="00526405" w:rsidRPr="00703C5D">
        <w:rPr>
          <w:rFonts w:cs="Arial"/>
          <w:sz w:val="20"/>
          <w:szCs w:val="20"/>
          <w:lang w:val="ru-RU"/>
        </w:rPr>
        <w:t>услуг по оценке от 04.12.2018г.</w:t>
      </w:r>
    </w:p>
    <w:p w:rsidR="00BF2463" w:rsidRPr="00B43158" w:rsidRDefault="00BF2463" w:rsidP="00BF2463">
      <w:pPr>
        <w:rPr>
          <w:rFonts w:cs="Arial"/>
          <w:sz w:val="20"/>
          <w:szCs w:val="20"/>
          <w:lang w:val="ru-RU"/>
        </w:rPr>
      </w:pPr>
      <w:r w:rsidRPr="00BF2463">
        <w:rPr>
          <w:rFonts w:cs="Arial"/>
          <w:sz w:val="20"/>
          <w:szCs w:val="20"/>
          <w:lang w:val="ru-RU"/>
        </w:rPr>
        <w:t xml:space="preserve">Полное наименование организации: Общество с ограниченной ответственностью </w:t>
      </w:r>
      <w:r w:rsidRPr="00B43158">
        <w:rPr>
          <w:rFonts w:cs="Arial"/>
          <w:sz w:val="20"/>
          <w:szCs w:val="20"/>
          <w:lang w:val="ru-RU"/>
        </w:rPr>
        <w:t xml:space="preserve">«Омега». </w:t>
      </w:r>
      <w:r w:rsidRPr="00B43158">
        <w:rPr>
          <w:rFonts w:cs="Arial"/>
          <w:sz w:val="20"/>
          <w:szCs w:val="20"/>
          <w:lang w:val="ru-RU"/>
        </w:rPr>
        <w:tab/>
      </w:r>
    </w:p>
    <w:p w:rsidR="00BF2463" w:rsidRPr="00BF2463" w:rsidRDefault="00BF2463" w:rsidP="00BF2463">
      <w:pPr>
        <w:rPr>
          <w:rFonts w:cs="Arial"/>
          <w:sz w:val="20"/>
          <w:szCs w:val="20"/>
          <w:lang w:val="ru-RU"/>
        </w:rPr>
      </w:pPr>
      <w:r w:rsidRPr="00BF2463">
        <w:rPr>
          <w:rFonts w:cs="Arial"/>
          <w:sz w:val="20"/>
          <w:szCs w:val="20"/>
          <w:lang w:val="ru-RU"/>
        </w:rPr>
        <w:t>Свидетельство о регистрации юридического лица серия 74 № 003030792 от 29.08.2005г.</w:t>
      </w:r>
    </w:p>
    <w:p w:rsidR="00BF2463" w:rsidRPr="00BF2463" w:rsidRDefault="00BF2463" w:rsidP="00BF2463">
      <w:pPr>
        <w:rPr>
          <w:rFonts w:cs="Arial"/>
          <w:sz w:val="20"/>
          <w:szCs w:val="20"/>
          <w:lang w:val="ru-RU"/>
        </w:rPr>
      </w:pPr>
      <w:r w:rsidRPr="00BF2463">
        <w:rPr>
          <w:rFonts w:cs="Arial"/>
          <w:sz w:val="20"/>
          <w:szCs w:val="20"/>
          <w:lang w:val="ru-RU"/>
        </w:rPr>
        <w:t>Свидетельство о постановке на учет юридического лица в налоговом органе серия 74 №004959249 от 29.08.2005.</w:t>
      </w:r>
    </w:p>
    <w:p w:rsidR="00BF2463" w:rsidRDefault="00BF2463" w:rsidP="00BF2463">
      <w:pPr>
        <w:jc w:val="both"/>
        <w:rPr>
          <w:rFonts w:cs="Arial"/>
          <w:sz w:val="20"/>
          <w:szCs w:val="20"/>
          <w:lang w:val="ru-RU"/>
        </w:rPr>
      </w:pPr>
      <w:r w:rsidRPr="00BF2463">
        <w:rPr>
          <w:rFonts w:cs="Arial"/>
          <w:sz w:val="20"/>
          <w:szCs w:val="20"/>
          <w:lang w:val="ru-RU"/>
        </w:rPr>
        <w:t>Балансовая стоимость, которая подлежала бы признанию, если бы активы учитывались по первоначальной стоимости:</w:t>
      </w:r>
    </w:p>
    <w:p w:rsidR="00526405" w:rsidRPr="00BF2463" w:rsidRDefault="00526405" w:rsidP="00BF2463">
      <w:pPr>
        <w:jc w:val="both"/>
        <w:rPr>
          <w:rFonts w:cs="Arial"/>
          <w:sz w:val="20"/>
          <w:szCs w:val="20"/>
          <w:lang w:val="ru-RU"/>
        </w:rPr>
      </w:pPr>
    </w:p>
    <w:tbl>
      <w:tblPr>
        <w:tblStyle w:val="affc"/>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369"/>
        <w:gridCol w:w="3118"/>
        <w:gridCol w:w="2857"/>
      </w:tblGrid>
      <w:tr w:rsidR="00BF2463" w:rsidRPr="000B58E7" w:rsidTr="00526405">
        <w:tc>
          <w:tcPr>
            <w:tcW w:w="3369" w:type="dxa"/>
            <w:tcBorders>
              <w:top w:val="single" w:sz="4" w:space="0" w:color="auto"/>
            </w:tcBorders>
          </w:tcPr>
          <w:p w:rsidR="00BF2463" w:rsidRPr="00BF2463" w:rsidRDefault="00BF2463" w:rsidP="00BF2463">
            <w:pPr>
              <w:jc w:val="center"/>
              <w:rPr>
                <w:rFonts w:cs="Arial"/>
                <w:b/>
                <w:sz w:val="14"/>
                <w:szCs w:val="14"/>
                <w:lang w:val="ru-RU"/>
              </w:rPr>
            </w:pPr>
          </w:p>
        </w:tc>
        <w:tc>
          <w:tcPr>
            <w:tcW w:w="3118" w:type="dxa"/>
            <w:tcBorders>
              <w:top w:val="single" w:sz="4" w:space="0" w:color="auto"/>
            </w:tcBorders>
          </w:tcPr>
          <w:p w:rsidR="00BF2463" w:rsidRPr="000B58E7" w:rsidRDefault="00BF2463" w:rsidP="00BF2463">
            <w:pPr>
              <w:jc w:val="center"/>
              <w:rPr>
                <w:rFonts w:cs="Arial"/>
                <w:b/>
                <w:sz w:val="14"/>
                <w:szCs w:val="14"/>
              </w:rPr>
            </w:pPr>
            <w:r w:rsidRPr="000B58E7">
              <w:rPr>
                <w:rFonts w:cs="Arial"/>
                <w:b/>
                <w:sz w:val="14"/>
                <w:szCs w:val="14"/>
              </w:rPr>
              <w:t>Первоначальная стоимость</w:t>
            </w:r>
          </w:p>
        </w:tc>
        <w:tc>
          <w:tcPr>
            <w:tcW w:w="2857" w:type="dxa"/>
            <w:tcBorders>
              <w:top w:val="single" w:sz="4" w:space="0" w:color="auto"/>
            </w:tcBorders>
          </w:tcPr>
          <w:p w:rsidR="00BF2463" w:rsidRPr="00526405" w:rsidRDefault="00BF2463" w:rsidP="00BF2463">
            <w:pPr>
              <w:jc w:val="center"/>
              <w:rPr>
                <w:rFonts w:cs="Arial"/>
                <w:b/>
                <w:sz w:val="14"/>
                <w:szCs w:val="14"/>
                <w:lang w:val="ru-RU"/>
              </w:rPr>
            </w:pPr>
            <w:r w:rsidRPr="000B58E7">
              <w:rPr>
                <w:rFonts w:cs="Arial"/>
                <w:b/>
                <w:sz w:val="14"/>
                <w:szCs w:val="14"/>
              </w:rPr>
              <w:t>Баланс</w:t>
            </w:r>
            <w:r w:rsidR="00526405">
              <w:rPr>
                <w:rFonts w:cs="Arial"/>
                <w:b/>
                <w:sz w:val="14"/>
                <w:szCs w:val="14"/>
              </w:rPr>
              <w:t>овая стоимость за 31.12.2018</w:t>
            </w:r>
          </w:p>
        </w:tc>
      </w:tr>
      <w:tr w:rsidR="00BF2463" w:rsidRPr="000B58E7" w:rsidTr="00C77E2C">
        <w:tc>
          <w:tcPr>
            <w:tcW w:w="3369" w:type="dxa"/>
            <w:tcBorders>
              <w:bottom w:val="nil"/>
            </w:tcBorders>
          </w:tcPr>
          <w:p w:rsidR="00BF2463" w:rsidRPr="00526405" w:rsidRDefault="00BF2463" w:rsidP="00526405">
            <w:pPr>
              <w:rPr>
                <w:rFonts w:cs="Arial"/>
                <w:sz w:val="14"/>
                <w:szCs w:val="14"/>
              </w:rPr>
            </w:pPr>
            <w:r w:rsidRPr="00526405">
              <w:rPr>
                <w:rFonts w:cs="Arial"/>
                <w:sz w:val="14"/>
                <w:szCs w:val="14"/>
              </w:rPr>
              <w:t>Здания</w:t>
            </w:r>
          </w:p>
        </w:tc>
        <w:tc>
          <w:tcPr>
            <w:tcW w:w="3118" w:type="dxa"/>
            <w:tcBorders>
              <w:bottom w:val="nil"/>
            </w:tcBorders>
          </w:tcPr>
          <w:p w:rsidR="00BF2463" w:rsidRPr="00526405" w:rsidRDefault="00BF2463" w:rsidP="00BF2463">
            <w:pPr>
              <w:jc w:val="center"/>
              <w:rPr>
                <w:rFonts w:cs="Arial"/>
                <w:sz w:val="14"/>
                <w:szCs w:val="14"/>
              </w:rPr>
            </w:pPr>
            <w:r w:rsidRPr="00526405">
              <w:rPr>
                <w:rFonts w:cs="Arial"/>
                <w:sz w:val="14"/>
                <w:szCs w:val="14"/>
              </w:rPr>
              <w:t>990 125</w:t>
            </w:r>
          </w:p>
        </w:tc>
        <w:tc>
          <w:tcPr>
            <w:tcW w:w="2857" w:type="dxa"/>
            <w:tcBorders>
              <w:bottom w:val="nil"/>
            </w:tcBorders>
          </w:tcPr>
          <w:p w:rsidR="00BF2463" w:rsidRPr="00526405" w:rsidRDefault="00BF2463" w:rsidP="00BF2463">
            <w:pPr>
              <w:jc w:val="center"/>
              <w:rPr>
                <w:rFonts w:cs="Arial"/>
                <w:sz w:val="14"/>
                <w:szCs w:val="14"/>
              </w:rPr>
            </w:pPr>
            <w:r w:rsidRPr="00526405">
              <w:rPr>
                <w:rFonts w:cs="Arial"/>
                <w:sz w:val="14"/>
                <w:szCs w:val="14"/>
              </w:rPr>
              <w:t>1 407 208</w:t>
            </w:r>
          </w:p>
        </w:tc>
      </w:tr>
      <w:tr w:rsidR="00BF2463" w:rsidRPr="000B58E7" w:rsidTr="00C77E2C">
        <w:tc>
          <w:tcPr>
            <w:tcW w:w="3369" w:type="dxa"/>
            <w:tcBorders>
              <w:top w:val="nil"/>
              <w:bottom w:val="single" w:sz="4" w:space="0" w:color="auto"/>
            </w:tcBorders>
          </w:tcPr>
          <w:p w:rsidR="00BF2463" w:rsidRPr="00526405" w:rsidRDefault="00BF2463" w:rsidP="00526405">
            <w:pPr>
              <w:rPr>
                <w:rFonts w:cs="Arial"/>
                <w:sz w:val="14"/>
                <w:szCs w:val="14"/>
              </w:rPr>
            </w:pPr>
            <w:r w:rsidRPr="00526405">
              <w:rPr>
                <w:rFonts w:cs="Arial"/>
                <w:sz w:val="14"/>
                <w:szCs w:val="14"/>
              </w:rPr>
              <w:t>Земля</w:t>
            </w:r>
          </w:p>
        </w:tc>
        <w:tc>
          <w:tcPr>
            <w:tcW w:w="3118" w:type="dxa"/>
            <w:tcBorders>
              <w:top w:val="nil"/>
              <w:bottom w:val="single" w:sz="4" w:space="0" w:color="auto"/>
            </w:tcBorders>
          </w:tcPr>
          <w:p w:rsidR="00BF2463" w:rsidRPr="00526405" w:rsidRDefault="00BF2463" w:rsidP="00BF2463">
            <w:pPr>
              <w:jc w:val="center"/>
              <w:rPr>
                <w:rFonts w:cs="Arial"/>
                <w:sz w:val="14"/>
                <w:szCs w:val="14"/>
              </w:rPr>
            </w:pPr>
            <w:r w:rsidRPr="00526405">
              <w:rPr>
                <w:rFonts w:cs="Arial"/>
                <w:sz w:val="14"/>
                <w:szCs w:val="14"/>
              </w:rPr>
              <w:t>462</w:t>
            </w:r>
          </w:p>
        </w:tc>
        <w:tc>
          <w:tcPr>
            <w:tcW w:w="2857" w:type="dxa"/>
            <w:tcBorders>
              <w:top w:val="nil"/>
              <w:bottom w:val="single" w:sz="4" w:space="0" w:color="auto"/>
            </w:tcBorders>
          </w:tcPr>
          <w:p w:rsidR="00BF2463" w:rsidRPr="00526405" w:rsidRDefault="00BF2463" w:rsidP="00BF2463">
            <w:pPr>
              <w:jc w:val="center"/>
              <w:rPr>
                <w:rFonts w:cs="Arial"/>
                <w:sz w:val="14"/>
                <w:szCs w:val="14"/>
              </w:rPr>
            </w:pPr>
            <w:r w:rsidRPr="00526405">
              <w:rPr>
                <w:rFonts w:cs="Arial"/>
                <w:sz w:val="14"/>
                <w:szCs w:val="14"/>
              </w:rPr>
              <w:t>20 609</w:t>
            </w:r>
          </w:p>
        </w:tc>
      </w:tr>
    </w:tbl>
    <w:p w:rsidR="00526405" w:rsidRDefault="00526405" w:rsidP="00BF2463">
      <w:pPr>
        <w:jc w:val="both"/>
        <w:rPr>
          <w:rFonts w:cs="Arial"/>
          <w:sz w:val="20"/>
          <w:szCs w:val="20"/>
          <w:lang w:val="ru-RU"/>
        </w:rPr>
      </w:pPr>
    </w:p>
    <w:p w:rsidR="00BF2463" w:rsidRDefault="00BF2463" w:rsidP="00BF2463">
      <w:pPr>
        <w:jc w:val="both"/>
        <w:rPr>
          <w:rFonts w:cs="Arial"/>
          <w:sz w:val="20"/>
          <w:szCs w:val="20"/>
          <w:lang w:val="ru-RU"/>
        </w:rPr>
      </w:pPr>
      <w:r>
        <w:rPr>
          <w:rFonts w:cs="Arial"/>
          <w:sz w:val="20"/>
          <w:szCs w:val="20"/>
        </w:rPr>
        <w:t>П</w:t>
      </w:r>
      <w:r w:rsidRPr="000B58E7">
        <w:rPr>
          <w:rFonts w:cs="Arial"/>
          <w:sz w:val="20"/>
          <w:szCs w:val="20"/>
        </w:rPr>
        <w:t>рирост стоимости от переоценки</w:t>
      </w:r>
      <w:r>
        <w:rPr>
          <w:rFonts w:cs="Arial"/>
          <w:sz w:val="20"/>
          <w:szCs w:val="20"/>
        </w:rPr>
        <w:t>:</w:t>
      </w:r>
      <w:r w:rsidRPr="000B58E7">
        <w:rPr>
          <w:rFonts w:cs="Arial"/>
          <w:sz w:val="20"/>
          <w:szCs w:val="20"/>
        </w:rPr>
        <w:t xml:space="preserve"> </w:t>
      </w:r>
    </w:p>
    <w:p w:rsidR="00526405" w:rsidRPr="00526405" w:rsidRDefault="00526405" w:rsidP="00BF2463">
      <w:pPr>
        <w:jc w:val="both"/>
        <w:rPr>
          <w:rFonts w:cs="Arial"/>
          <w:color w:val="FF0000"/>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18"/>
        <w:gridCol w:w="2693"/>
        <w:gridCol w:w="2127"/>
        <w:gridCol w:w="2006"/>
      </w:tblGrid>
      <w:tr w:rsidR="00BF2463" w:rsidRPr="000B58E7" w:rsidTr="00526405">
        <w:trPr>
          <w:trHeight w:val="193"/>
        </w:trPr>
        <w:tc>
          <w:tcPr>
            <w:tcW w:w="2518" w:type="dxa"/>
            <w:tcBorders>
              <w:top w:val="single" w:sz="4" w:space="0" w:color="auto"/>
              <w:bottom w:val="single" w:sz="4" w:space="0" w:color="auto"/>
            </w:tcBorders>
          </w:tcPr>
          <w:p w:rsidR="00BF2463" w:rsidRPr="000B58E7" w:rsidRDefault="00BF2463" w:rsidP="00BF2463">
            <w:pPr>
              <w:jc w:val="center"/>
              <w:rPr>
                <w:rFonts w:cs="Arial"/>
                <w:b/>
                <w:sz w:val="14"/>
                <w:szCs w:val="14"/>
              </w:rPr>
            </w:pPr>
          </w:p>
        </w:tc>
        <w:tc>
          <w:tcPr>
            <w:tcW w:w="2693" w:type="dxa"/>
            <w:tcBorders>
              <w:top w:val="single" w:sz="4" w:space="0" w:color="auto"/>
              <w:bottom w:val="single" w:sz="4" w:space="0" w:color="auto"/>
            </w:tcBorders>
          </w:tcPr>
          <w:p w:rsidR="00BF2463" w:rsidRPr="00526405" w:rsidRDefault="00526405" w:rsidP="00BF2463">
            <w:pPr>
              <w:jc w:val="center"/>
              <w:rPr>
                <w:rFonts w:cs="Arial"/>
                <w:b/>
                <w:sz w:val="14"/>
                <w:szCs w:val="14"/>
                <w:lang w:val="ru-RU"/>
              </w:rPr>
            </w:pPr>
            <w:r>
              <w:rPr>
                <w:rFonts w:cs="Arial"/>
                <w:b/>
                <w:sz w:val="14"/>
                <w:szCs w:val="14"/>
              </w:rPr>
              <w:t>Переоценка за 31.12.2017</w:t>
            </w:r>
          </w:p>
        </w:tc>
        <w:tc>
          <w:tcPr>
            <w:tcW w:w="2127" w:type="dxa"/>
            <w:tcBorders>
              <w:top w:val="single" w:sz="4" w:space="0" w:color="auto"/>
              <w:bottom w:val="single" w:sz="4" w:space="0" w:color="auto"/>
            </w:tcBorders>
          </w:tcPr>
          <w:p w:rsidR="00BF2463" w:rsidRPr="00526405" w:rsidRDefault="00526405" w:rsidP="00BF2463">
            <w:pPr>
              <w:jc w:val="center"/>
              <w:rPr>
                <w:rFonts w:cs="Arial"/>
                <w:b/>
                <w:sz w:val="14"/>
                <w:szCs w:val="14"/>
                <w:lang w:val="ru-RU"/>
              </w:rPr>
            </w:pPr>
            <w:r>
              <w:rPr>
                <w:rFonts w:cs="Arial"/>
                <w:b/>
                <w:sz w:val="14"/>
                <w:szCs w:val="14"/>
              </w:rPr>
              <w:t>Переоценка за 31.12.2018</w:t>
            </w:r>
          </w:p>
        </w:tc>
        <w:tc>
          <w:tcPr>
            <w:tcW w:w="2006" w:type="dxa"/>
            <w:tcBorders>
              <w:top w:val="single" w:sz="4" w:space="0" w:color="auto"/>
              <w:bottom w:val="single" w:sz="4" w:space="0" w:color="auto"/>
            </w:tcBorders>
          </w:tcPr>
          <w:p w:rsidR="00BF2463" w:rsidRPr="000B58E7" w:rsidRDefault="00BF2463" w:rsidP="00BF2463">
            <w:pPr>
              <w:jc w:val="center"/>
              <w:rPr>
                <w:rFonts w:cs="Arial"/>
                <w:b/>
                <w:sz w:val="14"/>
                <w:szCs w:val="14"/>
              </w:rPr>
            </w:pPr>
            <w:r w:rsidRPr="000B58E7">
              <w:rPr>
                <w:rFonts w:cs="Arial"/>
                <w:b/>
                <w:sz w:val="14"/>
                <w:szCs w:val="14"/>
              </w:rPr>
              <w:t>Изменения за 12 месяцев</w:t>
            </w:r>
          </w:p>
        </w:tc>
      </w:tr>
      <w:tr w:rsidR="00BF2463" w:rsidRPr="000B58E7" w:rsidTr="00C77E2C">
        <w:tc>
          <w:tcPr>
            <w:tcW w:w="2518" w:type="dxa"/>
            <w:tcBorders>
              <w:top w:val="single" w:sz="4" w:space="0" w:color="auto"/>
              <w:bottom w:val="nil"/>
            </w:tcBorders>
          </w:tcPr>
          <w:p w:rsidR="00BF2463" w:rsidRPr="00526405" w:rsidRDefault="00BF2463" w:rsidP="00526405">
            <w:pPr>
              <w:rPr>
                <w:rFonts w:cs="Arial"/>
                <w:sz w:val="14"/>
                <w:szCs w:val="14"/>
              </w:rPr>
            </w:pPr>
            <w:r w:rsidRPr="00526405">
              <w:rPr>
                <w:rFonts w:cs="Arial"/>
                <w:sz w:val="14"/>
                <w:szCs w:val="14"/>
              </w:rPr>
              <w:t>Здания</w:t>
            </w:r>
          </w:p>
        </w:tc>
        <w:tc>
          <w:tcPr>
            <w:tcW w:w="2693" w:type="dxa"/>
            <w:tcBorders>
              <w:top w:val="single" w:sz="4" w:space="0" w:color="auto"/>
              <w:bottom w:val="nil"/>
            </w:tcBorders>
          </w:tcPr>
          <w:p w:rsidR="00BF2463" w:rsidRPr="00526405" w:rsidRDefault="00BF2463" w:rsidP="00BF2463">
            <w:pPr>
              <w:jc w:val="center"/>
              <w:rPr>
                <w:rFonts w:cs="Arial"/>
                <w:sz w:val="14"/>
                <w:szCs w:val="14"/>
              </w:rPr>
            </w:pPr>
            <w:r w:rsidRPr="00526405">
              <w:rPr>
                <w:rFonts w:cs="Arial"/>
                <w:sz w:val="14"/>
                <w:szCs w:val="14"/>
              </w:rPr>
              <w:t>362 797</w:t>
            </w:r>
          </w:p>
        </w:tc>
        <w:tc>
          <w:tcPr>
            <w:tcW w:w="2127" w:type="dxa"/>
            <w:tcBorders>
              <w:top w:val="single" w:sz="4" w:space="0" w:color="auto"/>
              <w:bottom w:val="nil"/>
            </w:tcBorders>
          </w:tcPr>
          <w:p w:rsidR="00BF2463" w:rsidRPr="00526405" w:rsidRDefault="00BF2463" w:rsidP="00BF2463">
            <w:pPr>
              <w:jc w:val="center"/>
              <w:rPr>
                <w:rFonts w:cs="Arial"/>
                <w:sz w:val="14"/>
                <w:szCs w:val="14"/>
              </w:rPr>
            </w:pPr>
            <w:r w:rsidRPr="00526405">
              <w:rPr>
                <w:rFonts w:cs="Arial"/>
                <w:sz w:val="14"/>
                <w:szCs w:val="14"/>
              </w:rPr>
              <w:t>402 763</w:t>
            </w:r>
          </w:p>
        </w:tc>
        <w:tc>
          <w:tcPr>
            <w:tcW w:w="2006" w:type="dxa"/>
            <w:tcBorders>
              <w:top w:val="single" w:sz="4" w:space="0" w:color="auto"/>
              <w:bottom w:val="nil"/>
            </w:tcBorders>
          </w:tcPr>
          <w:p w:rsidR="00BF2463" w:rsidRPr="00526405" w:rsidRDefault="00BF2463" w:rsidP="00BF2463">
            <w:pPr>
              <w:jc w:val="center"/>
              <w:rPr>
                <w:rFonts w:cs="Arial"/>
                <w:sz w:val="14"/>
                <w:szCs w:val="14"/>
              </w:rPr>
            </w:pPr>
            <w:r w:rsidRPr="00526405">
              <w:rPr>
                <w:rFonts w:cs="Arial"/>
                <w:sz w:val="14"/>
                <w:szCs w:val="14"/>
              </w:rPr>
              <w:t>39 966</w:t>
            </w:r>
          </w:p>
        </w:tc>
      </w:tr>
      <w:tr w:rsidR="00BF2463" w:rsidRPr="000B58E7" w:rsidTr="00C77E2C">
        <w:tc>
          <w:tcPr>
            <w:tcW w:w="2518" w:type="dxa"/>
            <w:tcBorders>
              <w:top w:val="nil"/>
              <w:bottom w:val="single" w:sz="4" w:space="0" w:color="auto"/>
            </w:tcBorders>
          </w:tcPr>
          <w:p w:rsidR="00BF2463" w:rsidRPr="00526405" w:rsidRDefault="00BF2463" w:rsidP="00526405">
            <w:pPr>
              <w:rPr>
                <w:rFonts w:cs="Arial"/>
                <w:sz w:val="14"/>
                <w:szCs w:val="14"/>
              </w:rPr>
            </w:pPr>
            <w:r w:rsidRPr="00526405">
              <w:rPr>
                <w:rFonts w:cs="Arial"/>
                <w:sz w:val="14"/>
                <w:szCs w:val="14"/>
              </w:rPr>
              <w:t>Земля</w:t>
            </w:r>
          </w:p>
        </w:tc>
        <w:tc>
          <w:tcPr>
            <w:tcW w:w="2693" w:type="dxa"/>
            <w:tcBorders>
              <w:top w:val="nil"/>
              <w:bottom w:val="single" w:sz="4" w:space="0" w:color="auto"/>
            </w:tcBorders>
          </w:tcPr>
          <w:p w:rsidR="00BF2463" w:rsidRPr="00703C5D" w:rsidRDefault="00703C5D" w:rsidP="00BF2463">
            <w:pPr>
              <w:jc w:val="center"/>
              <w:rPr>
                <w:rFonts w:cs="Arial"/>
                <w:sz w:val="14"/>
                <w:szCs w:val="14"/>
                <w:lang w:val="ru-RU"/>
              </w:rPr>
            </w:pPr>
            <w:r>
              <w:rPr>
                <w:rFonts w:cs="Arial"/>
                <w:sz w:val="14"/>
                <w:szCs w:val="14"/>
                <w:lang w:val="ru-RU"/>
              </w:rPr>
              <w:t>-</w:t>
            </w:r>
          </w:p>
        </w:tc>
        <w:tc>
          <w:tcPr>
            <w:tcW w:w="2127" w:type="dxa"/>
            <w:tcBorders>
              <w:top w:val="nil"/>
              <w:bottom w:val="single" w:sz="4" w:space="0" w:color="auto"/>
            </w:tcBorders>
          </w:tcPr>
          <w:p w:rsidR="00BF2463" w:rsidRPr="00526405" w:rsidRDefault="00BF2463" w:rsidP="00BF2463">
            <w:pPr>
              <w:jc w:val="center"/>
              <w:rPr>
                <w:rFonts w:cs="Arial"/>
                <w:sz w:val="14"/>
                <w:szCs w:val="14"/>
              </w:rPr>
            </w:pPr>
            <w:r w:rsidRPr="00526405">
              <w:rPr>
                <w:rFonts w:cs="Arial"/>
                <w:sz w:val="14"/>
                <w:szCs w:val="14"/>
              </w:rPr>
              <w:t>20 147</w:t>
            </w:r>
          </w:p>
        </w:tc>
        <w:tc>
          <w:tcPr>
            <w:tcW w:w="2006" w:type="dxa"/>
            <w:tcBorders>
              <w:top w:val="nil"/>
              <w:bottom w:val="single" w:sz="4" w:space="0" w:color="auto"/>
            </w:tcBorders>
          </w:tcPr>
          <w:p w:rsidR="00BF2463" w:rsidRPr="00526405" w:rsidRDefault="00BF2463" w:rsidP="00BF2463">
            <w:pPr>
              <w:jc w:val="center"/>
              <w:rPr>
                <w:rFonts w:cs="Arial"/>
                <w:sz w:val="14"/>
                <w:szCs w:val="14"/>
              </w:rPr>
            </w:pPr>
            <w:r w:rsidRPr="00526405">
              <w:rPr>
                <w:rFonts w:cs="Arial"/>
                <w:sz w:val="14"/>
                <w:szCs w:val="14"/>
              </w:rPr>
              <w:t>20 147</w:t>
            </w:r>
          </w:p>
        </w:tc>
      </w:tr>
      <w:tr w:rsidR="00BF2463" w:rsidRPr="000B58E7" w:rsidTr="00C77E2C">
        <w:tc>
          <w:tcPr>
            <w:tcW w:w="2518" w:type="dxa"/>
            <w:tcBorders>
              <w:top w:val="single" w:sz="4" w:space="0" w:color="auto"/>
              <w:bottom w:val="single" w:sz="4" w:space="0" w:color="auto"/>
            </w:tcBorders>
          </w:tcPr>
          <w:p w:rsidR="00BF2463" w:rsidRPr="00C77E2C" w:rsidRDefault="00C77E2C" w:rsidP="00526405">
            <w:pPr>
              <w:rPr>
                <w:rFonts w:cs="Arial"/>
                <w:b/>
                <w:sz w:val="14"/>
                <w:szCs w:val="14"/>
                <w:lang w:val="ru-RU"/>
              </w:rPr>
            </w:pPr>
            <w:r>
              <w:rPr>
                <w:rFonts w:cs="Arial"/>
                <w:b/>
                <w:sz w:val="14"/>
                <w:szCs w:val="14"/>
              </w:rPr>
              <w:t>Итог</w:t>
            </w:r>
          </w:p>
        </w:tc>
        <w:tc>
          <w:tcPr>
            <w:tcW w:w="2693" w:type="dxa"/>
            <w:tcBorders>
              <w:top w:val="single" w:sz="4" w:space="0" w:color="auto"/>
              <w:bottom w:val="single" w:sz="4" w:space="0" w:color="auto"/>
            </w:tcBorders>
          </w:tcPr>
          <w:p w:rsidR="00BF2463" w:rsidRPr="00C77E2C" w:rsidRDefault="00BF2463" w:rsidP="00BF2463">
            <w:pPr>
              <w:jc w:val="center"/>
              <w:rPr>
                <w:rFonts w:cs="Arial"/>
                <w:b/>
                <w:sz w:val="14"/>
                <w:szCs w:val="14"/>
              </w:rPr>
            </w:pPr>
            <w:r w:rsidRPr="00C77E2C">
              <w:rPr>
                <w:rFonts w:cs="Arial"/>
                <w:b/>
                <w:sz w:val="14"/>
                <w:szCs w:val="14"/>
              </w:rPr>
              <w:t>362 797</w:t>
            </w:r>
          </w:p>
        </w:tc>
        <w:tc>
          <w:tcPr>
            <w:tcW w:w="2127" w:type="dxa"/>
            <w:tcBorders>
              <w:top w:val="single" w:sz="4" w:space="0" w:color="auto"/>
              <w:bottom w:val="single" w:sz="4" w:space="0" w:color="auto"/>
            </w:tcBorders>
          </w:tcPr>
          <w:p w:rsidR="00BF2463" w:rsidRPr="00C77E2C" w:rsidRDefault="00BF2463" w:rsidP="00BF2463">
            <w:pPr>
              <w:jc w:val="center"/>
              <w:rPr>
                <w:rFonts w:cs="Arial"/>
                <w:b/>
                <w:sz w:val="14"/>
                <w:szCs w:val="14"/>
              </w:rPr>
            </w:pPr>
            <w:r w:rsidRPr="00C77E2C">
              <w:rPr>
                <w:rFonts w:cs="Arial"/>
                <w:b/>
                <w:sz w:val="14"/>
                <w:szCs w:val="14"/>
              </w:rPr>
              <w:t>422 910</w:t>
            </w:r>
          </w:p>
        </w:tc>
        <w:tc>
          <w:tcPr>
            <w:tcW w:w="2006" w:type="dxa"/>
            <w:tcBorders>
              <w:top w:val="single" w:sz="4" w:space="0" w:color="auto"/>
              <w:bottom w:val="single" w:sz="4" w:space="0" w:color="auto"/>
            </w:tcBorders>
          </w:tcPr>
          <w:p w:rsidR="00BF2463" w:rsidRPr="00C77E2C" w:rsidRDefault="00BF2463" w:rsidP="00BF2463">
            <w:pPr>
              <w:jc w:val="center"/>
              <w:rPr>
                <w:rFonts w:cs="Arial"/>
                <w:b/>
                <w:sz w:val="14"/>
                <w:szCs w:val="14"/>
              </w:rPr>
            </w:pPr>
            <w:r w:rsidRPr="00C77E2C">
              <w:rPr>
                <w:rFonts w:cs="Arial"/>
                <w:b/>
                <w:sz w:val="14"/>
                <w:szCs w:val="14"/>
              </w:rPr>
              <w:t>60 113</w:t>
            </w:r>
          </w:p>
        </w:tc>
      </w:tr>
    </w:tbl>
    <w:p w:rsidR="00526405" w:rsidRDefault="00526405" w:rsidP="00526405">
      <w:pPr>
        <w:jc w:val="both"/>
        <w:rPr>
          <w:rFonts w:cs="Arial"/>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t>За 2018 год Банк, не признавал в составе прибыли или убытка суммы убытков от обесценения или суммы восстановления убытков от обесценения в статьях отчета о совокупном доходе.</w:t>
      </w:r>
    </w:p>
    <w:p w:rsidR="00526405" w:rsidRDefault="00526405" w:rsidP="00526405">
      <w:pPr>
        <w:jc w:val="both"/>
        <w:rPr>
          <w:rFonts w:ascii="Calibri" w:hAnsi="Calibri" w:cs="Calibri"/>
          <w:lang w:val="ru-RU"/>
        </w:rPr>
      </w:pPr>
    </w:p>
    <w:p w:rsidR="00BF2463" w:rsidRPr="00BF2463" w:rsidRDefault="00526405" w:rsidP="00BF2463">
      <w:pPr>
        <w:jc w:val="both"/>
        <w:rPr>
          <w:rFonts w:cs="Arial"/>
          <w:sz w:val="20"/>
          <w:szCs w:val="20"/>
          <w:lang w:val="ru-RU"/>
        </w:rPr>
      </w:pPr>
      <w:bookmarkStart w:id="17" w:name="Par37"/>
      <w:bookmarkEnd w:id="17"/>
      <w:r>
        <w:rPr>
          <w:rFonts w:cs="Arial"/>
          <w:sz w:val="20"/>
          <w:szCs w:val="20"/>
          <w:lang w:val="ru-RU"/>
        </w:rPr>
        <w:t xml:space="preserve">Дополнительной </w:t>
      </w:r>
      <w:r w:rsidR="00BF2463" w:rsidRPr="00BF2463">
        <w:rPr>
          <w:rFonts w:cs="Arial"/>
          <w:sz w:val="20"/>
          <w:szCs w:val="20"/>
          <w:lang w:val="ru-RU"/>
        </w:rPr>
        <w:t>информации полезной для заинтересованных пользователей у Банка нет.</w:t>
      </w:r>
    </w:p>
    <w:p w:rsidR="00BF2463" w:rsidRPr="00BF2463" w:rsidRDefault="00BF2463" w:rsidP="00526405">
      <w:pPr>
        <w:jc w:val="both"/>
        <w:rPr>
          <w:rFonts w:ascii="Calibri" w:hAnsi="Calibri" w:cs="Calibri"/>
          <w:lang w:val="ru-RU"/>
        </w:rPr>
      </w:pPr>
    </w:p>
    <w:p w:rsidR="00BF2463" w:rsidRDefault="00BF2463" w:rsidP="00BF2463">
      <w:pPr>
        <w:jc w:val="both"/>
        <w:rPr>
          <w:rFonts w:cs="Arial"/>
          <w:b/>
          <w:sz w:val="20"/>
          <w:szCs w:val="20"/>
          <w:lang w:val="ru-RU"/>
        </w:rPr>
      </w:pPr>
      <w:r w:rsidRPr="00526405">
        <w:rPr>
          <w:rFonts w:cs="Arial"/>
          <w:b/>
          <w:sz w:val="20"/>
          <w:szCs w:val="20"/>
          <w:lang w:val="ru-RU"/>
        </w:rPr>
        <w:t>6.1.15. Информация в отношении недвижимости, временно неиспол</w:t>
      </w:r>
      <w:r w:rsidR="00703C5D">
        <w:rPr>
          <w:rFonts w:cs="Arial"/>
          <w:b/>
          <w:sz w:val="20"/>
          <w:szCs w:val="20"/>
          <w:lang w:val="ru-RU"/>
        </w:rPr>
        <w:t>ьзуемой в основной деятельности</w:t>
      </w:r>
    </w:p>
    <w:p w:rsidR="00526405" w:rsidRPr="00526405" w:rsidRDefault="00526405" w:rsidP="00BF2463">
      <w:pPr>
        <w:jc w:val="both"/>
        <w:rPr>
          <w:rFonts w:cs="Arial"/>
          <w:b/>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t xml:space="preserve">Банк применяет модель оценки по первоначальной стоимости для объектов недвижимости, временно неиспользуемой в основной деятельности. </w:t>
      </w:r>
    </w:p>
    <w:p w:rsidR="00BF2463" w:rsidRPr="00BF2463" w:rsidRDefault="00526405" w:rsidP="00BF2463">
      <w:pPr>
        <w:jc w:val="both"/>
        <w:rPr>
          <w:rFonts w:cs="Arial"/>
          <w:sz w:val="20"/>
          <w:szCs w:val="20"/>
          <w:lang w:val="ru-RU"/>
        </w:rPr>
      </w:pPr>
      <w:r>
        <w:rPr>
          <w:rFonts w:cs="Arial"/>
          <w:sz w:val="20"/>
          <w:szCs w:val="20"/>
          <w:lang w:val="ru-RU"/>
        </w:rPr>
        <w:t>К</w:t>
      </w:r>
      <w:r w:rsidR="00BF2463" w:rsidRPr="00BF2463">
        <w:rPr>
          <w:rFonts w:cs="Arial"/>
          <w:sz w:val="20"/>
          <w:szCs w:val="20"/>
          <w:lang w:val="ru-RU"/>
        </w:rPr>
        <w:t>ритерий существенности для инвестиционной недвижимости устан</w:t>
      </w:r>
      <w:r>
        <w:rPr>
          <w:rFonts w:cs="Arial"/>
          <w:sz w:val="20"/>
          <w:szCs w:val="20"/>
          <w:lang w:val="ru-RU"/>
        </w:rPr>
        <w:t>о</w:t>
      </w:r>
      <w:r w:rsidR="00BF2463" w:rsidRPr="00BF2463">
        <w:rPr>
          <w:rFonts w:cs="Arial"/>
          <w:sz w:val="20"/>
          <w:szCs w:val="20"/>
          <w:lang w:val="ru-RU"/>
        </w:rPr>
        <w:t>вл</w:t>
      </w:r>
      <w:r>
        <w:rPr>
          <w:rFonts w:cs="Arial"/>
          <w:sz w:val="20"/>
          <w:szCs w:val="20"/>
          <w:lang w:val="ru-RU"/>
        </w:rPr>
        <w:t>ен</w:t>
      </w:r>
      <w:r w:rsidR="00BF2463" w:rsidRPr="00BF2463">
        <w:rPr>
          <w:rFonts w:cs="Arial"/>
          <w:sz w:val="20"/>
          <w:szCs w:val="20"/>
          <w:lang w:val="ru-RU"/>
        </w:rPr>
        <w:t xml:space="preserve"> по соотношению общей площад</w:t>
      </w:r>
      <w:r>
        <w:rPr>
          <w:rFonts w:cs="Arial"/>
          <w:sz w:val="20"/>
          <w:szCs w:val="20"/>
          <w:lang w:val="ru-RU"/>
        </w:rPr>
        <w:t xml:space="preserve">и </w:t>
      </w:r>
      <w:r w:rsidR="00BF2463" w:rsidRPr="00BF2463">
        <w:rPr>
          <w:rFonts w:cs="Arial"/>
          <w:sz w:val="20"/>
          <w:szCs w:val="20"/>
          <w:lang w:val="ru-RU"/>
        </w:rPr>
        <w:t>к осу</w:t>
      </w:r>
      <w:r>
        <w:rPr>
          <w:rFonts w:cs="Arial"/>
          <w:sz w:val="20"/>
          <w:szCs w:val="20"/>
          <w:lang w:val="ru-RU"/>
        </w:rPr>
        <w:t>ществляемой деятельности на ней.</w:t>
      </w:r>
      <w:r w:rsidR="00BF2463" w:rsidRPr="00BF2463">
        <w:rPr>
          <w:rFonts w:cs="Arial"/>
          <w:sz w:val="20"/>
          <w:szCs w:val="20"/>
          <w:lang w:val="ru-RU"/>
        </w:rPr>
        <w:t xml:space="preserve"> </w:t>
      </w:r>
      <w:r>
        <w:rPr>
          <w:rFonts w:cs="Arial"/>
          <w:sz w:val="20"/>
          <w:szCs w:val="20"/>
          <w:lang w:val="ru-RU"/>
        </w:rPr>
        <w:t>Е</w:t>
      </w:r>
      <w:r w:rsidR="00BF2463" w:rsidRPr="00BF2463">
        <w:rPr>
          <w:rFonts w:cs="Arial"/>
          <w:sz w:val="20"/>
          <w:szCs w:val="20"/>
          <w:lang w:val="ru-RU"/>
        </w:rPr>
        <w:t xml:space="preserve">сли </w:t>
      </w:r>
      <w:r>
        <w:rPr>
          <w:rFonts w:cs="Arial"/>
          <w:sz w:val="20"/>
          <w:szCs w:val="20"/>
          <w:lang w:val="ru-RU"/>
        </w:rPr>
        <w:t>п</w:t>
      </w:r>
      <w:r w:rsidR="00BF2463" w:rsidRPr="00BF2463">
        <w:rPr>
          <w:rFonts w:cs="Arial"/>
          <w:sz w:val="20"/>
          <w:szCs w:val="20"/>
          <w:lang w:val="ru-RU"/>
        </w:rPr>
        <w:t>лощад</w:t>
      </w:r>
      <w:r>
        <w:rPr>
          <w:rFonts w:cs="Arial"/>
          <w:sz w:val="20"/>
          <w:szCs w:val="20"/>
          <w:lang w:val="ru-RU"/>
        </w:rPr>
        <w:t>ь,</w:t>
      </w:r>
      <w:r w:rsidR="00BF2463" w:rsidRPr="00BF2463">
        <w:rPr>
          <w:rFonts w:cs="Arial"/>
          <w:sz w:val="20"/>
          <w:szCs w:val="20"/>
          <w:lang w:val="ru-RU"/>
        </w:rPr>
        <w:t xml:space="preserve"> на которой ведется банковская деятельность менее 50 %  от общей  площади, то объект признается  НВОД, если занимаемые площади для  осуществления банковской деятельности составляют  более 50% , то такой объект недвижимости признается основн</w:t>
      </w:r>
      <w:r>
        <w:rPr>
          <w:rFonts w:cs="Arial"/>
          <w:sz w:val="20"/>
          <w:szCs w:val="20"/>
          <w:lang w:val="ru-RU"/>
        </w:rPr>
        <w:t>ы</w:t>
      </w:r>
      <w:r w:rsidR="00BF2463" w:rsidRPr="00BF2463">
        <w:rPr>
          <w:rFonts w:cs="Arial"/>
          <w:sz w:val="20"/>
          <w:szCs w:val="20"/>
          <w:lang w:val="ru-RU"/>
        </w:rPr>
        <w:t>м средством, используемым в банковской деятельности.</w:t>
      </w:r>
    </w:p>
    <w:p w:rsidR="00BF2463" w:rsidRDefault="00D01BAC" w:rsidP="00BF2463">
      <w:pPr>
        <w:jc w:val="both"/>
        <w:rPr>
          <w:rFonts w:cs="Arial"/>
          <w:sz w:val="20"/>
          <w:szCs w:val="20"/>
          <w:lang w:val="ru-RU"/>
        </w:rPr>
      </w:pPr>
      <w:r>
        <w:rPr>
          <w:rFonts w:cs="Arial"/>
          <w:sz w:val="20"/>
          <w:szCs w:val="20"/>
          <w:lang w:val="ru-RU"/>
        </w:rPr>
        <w:t>Учет</w:t>
      </w:r>
      <w:r w:rsidR="00BF2463" w:rsidRPr="00BF2463">
        <w:rPr>
          <w:rFonts w:cs="Arial"/>
          <w:sz w:val="20"/>
          <w:szCs w:val="20"/>
          <w:lang w:val="ru-RU"/>
        </w:rPr>
        <w:t xml:space="preserve"> недвижимост</w:t>
      </w:r>
      <w:r>
        <w:rPr>
          <w:rFonts w:cs="Arial"/>
          <w:sz w:val="20"/>
          <w:szCs w:val="20"/>
          <w:lang w:val="ru-RU"/>
        </w:rPr>
        <w:t>и</w:t>
      </w:r>
      <w:r w:rsidR="00BF2463" w:rsidRPr="00BF2463">
        <w:rPr>
          <w:rFonts w:cs="Arial"/>
          <w:sz w:val="20"/>
          <w:szCs w:val="20"/>
          <w:lang w:val="ru-RU"/>
        </w:rPr>
        <w:t>, временно неиспользуем</w:t>
      </w:r>
      <w:r>
        <w:rPr>
          <w:rFonts w:cs="Arial"/>
          <w:sz w:val="20"/>
          <w:szCs w:val="20"/>
          <w:lang w:val="ru-RU"/>
        </w:rPr>
        <w:t>ой</w:t>
      </w:r>
      <w:r w:rsidR="00BF2463" w:rsidRPr="00BF2463">
        <w:rPr>
          <w:rFonts w:cs="Arial"/>
          <w:sz w:val="20"/>
          <w:szCs w:val="20"/>
          <w:lang w:val="ru-RU"/>
        </w:rPr>
        <w:t xml:space="preserve"> в основной деятельности </w:t>
      </w:r>
      <w:r>
        <w:rPr>
          <w:rFonts w:cs="Arial"/>
          <w:sz w:val="20"/>
          <w:szCs w:val="20"/>
          <w:lang w:val="ru-RU"/>
        </w:rPr>
        <w:t>осуществляется</w:t>
      </w:r>
      <w:r w:rsidR="00BF2463" w:rsidRPr="00BF2463">
        <w:rPr>
          <w:rFonts w:cs="Arial"/>
          <w:sz w:val="20"/>
          <w:szCs w:val="20"/>
          <w:lang w:val="ru-RU"/>
        </w:rPr>
        <w:t xml:space="preserve"> по первоначальной стоимости</w:t>
      </w:r>
      <w:r>
        <w:rPr>
          <w:rFonts w:cs="Arial"/>
          <w:sz w:val="20"/>
          <w:szCs w:val="20"/>
          <w:lang w:val="ru-RU"/>
        </w:rPr>
        <w:t>.</w:t>
      </w:r>
      <w:r w:rsidR="00BF2463" w:rsidRPr="00BF2463">
        <w:rPr>
          <w:rFonts w:cs="Arial"/>
          <w:sz w:val="20"/>
          <w:szCs w:val="20"/>
          <w:lang w:val="ru-RU"/>
        </w:rPr>
        <w:t xml:space="preserve"> </w:t>
      </w:r>
      <w:r>
        <w:rPr>
          <w:rFonts w:cs="Arial"/>
          <w:sz w:val="20"/>
          <w:szCs w:val="20"/>
          <w:lang w:val="ru-RU"/>
        </w:rPr>
        <w:t xml:space="preserve">По состоянию на 01.01.2019г. проведен тест на обесценение </w:t>
      </w:r>
      <w:r w:rsidR="00BF2463" w:rsidRPr="00BF2463">
        <w:rPr>
          <w:rFonts w:cs="Arial"/>
          <w:sz w:val="20"/>
          <w:szCs w:val="20"/>
          <w:lang w:val="ru-RU"/>
        </w:rPr>
        <w:t xml:space="preserve">на основании приказа </w:t>
      </w:r>
      <w:r>
        <w:rPr>
          <w:rFonts w:cs="Arial"/>
          <w:sz w:val="20"/>
          <w:szCs w:val="20"/>
          <w:lang w:val="ru-RU"/>
        </w:rPr>
        <w:t>Б</w:t>
      </w:r>
      <w:r w:rsidR="00BF2463" w:rsidRPr="00BF2463">
        <w:rPr>
          <w:rFonts w:cs="Arial"/>
          <w:sz w:val="20"/>
          <w:szCs w:val="20"/>
          <w:lang w:val="ru-RU"/>
        </w:rPr>
        <w:t>анка от 24.12.2018г</w:t>
      </w:r>
      <w:r>
        <w:rPr>
          <w:rFonts w:cs="Arial"/>
          <w:sz w:val="20"/>
          <w:szCs w:val="20"/>
          <w:lang w:val="ru-RU"/>
        </w:rPr>
        <w:t>.</w:t>
      </w:r>
      <w:r w:rsidR="00BF2463" w:rsidRPr="00BF2463">
        <w:rPr>
          <w:rFonts w:cs="Arial"/>
          <w:sz w:val="20"/>
          <w:szCs w:val="20"/>
          <w:lang w:val="ru-RU"/>
        </w:rPr>
        <w:t xml:space="preserve"> № 179. Тест на обесценение по объектам недвижимости, временно неиспользуемой в основной деятельности </w:t>
      </w:r>
      <w:r w:rsidR="00D671DA" w:rsidRPr="00BF2463">
        <w:rPr>
          <w:rFonts w:cs="Arial"/>
          <w:sz w:val="20"/>
          <w:szCs w:val="20"/>
          <w:lang w:val="ru-RU"/>
        </w:rPr>
        <w:t>проведен профессиональным оценщиком ООО «Омега»</w:t>
      </w:r>
      <w:r w:rsidR="00D671DA">
        <w:rPr>
          <w:rFonts w:cs="Arial"/>
          <w:sz w:val="20"/>
          <w:szCs w:val="20"/>
          <w:lang w:val="ru-RU"/>
        </w:rPr>
        <w:t xml:space="preserve">, </w:t>
      </w:r>
      <w:r w:rsidR="00BF2463" w:rsidRPr="00BF2463">
        <w:rPr>
          <w:rFonts w:cs="Arial"/>
          <w:sz w:val="20"/>
          <w:szCs w:val="20"/>
          <w:lang w:val="ru-RU"/>
        </w:rPr>
        <w:t>использов</w:t>
      </w:r>
      <w:r w:rsidR="00D671DA">
        <w:rPr>
          <w:rFonts w:cs="Arial"/>
          <w:sz w:val="20"/>
          <w:szCs w:val="20"/>
          <w:lang w:val="ru-RU"/>
        </w:rPr>
        <w:t>ана рыночная стоимость объектов</w:t>
      </w:r>
      <w:r w:rsidR="00BF2463" w:rsidRPr="00BF2463">
        <w:rPr>
          <w:rFonts w:cs="Arial"/>
          <w:sz w:val="20"/>
          <w:szCs w:val="20"/>
          <w:lang w:val="ru-RU"/>
        </w:rPr>
        <w:t>. Результаты теста на обесценение по объектам недвижимости, временно неиспользуемой в основной деятельности на 01.01.2019г</w:t>
      </w:r>
      <w:r w:rsidR="00D671DA">
        <w:rPr>
          <w:rFonts w:cs="Arial"/>
          <w:sz w:val="20"/>
          <w:szCs w:val="20"/>
          <w:lang w:val="ru-RU"/>
        </w:rPr>
        <w:t xml:space="preserve">. </w:t>
      </w:r>
      <w:r w:rsidR="00BF2463" w:rsidRPr="00BF2463">
        <w:rPr>
          <w:rFonts w:cs="Arial"/>
          <w:sz w:val="20"/>
          <w:szCs w:val="20"/>
          <w:lang w:val="ru-RU"/>
        </w:rPr>
        <w:t xml:space="preserve">отражены в балансе Банка за 31.12.2018 года событием после отчетной даты (СПОД). </w:t>
      </w:r>
    </w:p>
    <w:p w:rsidR="00D01BAC" w:rsidRPr="00BF2463" w:rsidRDefault="00D01BAC" w:rsidP="00BF2463">
      <w:pPr>
        <w:jc w:val="both"/>
        <w:rPr>
          <w:rFonts w:cs="Arial"/>
          <w:sz w:val="20"/>
          <w:szCs w:val="20"/>
          <w:lang w:val="ru-RU"/>
        </w:rPr>
      </w:pPr>
    </w:p>
    <w:tbl>
      <w:tblPr>
        <w:tblStyle w:val="affc"/>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985"/>
        <w:gridCol w:w="2410"/>
      </w:tblGrid>
      <w:tr w:rsidR="00BF2463" w:rsidRPr="006C0DB6" w:rsidTr="00D671DA">
        <w:tc>
          <w:tcPr>
            <w:tcW w:w="5211" w:type="dxa"/>
            <w:tcBorders>
              <w:top w:val="single" w:sz="4" w:space="0" w:color="auto"/>
              <w:bottom w:val="single" w:sz="4" w:space="0" w:color="auto"/>
            </w:tcBorders>
          </w:tcPr>
          <w:p w:rsidR="00BF2463" w:rsidRPr="005D0C9F" w:rsidRDefault="00BF2463" w:rsidP="00BF2463">
            <w:pPr>
              <w:jc w:val="center"/>
              <w:rPr>
                <w:rFonts w:cs="Arial"/>
                <w:b/>
                <w:sz w:val="14"/>
                <w:szCs w:val="14"/>
              </w:rPr>
            </w:pPr>
            <w:r w:rsidRPr="005D0C9F">
              <w:rPr>
                <w:rFonts w:cs="Arial"/>
                <w:b/>
                <w:sz w:val="14"/>
                <w:szCs w:val="14"/>
              </w:rPr>
              <w:t>Вид актива</w:t>
            </w:r>
          </w:p>
        </w:tc>
        <w:tc>
          <w:tcPr>
            <w:tcW w:w="1985" w:type="dxa"/>
            <w:tcBorders>
              <w:top w:val="single" w:sz="4" w:space="0" w:color="auto"/>
              <w:bottom w:val="single" w:sz="4" w:space="0" w:color="auto"/>
            </w:tcBorders>
          </w:tcPr>
          <w:p w:rsidR="00BF2463" w:rsidRPr="005D0C9F" w:rsidRDefault="00BF2463" w:rsidP="00BF2463">
            <w:pPr>
              <w:jc w:val="center"/>
              <w:rPr>
                <w:rFonts w:cs="Arial"/>
                <w:b/>
                <w:sz w:val="14"/>
                <w:szCs w:val="14"/>
              </w:rPr>
            </w:pPr>
            <w:r w:rsidRPr="005D0C9F">
              <w:rPr>
                <w:rFonts w:cs="Arial"/>
                <w:b/>
                <w:sz w:val="14"/>
                <w:szCs w:val="14"/>
              </w:rPr>
              <w:t>Арендный доход</w:t>
            </w:r>
          </w:p>
          <w:p w:rsidR="00BF2463" w:rsidRPr="00D671DA" w:rsidRDefault="00BF2463" w:rsidP="00BF2463">
            <w:pPr>
              <w:jc w:val="center"/>
              <w:rPr>
                <w:rFonts w:cs="Arial"/>
                <w:b/>
                <w:sz w:val="14"/>
                <w:szCs w:val="14"/>
                <w:lang w:val="ru-RU"/>
              </w:rPr>
            </w:pPr>
          </w:p>
        </w:tc>
        <w:tc>
          <w:tcPr>
            <w:tcW w:w="2410" w:type="dxa"/>
            <w:tcBorders>
              <w:top w:val="single" w:sz="4" w:space="0" w:color="auto"/>
              <w:bottom w:val="single" w:sz="4" w:space="0" w:color="auto"/>
            </w:tcBorders>
          </w:tcPr>
          <w:p w:rsidR="00C77E2C" w:rsidRDefault="00BF2463" w:rsidP="00BF2463">
            <w:pPr>
              <w:jc w:val="center"/>
              <w:rPr>
                <w:rFonts w:cs="Arial"/>
                <w:b/>
                <w:sz w:val="14"/>
                <w:szCs w:val="14"/>
                <w:lang w:val="ru-RU"/>
              </w:rPr>
            </w:pPr>
            <w:r w:rsidRPr="00BF2463">
              <w:rPr>
                <w:rFonts w:cs="Arial"/>
                <w:b/>
                <w:sz w:val="14"/>
                <w:szCs w:val="14"/>
                <w:lang w:val="ru-RU"/>
              </w:rPr>
              <w:t xml:space="preserve">Расходы на ремонт </w:t>
            </w:r>
          </w:p>
          <w:p w:rsidR="00BF2463" w:rsidRPr="00BF2463" w:rsidRDefault="00BF2463" w:rsidP="00BF2463">
            <w:pPr>
              <w:jc w:val="center"/>
              <w:rPr>
                <w:rFonts w:cs="Arial"/>
                <w:b/>
                <w:sz w:val="14"/>
                <w:szCs w:val="14"/>
                <w:lang w:val="ru-RU"/>
              </w:rPr>
            </w:pPr>
            <w:r w:rsidRPr="00BF2463">
              <w:rPr>
                <w:rFonts w:cs="Arial"/>
                <w:b/>
                <w:sz w:val="14"/>
                <w:szCs w:val="14"/>
                <w:lang w:val="ru-RU"/>
              </w:rPr>
              <w:t xml:space="preserve">и </w:t>
            </w:r>
            <w:r w:rsidR="00D671DA">
              <w:rPr>
                <w:rFonts w:cs="Arial"/>
                <w:b/>
                <w:sz w:val="14"/>
                <w:szCs w:val="14"/>
                <w:lang w:val="ru-RU"/>
              </w:rPr>
              <w:t>текущее обслуживание</w:t>
            </w:r>
          </w:p>
        </w:tc>
      </w:tr>
      <w:tr w:rsidR="00BF2463" w:rsidRPr="005D0C9F" w:rsidTr="00D671DA">
        <w:tc>
          <w:tcPr>
            <w:tcW w:w="5211" w:type="dxa"/>
            <w:tcBorders>
              <w:top w:val="single" w:sz="4" w:space="0" w:color="auto"/>
              <w:bottom w:val="single" w:sz="4" w:space="0" w:color="auto"/>
            </w:tcBorders>
          </w:tcPr>
          <w:p w:rsidR="00BF2463" w:rsidRPr="00D671DA" w:rsidRDefault="00BF2463" w:rsidP="00BF2463">
            <w:pPr>
              <w:jc w:val="center"/>
              <w:rPr>
                <w:rFonts w:cs="Arial"/>
                <w:sz w:val="14"/>
                <w:szCs w:val="14"/>
                <w:lang w:val="ru-RU"/>
              </w:rPr>
            </w:pPr>
            <w:r w:rsidRPr="00D671DA">
              <w:rPr>
                <w:rFonts w:cs="Arial"/>
                <w:sz w:val="14"/>
                <w:szCs w:val="14"/>
                <w:lang w:val="ru-RU"/>
              </w:rPr>
              <w:t>Недвижимость, временно неиспользуемая в основной деятельности</w:t>
            </w:r>
          </w:p>
        </w:tc>
        <w:tc>
          <w:tcPr>
            <w:tcW w:w="1985" w:type="dxa"/>
            <w:tcBorders>
              <w:top w:val="single" w:sz="4" w:space="0" w:color="auto"/>
              <w:bottom w:val="single" w:sz="4" w:space="0" w:color="auto"/>
            </w:tcBorders>
          </w:tcPr>
          <w:p w:rsidR="00BF2463" w:rsidRPr="00D671DA" w:rsidRDefault="00BF2463" w:rsidP="00BF2463">
            <w:pPr>
              <w:jc w:val="center"/>
              <w:rPr>
                <w:rFonts w:cs="Arial"/>
                <w:sz w:val="14"/>
                <w:szCs w:val="14"/>
              </w:rPr>
            </w:pPr>
            <w:r w:rsidRPr="00D671DA">
              <w:rPr>
                <w:rFonts w:cs="Arial"/>
                <w:sz w:val="14"/>
                <w:szCs w:val="14"/>
              </w:rPr>
              <w:t>153</w:t>
            </w:r>
          </w:p>
        </w:tc>
        <w:tc>
          <w:tcPr>
            <w:tcW w:w="2410" w:type="dxa"/>
            <w:tcBorders>
              <w:top w:val="single" w:sz="4" w:space="0" w:color="auto"/>
              <w:bottom w:val="single" w:sz="4" w:space="0" w:color="auto"/>
            </w:tcBorders>
          </w:tcPr>
          <w:p w:rsidR="00BF2463" w:rsidRPr="00D671DA" w:rsidRDefault="00BF2463" w:rsidP="00BF2463">
            <w:pPr>
              <w:jc w:val="center"/>
              <w:rPr>
                <w:rFonts w:cs="Arial"/>
                <w:sz w:val="14"/>
                <w:szCs w:val="14"/>
              </w:rPr>
            </w:pPr>
            <w:r w:rsidRPr="00D671DA">
              <w:rPr>
                <w:rFonts w:cs="Arial"/>
                <w:sz w:val="14"/>
                <w:szCs w:val="14"/>
              </w:rPr>
              <w:t>285</w:t>
            </w:r>
          </w:p>
        </w:tc>
      </w:tr>
    </w:tbl>
    <w:p w:rsidR="00D01BAC" w:rsidRDefault="00D01BAC" w:rsidP="00BF2463">
      <w:pPr>
        <w:jc w:val="both"/>
        <w:rPr>
          <w:rFonts w:cs="Arial"/>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lastRenderedPageBreak/>
        <w:t>На момент составления годовой бухгалтерской (финансовой) отчетности Банк не имеет сведений о наличии и величине ограничений в отношении реализации недвижимости, временно неиспользуемой в основной деятельности, или перечисления доходов и поступлений от её выбытия.</w:t>
      </w:r>
    </w:p>
    <w:p w:rsidR="00BF2463" w:rsidRPr="00BF2463" w:rsidRDefault="00BF2463" w:rsidP="00BF2463">
      <w:pPr>
        <w:jc w:val="both"/>
        <w:rPr>
          <w:rFonts w:cs="Arial"/>
          <w:color w:val="FF0000"/>
          <w:sz w:val="20"/>
          <w:szCs w:val="20"/>
          <w:lang w:val="ru-RU"/>
        </w:rPr>
      </w:pPr>
      <w:bookmarkStart w:id="18" w:name="Par44"/>
      <w:bookmarkEnd w:id="18"/>
      <w:r w:rsidRPr="00BF2463">
        <w:rPr>
          <w:rFonts w:cs="Arial"/>
          <w:sz w:val="20"/>
          <w:szCs w:val="20"/>
          <w:lang w:val="ru-RU"/>
        </w:rPr>
        <w:t>Банк не имеет информации</w:t>
      </w:r>
      <w:r w:rsidRPr="00BF2463">
        <w:rPr>
          <w:rFonts w:cs="Arial"/>
          <w:color w:val="FF0000"/>
          <w:sz w:val="20"/>
          <w:szCs w:val="20"/>
          <w:lang w:val="ru-RU"/>
        </w:rPr>
        <w:t xml:space="preserve"> </w:t>
      </w:r>
      <w:r w:rsidRPr="00BF2463">
        <w:rPr>
          <w:rFonts w:cs="Arial"/>
          <w:sz w:val="20"/>
          <w:szCs w:val="20"/>
          <w:lang w:val="ru-RU"/>
        </w:rPr>
        <w:t>о договорных обязательствах по приобретению, строительству или развитию недвижимости, временно неиспользуемой в основной деятельности, либо по ремонту, текущему обслуживанию или улучшению.</w:t>
      </w:r>
    </w:p>
    <w:p w:rsidR="00D671DA" w:rsidRDefault="00D671DA" w:rsidP="00D671DA">
      <w:pPr>
        <w:jc w:val="both"/>
        <w:rPr>
          <w:rFonts w:cs="Arial"/>
          <w:sz w:val="20"/>
          <w:szCs w:val="20"/>
          <w:lang w:val="ru-RU"/>
        </w:rPr>
      </w:pPr>
      <w:bookmarkStart w:id="19" w:name="Par45"/>
      <w:bookmarkEnd w:id="19"/>
    </w:p>
    <w:p w:rsidR="00BF2463" w:rsidRPr="00BF2463" w:rsidRDefault="00BF2463" w:rsidP="00D671DA">
      <w:pPr>
        <w:jc w:val="both"/>
        <w:rPr>
          <w:rFonts w:cs="Arial"/>
          <w:sz w:val="20"/>
          <w:szCs w:val="20"/>
          <w:lang w:val="ru-RU"/>
        </w:rPr>
      </w:pPr>
      <w:r w:rsidRPr="00BF2463">
        <w:rPr>
          <w:rFonts w:cs="Arial"/>
          <w:sz w:val="20"/>
          <w:szCs w:val="20"/>
          <w:lang w:val="ru-RU"/>
        </w:rPr>
        <w:t>6.1.15.1. Информация о недвижимости, временно неиспользуемой в основной деятельности, учитываемая по справе</w:t>
      </w:r>
      <w:r w:rsidR="00D671DA">
        <w:rPr>
          <w:rFonts w:cs="Arial"/>
          <w:sz w:val="20"/>
          <w:szCs w:val="20"/>
          <w:lang w:val="ru-RU"/>
        </w:rPr>
        <w:t>дливой стоимости.</w:t>
      </w:r>
    </w:p>
    <w:p w:rsidR="00BF2463" w:rsidRPr="00BF2463" w:rsidRDefault="00BF2463" w:rsidP="00BF2463">
      <w:pPr>
        <w:jc w:val="both"/>
        <w:rPr>
          <w:rFonts w:cs="Arial"/>
          <w:sz w:val="20"/>
          <w:szCs w:val="20"/>
          <w:lang w:val="ru-RU"/>
        </w:rPr>
      </w:pPr>
      <w:r w:rsidRPr="00BF2463">
        <w:rPr>
          <w:rFonts w:cs="Arial"/>
          <w:sz w:val="20"/>
          <w:szCs w:val="20"/>
          <w:lang w:val="ru-RU"/>
        </w:rPr>
        <w:t>На момент составления годовой бухгалтерской (финансовой) отчетности Банк не учитывает по справедливой стоимости объекты недвижимости, временно неиспользуемой в основной деятельности.</w:t>
      </w:r>
    </w:p>
    <w:p w:rsidR="00BF2463" w:rsidRPr="00BF2463" w:rsidRDefault="00BF2463" w:rsidP="00D671DA">
      <w:pPr>
        <w:jc w:val="both"/>
        <w:rPr>
          <w:rFonts w:cs="Arial"/>
          <w:sz w:val="20"/>
          <w:szCs w:val="20"/>
          <w:lang w:val="ru-RU"/>
        </w:rPr>
      </w:pPr>
      <w:r w:rsidRPr="00BF2463">
        <w:rPr>
          <w:rFonts w:cs="Arial"/>
          <w:sz w:val="20"/>
          <w:szCs w:val="20"/>
          <w:lang w:val="ru-RU"/>
        </w:rPr>
        <w:t>6.1.15.2. Информация о случаях значительной корректировки оценки недвижимости, временно неиспол</w:t>
      </w:r>
      <w:r w:rsidR="00D671DA">
        <w:rPr>
          <w:rFonts w:cs="Arial"/>
          <w:sz w:val="20"/>
          <w:szCs w:val="20"/>
          <w:lang w:val="ru-RU"/>
        </w:rPr>
        <w:t>ьзуемой в основной деятельности.</w:t>
      </w:r>
    </w:p>
    <w:p w:rsidR="00BF2463" w:rsidRPr="00BF2463" w:rsidRDefault="00BF2463" w:rsidP="00BF2463">
      <w:pPr>
        <w:jc w:val="both"/>
        <w:rPr>
          <w:rFonts w:cs="Arial"/>
          <w:color w:val="FF0000"/>
          <w:sz w:val="20"/>
          <w:szCs w:val="20"/>
          <w:lang w:val="ru-RU"/>
        </w:rPr>
      </w:pPr>
      <w:r w:rsidRPr="00BF2463">
        <w:rPr>
          <w:rFonts w:cs="Arial"/>
          <w:sz w:val="20"/>
          <w:szCs w:val="20"/>
          <w:lang w:val="ru-RU"/>
        </w:rPr>
        <w:t>Банк не</w:t>
      </w:r>
      <w:r w:rsidR="00D671DA">
        <w:rPr>
          <w:rFonts w:cs="Arial"/>
          <w:sz w:val="20"/>
          <w:szCs w:val="20"/>
          <w:lang w:val="ru-RU"/>
        </w:rPr>
        <w:t xml:space="preserve"> осуществлял</w:t>
      </w:r>
      <w:r w:rsidRPr="00BF2463">
        <w:rPr>
          <w:rFonts w:cs="Arial"/>
          <w:sz w:val="20"/>
          <w:szCs w:val="20"/>
          <w:lang w:val="ru-RU"/>
        </w:rPr>
        <w:t xml:space="preserve"> корректировк</w:t>
      </w:r>
      <w:r w:rsidR="00D671DA">
        <w:rPr>
          <w:rFonts w:cs="Arial"/>
          <w:sz w:val="20"/>
          <w:szCs w:val="20"/>
          <w:lang w:val="ru-RU"/>
        </w:rPr>
        <w:t>у</w:t>
      </w:r>
      <w:r w:rsidRPr="00BF2463">
        <w:rPr>
          <w:rFonts w:cs="Arial"/>
          <w:sz w:val="20"/>
          <w:szCs w:val="20"/>
          <w:lang w:val="ru-RU"/>
        </w:rPr>
        <w:t xml:space="preserve"> оценки недвижимости, временно неиспользуемой в основной деятельности, по результатам сверки, первоначальной и скорректированной оценок недвижимости, временно неиспользуемой в основной деятельности, с раздельным отражением совокупной суммы признанных обязательств по договорам аренды и сумм существенных корректировок.</w:t>
      </w:r>
    </w:p>
    <w:p w:rsidR="00BF2463" w:rsidRPr="00BF2463" w:rsidRDefault="00BF2463" w:rsidP="00D671DA">
      <w:pPr>
        <w:jc w:val="both"/>
        <w:rPr>
          <w:rFonts w:cs="Arial"/>
          <w:sz w:val="20"/>
          <w:szCs w:val="20"/>
          <w:lang w:val="ru-RU"/>
        </w:rPr>
      </w:pPr>
      <w:bookmarkStart w:id="20" w:name="Par54"/>
      <w:bookmarkEnd w:id="20"/>
      <w:r w:rsidRPr="00BF2463">
        <w:rPr>
          <w:rFonts w:cs="Arial"/>
          <w:sz w:val="20"/>
          <w:szCs w:val="20"/>
          <w:lang w:val="ru-RU"/>
        </w:rPr>
        <w:t>6.1.15.3. Информация по недвижимости, временно неиспользуемой в основной деятельности, учитываемой по первоначальной стоимости в связи с невозможностью надежной о</w:t>
      </w:r>
      <w:r w:rsidR="00D671DA">
        <w:rPr>
          <w:rFonts w:cs="Arial"/>
          <w:sz w:val="20"/>
          <w:szCs w:val="20"/>
          <w:lang w:val="ru-RU"/>
        </w:rPr>
        <w:t>ценки ее справедливой стоимости.</w:t>
      </w:r>
    </w:p>
    <w:p w:rsidR="00BF2463" w:rsidRPr="00BF2463" w:rsidRDefault="00BF2463" w:rsidP="00BF2463">
      <w:pPr>
        <w:jc w:val="both"/>
        <w:rPr>
          <w:rFonts w:cs="Arial"/>
          <w:sz w:val="20"/>
          <w:szCs w:val="20"/>
          <w:lang w:val="ru-RU"/>
        </w:rPr>
      </w:pPr>
      <w:r w:rsidRPr="00BF2463">
        <w:rPr>
          <w:rFonts w:cs="Arial"/>
          <w:sz w:val="20"/>
          <w:szCs w:val="20"/>
          <w:lang w:val="ru-RU"/>
        </w:rPr>
        <w:t>Банк надежно определяет оценку справедливой стоимости в отношении недвижимости,</w:t>
      </w:r>
      <w:r w:rsidRPr="00BF2463">
        <w:rPr>
          <w:rFonts w:cs="Arial"/>
          <w:b/>
          <w:sz w:val="20"/>
          <w:szCs w:val="20"/>
          <w:lang w:val="ru-RU"/>
        </w:rPr>
        <w:t xml:space="preserve"> </w:t>
      </w:r>
      <w:r w:rsidRPr="00BF2463">
        <w:rPr>
          <w:rFonts w:cs="Arial"/>
          <w:sz w:val="20"/>
          <w:szCs w:val="20"/>
          <w:lang w:val="ru-RU"/>
        </w:rPr>
        <w:t>временно неиспользуемой в основной деятельности, проводя тест на обесценение такой недвижимости, учитываемой по первоначальной стоимости.</w:t>
      </w:r>
    </w:p>
    <w:p w:rsidR="00BF2463" w:rsidRPr="00BF2463" w:rsidRDefault="00BF2463" w:rsidP="00D671DA">
      <w:pPr>
        <w:jc w:val="both"/>
        <w:rPr>
          <w:rFonts w:cs="Arial"/>
          <w:sz w:val="20"/>
          <w:szCs w:val="20"/>
          <w:lang w:val="ru-RU"/>
        </w:rPr>
      </w:pPr>
      <w:r w:rsidRPr="00BF2463">
        <w:rPr>
          <w:rFonts w:cs="Arial"/>
          <w:sz w:val="20"/>
          <w:szCs w:val="20"/>
          <w:lang w:val="ru-RU"/>
        </w:rPr>
        <w:t>6.1.15.4. Информация по недвижимости, временно неиспользуемой в основной деятельности, учитываемой после первоначального призна</w:t>
      </w:r>
      <w:r w:rsidR="00D671DA">
        <w:rPr>
          <w:rFonts w:cs="Arial"/>
          <w:sz w:val="20"/>
          <w:szCs w:val="20"/>
          <w:lang w:val="ru-RU"/>
        </w:rPr>
        <w:t>ния по первоначальной стоимости.</w:t>
      </w:r>
    </w:p>
    <w:p w:rsidR="00BF2463" w:rsidRPr="00BF2463" w:rsidRDefault="00BF2463" w:rsidP="00BF2463">
      <w:pPr>
        <w:jc w:val="both"/>
        <w:rPr>
          <w:rFonts w:cs="Arial"/>
          <w:color w:val="FF0000"/>
          <w:sz w:val="20"/>
          <w:szCs w:val="20"/>
          <w:lang w:val="ru-RU"/>
        </w:rPr>
      </w:pPr>
      <w:r w:rsidRPr="00BF2463">
        <w:rPr>
          <w:rFonts w:eastAsia="Calibri" w:cs="Arial"/>
          <w:sz w:val="20"/>
          <w:szCs w:val="20"/>
          <w:lang w:val="ru-RU"/>
        </w:rPr>
        <w:t>По объектам недвижимости, временно не используемой в основной деятельности, начисление амортизации отражает</w:t>
      </w:r>
      <w:r w:rsidR="00D671DA">
        <w:rPr>
          <w:rFonts w:eastAsia="Calibri" w:cs="Arial"/>
          <w:sz w:val="20"/>
          <w:szCs w:val="20"/>
          <w:lang w:val="ru-RU"/>
        </w:rPr>
        <w:t>ся</w:t>
      </w:r>
      <w:r w:rsidRPr="00BF2463">
        <w:rPr>
          <w:rFonts w:eastAsia="Calibri" w:cs="Arial"/>
          <w:sz w:val="20"/>
          <w:szCs w:val="20"/>
          <w:lang w:val="ru-RU"/>
        </w:rPr>
        <w:t xml:space="preserve"> в бухгалтерском учете ежемесячно не позднее последнего рабочего дня соответствующего месяца независимо от финансовых результатов деятельности </w:t>
      </w:r>
      <w:r w:rsidR="00D671DA">
        <w:rPr>
          <w:rFonts w:eastAsia="Calibri" w:cs="Arial"/>
          <w:sz w:val="20"/>
          <w:szCs w:val="20"/>
          <w:lang w:val="ru-RU"/>
        </w:rPr>
        <w:t>Банка</w:t>
      </w:r>
      <w:r w:rsidRPr="00BF2463">
        <w:rPr>
          <w:rFonts w:eastAsia="Calibri" w:cs="Arial"/>
          <w:sz w:val="20"/>
          <w:szCs w:val="20"/>
          <w:lang w:val="ru-RU"/>
        </w:rPr>
        <w:t xml:space="preserve"> (способ начисления амортизации – линейный)</w:t>
      </w:r>
      <w:r w:rsidR="00D671DA">
        <w:rPr>
          <w:rFonts w:eastAsia="Calibri" w:cs="Arial"/>
          <w:sz w:val="20"/>
          <w:szCs w:val="20"/>
          <w:lang w:val="ru-RU"/>
        </w:rPr>
        <w:t>.</w:t>
      </w:r>
    </w:p>
    <w:p w:rsidR="00BF2463" w:rsidRDefault="00BF2463" w:rsidP="00BF2463">
      <w:pPr>
        <w:jc w:val="both"/>
        <w:rPr>
          <w:rFonts w:eastAsia="Calibri" w:cs="Arial"/>
          <w:sz w:val="20"/>
          <w:szCs w:val="20"/>
          <w:lang w:val="ru-RU"/>
        </w:rPr>
      </w:pPr>
      <w:r w:rsidRPr="00BF2463">
        <w:rPr>
          <w:rFonts w:eastAsia="Calibri" w:cs="Arial"/>
          <w:sz w:val="20"/>
          <w:szCs w:val="20"/>
          <w:lang w:val="ru-RU"/>
        </w:rPr>
        <w:t xml:space="preserve">Срок полезного использования объектов недвижимости, временно не используемой в основной деятельности, определяется </w:t>
      </w:r>
      <w:r w:rsidR="00D671DA">
        <w:rPr>
          <w:rFonts w:eastAsia="Calibri" w:cs="Arial"/>
          <w:sz w:val="20"/>
          <w:szCs w:val="20"/>
          <w:lang w:val="ru-RU"/>
        </w:rPr>
        <w:t>Б</w:t>
      </w:r>
      <w:r w:rsidRPr="00BF2463">
        <w:rPr>
          <w:rFonts w:eastAsia="Calibri" w:cs="Arial"/>
          <w:sz w:val="20"/>
          <w:szCs w:val="20"/>
          <w:lang w:val="ru-RU"/>
        </w:rPr>
        <w:t>анком при их признании. Срок полезного использования пересматривается на конец каждого отчетного года и утверждается внутренним распоряжением Банка на год.</w:t>
      </w:r>
    </w:p>
    <w:p w:rsidR="00D671DA" w:rsidRPr="00BF2463" w:rsidRDefault="00D671DA" w:rsidP="00BF2463">
      <w:pPr>
        <w:jc w:val="both"/>
        <w:rPr>
          <w:rFonts w:cs="Arial"/>
          <w:color w:val="FF0000"/>
          <w:sz w:val="20"/>
          <w:szCs w:val="20"/>
          <w:lang w:val="ru-RU"/>
        </w:rPr>
      </w:pPr>
    </w:p>
    <w:p w:rsidR="00BF2463" w:rsidRPr="00D671DA" w:rsidRDefault="00BF2463" w:rsidP="00BF2463">
      <w:pPr>
        <w:jc w:val="both"/>
        <w:rPr>
          <w:rFonts w:cs="Arial"/>
          <w:b/>
          <w:sz w:val="20"/>
          <w:szCs w:val="20"/>
          <w:lang w:val="ru-RU"/>
        </w:rPr>
      </w:pPr>
      <w:r w:rsidRPr="00D671DA">
        <w:rPr>
          <w:rFonts w:cs="Arial"/>
          <w:b/>
          <w:sz w:val="20"/>
          <w:szCs w:val="20"/>
          <w:lang w:val="ru-RU"/>
        </w:rPr>
        <w:t>Состав, структура и изменение объектов недвижимости, временно неиспользуемой в основной деятельности:</w:t>
      </w:r>
    </w:p>
    <w:p w:rsidR="00D671DA" w:rsidRPr="00BF2463" w:rsidRDefault="00D671DA" w:rsidP="00BF2463">
      <w:pPr>
        <w:jc w:val="both"/>
        <w:rPr>
          <w:rFonts w:cs="Arial"/>
          <w:sz w:val="20"/>
          <w:szCs w:val="20"/>
          <w:lang w:val="ru-RU"/>
        </w:rPr>
      </w:pP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BF2463" w:rsidRPr="000A3751" w:rsidTr="00BF2463">
        <w:trPr>
          <w:trHeight w:val="239"/>
        </w:trPr>
        <w:tc>
          <w:tcPr>
            <w:tcW w:w="1843" w:type="dxa"/>
            <w:tcBorders>
              <w:top w:val="single" w:sz="4" w:space="0" w:color="auto"/>
              <w:bottom w:val="single" w:sz="4" w:space="0" w:color="auto"/>
            </w:tcBorders>
            <w:shd w:val="clear" w:color="auto" w:fill="auto"/>
            <w:vAlign w:val="bottom"/>
            <w:hideMark/>
          </w:tcPr>
          <w:p w:rsidR="00BF2463" w:rsidRPr="00BF2463" w:rsidRDefault="00BF2463" w:rsidP="00BF2463">
            <w:pPr>
              <w:rPr>
                <w:rFonts w:cs="Arial"/>
                <w:b/>
                <w:bCs/>
                <w:sz w:val="12"/>
                <w:szCs w:val="12"/>
                <w:lang w:val="ru-RU" w:eastAsia="ru-RU"/>
              </w:rPr>
            </w:pPr>
          </w:p>
        </w:tc>
        <w:tc>
          <w:tcPr>
            <w:tcW w:w="2126" w:type="dxa"/>
            <w:gridSpan w:val="2"/>
            <w:tcBorders>
              <w:top w:val="single" w:sz="4" w:space="0" w:color="auto"/>
              <w:bottom w:val="single" w:sz="4" w:space="0" w:color="auto"/>
            </w:tcBorders>
          </w:tcPr>
          <w:p w:rsidR="00BF2463" w:rsidRPr="00BF2463" w:rsidRDefault="00BF2463" w:rsidP="00BF2463">
            <w:pPr>
              <w:rPr>
                <w:rFonts w:cs="Arial"/>
                <w:b/>
                <w:bCs/>
                <w:sz w:val="12"/>
                <w:szCs w:val="12"/>
                <w:lang w:val="ru-RU"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31.12.2017</w:t>
            </w:r>
          </w:p>
        </w:tc>
        <w:tc>
          <w:tcPr>
            <w:tcW w:w="2410" w:type="dxa"/>
            <w:gridSpan w:val="3"/>
            <w:tcBorders>
              <w:top w:val="single" w:sz="4" w:space="0" w:color="auto"/>
              <w:bottom w:val="single" w:sz="4" w:space="0" w:color="auto"/>
            </w:tcBorders>
            <w:shd w:val="clear" w:color="auto" w:fill="auto"/>
            <w:vAlign w:val="bottom"/>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За двенадцать месяцев, завершившихся 31.12.2018</w:t>
            </w:r>
          </w:p>
        </w:tc>
        <w:tc>
          <w:tcPr>
            <w:tcW w:w="3575" w:type="dxa"/>
            <w:gridSpan w:val="4"/>
            <w:tcBorders>
              <w:top w:val="single" w:sz="4" w:space="0" w:color="auto"/>
              <w:bottom w:val="single" w:sz="4" w:space="0" w:color="auto"/>
            </w:tcBorders>
            <w:shd w:val="clear" w:color="auto" w:fill="auto"/>
            <w:noWrap/>
            <w:vAlign w:val="bottom"/>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 xml:space="preserve"> 31.12.2018</w:t>
            </w:r>
          </w:p>
        </w:tc>
      </w:tr>
      <w:tr w:rsidR="00BF2463" w:rsidRPr="000A3751" w:rsidTr="00BF2463">
        <w:trPr>
          <w:trHeight w:val="462"/>
        </w:trPr>
        <w:tc>
          <w:tcPr>
            <w:tcW w:w="1843" w:type="dxa"/>
            <w:tcBorders>
              <w:top w:val="single" w:sz="4" w:space="0" w:color="auto"/>
              <w:bottom w:val="single" w:sz="4" w:space="0" w:color="auto"/>
            </w:tcBorders>
            <w:shd w:val="clear" w:color="auto" w:fill="auto"/>
            <w:noWrap/>
            <w:vAlign w:val="center"/>
            <w:hideMark/>
          </w:tcPr>
          <w:p w:rsidR="00BF2463" w:rsidRPr="000A3751" w:rsidRDefault="00BF2463" w:rsidP="00BF2463">
            <w:pPr>
              <w:rPr>
                <w:rFonts w:cs="Arial"/>
                <w:b/>
                <w:bCs/>
                <w:sz w:val="12"/>
                <w:szCs w:val="12"/>
                <w:lang w:eastAsia="ru-RU"/>
              </w:rPr>
            </w:pPr>
          </w:p>
          <w:p w:rsidR="00BF2463" w:rsidRPr="000A3751" w:rsidRDefault="00BF2463" w:rsidP="00BF2463">
            <w:pPr>
              <w:rPr>
                <w:rFonts w:cs="Arial"/>
                <w:b/>
                <w:bCs/>
                <w:sz w:val="12"/>
                <w:szCs w:val="12"/>
                <w:lang w:eastAsia="ru-RU"/>
              </w:rPr>
            </w:pPr>
          </w:p>
          <w:p w:rsidR="00BF2463" w:rsidRPr="000A3751" w:rsidRDefault="00BF2463" w:rsidP="00BF2463">
            <w:pPr>
              <w:rPr>
                <w:rFonts w:cs="Arial"/>
                <w:b/>
                <w:bCs/>
                <w:sz w:val="12"/>
                <w:szCs w:val="12"/>
                <w:lang w:eastAsia="ru-RU"/>
              </w:rPr>
            </w:pPr>
            <w:r w:rsidRPr="000A3751">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0A3751" w:rsidRDefault="00BF2463" w:rsidP="00BF2463">
            <w:pPr>
              <w:jc w:val="center"/>
              <w:rPr>
                <w:rFonts w:cs="Arial"/>
                <w:b/>
                <w:bCs/>
                <w:sz w:val="12"/>
                <w:szCs w:val="12"/>
                <w:lang w:eastAsia="ru-RU"/>
              </w:rPr>
            </w:pPr>
          </w:p>
        </w:tc>
        <w:tc>
          <w:tcPr>
            <w:tcW w:w="1275"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Pr>
                <w:rFonts w:cs="Arial"/>
                <w:b/>
                <w:bCs/>
                <w:sz w:val="12"/>
                <w:szCs w:val="12"/>
                <w:lang w:eastAsia="ru-RU"/>
              </w:rPr>
              <w:t>Обесценение</w:t>
            </w:r>
          </w:p>
        </w:tc>
        <w:tc>
          <w:tcPr>
            <w:tcW w:w="992"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D671DA" w:rsidRDefault="00BF2463" w:rsidP="00BF2463">
            <w:pPr>
              <w:jc w:val="center"/>
              <w:rPr>
                <w:rFonts w:cs="Arial"/>
                <w:b/>
                <w:bCs/>
                <w:sz w:val="12"/>
                <w:szCs w:val="12"/>
                <w:lang w:val="ru-RU" w:eastAsia="ru-RU"/>
              </w:rPr>
            </w:pPr>
            <w:r w:rsidRPr="000A3751">
              <w:rPr>
                <w:rFonts w:cs="Arial"/>
                <w:b/>
                <w:bCs/>
                <w:sz w:val="12"/>
                <w:szCs w:val="12"/>
                <w:lang w:eastAsia="ru-RU"/>
              </w:rPr>
              <w:t>Поступле</w:t>
            </w: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ние</w:t>
            </w:r>
          </w:p>
        </w:tc>
        <w:tc>
          <w:tcPr>
            <w:tcW w:w="709"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D671DA" w:rsidRDefault="00BF2463" w:rsidP="00BF2463">
            <w:pPr>
              <w:jc w:val="center"/>
              <w:rPr>
                <w:rFonts w:cs="Arial"/>
                <w:b/>
                <w:bCs/>
                <w:sz w:val="12"/>
                <w:szCs w:val="12"/>
                <w:lang w:val="ru-RU" w:eastAsia="ru-RU"/>
              </w:rPr>
            </w:pPr>
            <w:r w:rsidRPr="000A3751">
              <w:rPr>
                <w:rFonts w:cs="Arial"/>
                <w:b/>
                <w:bCs/>
                <w:sz w:val="12"/>
                <w:szCs w:val="12"/>
                <w:lang w:eastAsia="ru-RU"/>
              </w:rPr>
              <w:t>Остаточ</w:t>
            </w: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ная стоимость</w:t>
            </w:r>
          </w:p>
        </w:tc>
        <w:tc>
          <w:tcPr>
            <w:tcW w:w="740"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Итого</w:t>
            </w:r>
          </w:p>
        </w:tc>
      </w:tr>
      <w:tr w:rsidR="00BF2463" w:rsidRPr="000A3751" w:rsidTr="00BF2463">
        <w:trPr>
          <w:trHeight w:val="390"/>
        </w:trPr>
        <w:tc>
          <w:tcPr>
            <w:tcW w:w="1843" w:type="dxa"/>
            <w:shd w:val="clear" w:color="auto" w:fill="auto"/>
            <w:vAlign w:val="bottom"/>
            <w:hideMark/>
          </w:tcPr>
          <w:p w:rsidR="00BF2463" w:rsidRPr="00C77E2C" w:rsidRDefault="00BF2463" w:rsidP="00BF2463">
            <w:pPr>
              <w:rPr>
                <w:rFonts w:cs="Arial"/>
                <w:bCs/>
                <w:sz w:val="12"/>
                <w:szCs w:val="12"/>
                <w:lang w:val="ru-RU" w:eastAsia="ru-RU"/>
              </w:rPr>
            </w:pPr>
            <w:r w:rsidRPr="00C77E2C">
              <w:rPr>
                <w:rFonts w:cs="Arial"/>
                <w:bCs/>
                <w:sz w:val="12"/>
                <w:szCs w:val="12"/>
                <w:lang w:val="ru-RU" w:eastAsia="ru-RU"/>
              </w:rPr>
              <w:t>Земля, временно неиспользуемая в основной деятельности</w:t>
            </w:r>
          </w:p>
        </w:tc>
        <w:tc>
          <w:tcPr>
            <w:tcW w:w="851" w:type="dxa"/>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250</w:t>
            </w:r>
          </w:p>
        </w:tc>
        <w:tc>
          <w:tcPr>
            <w:tcW w:w="1275"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1 000</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992"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1134"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1"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1 000</w:t>
            </w:r>
          </w:p>
        </w:tc>
        <w:tc>
          <w:tcPr>
            <w:tcW w:w="74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(750)</w:t>
            </w:r>
          </w:p>
        </w:tc>
        <w:tc>
          <w:tcPr>
            <w:tcW w:w="85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250</w:t>
            </w:r>
          </w:p>
        </w:tc>
      </w:tr>
      <w:tr w:rsidR="00BF2463" w:rsidRPr="000A3751" w:rsidTr="00BF2463">
        <w:trPr>
          <w:trHeight w:val="300"/>
        </w:trPr>
        <w:tc>
          <w:tcPr>
            <w:tcW w:w="1843" w:type="dxa"/>
            <w:shd w:val="clear" w:color="auto" w:fill="auto"/>
            <w:noWrap/>
            <w:vAlign w:val="bottom"/>
            <w:hideMark/>
          </w:tcPr>
          <w:p w:rsidR="00BF2463" w:rsidRPr="00C77E2C" w:rsidRDefault="00BF2463" w:rsidP="00BF2463">
            <w:pPr>
              <w:rPr>
                <w:rFonts w:cs="Arial"/>
                <w:sz w:val="12"/>
                <w:szCs w:val="12"/>
                <w:lang w:val="ru-RU" w:eastAsia="ru-RU"/>
              </w:rPr>
            </w:pPr>
            <w:r w:rsidRPr="00C77E2C">
              <w:rPr>
                <w:rFonts w:cs="Arial"/>
                <w:bCs/>
                <w:sz w:val="12"/>
                <w:szCs w:val="12"/>
                <w:lang w:val="ru-RU" w:eastAsia="ru-RU"/>
              </w:rPr>
              <w:t>Земля, временно неиспользуемая в основной деятельности, переданная в аренду</w:t>
            </w:r>
          </w:p>
        </w:tc>
        <w:tc>
          <w:tcPr>
            <w:tcW w:w="851" w:type="dxa"/>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1275"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709"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992"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1134"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851"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740"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850"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r>
      <w:tr w:rsidR="00BF2463" w:rsidRPr="000A3751" w:rsidTr="00BF2463">
        <w:trPr>
          <w:trHeight w:val="80"/>
        </w:trPr>
        <w:tc>
          <w:tcPr>
            <w:tcW w:w="1843" w:type="dxa"/>
            <w:shd w:val="clear" w:color="auto" w:fill="auto"/>
            <w:noWrap/>
            <w:vAlign w:val="bottom"/>
            <w:hideMark/>
          </w:tcPr>
          <w:p w:rsidR="00BF2463" w:rsidRPr="00C77E2C" w:rsidRDefault="00BF2463" w:rsidP="00BF2463">
            <w:pPr>
              <w:rPr>
                <w:rFonts w:cs="Arial"/>
                <w:sz w:val="12"/>
                <w:szCs w:val="12"/>
                <w:lang w:val="ru-RU" w:eastAsia="ru-RU"/>
              </w:rPr>
            </w:pPr>
            <w:r w:rsidRPr="00C77E2C">
              <w:rPr>
                <w:rFonts w:cs="Arial"/>
                <w:bCs/>
                <w:sz w:val="12"/>
                <w:szCs w:val="12"/>
                <w:lang w:val="ru-RU" w:eastAsia="ru-RU"/>
              </w:rPr>
              <w:t>Недвижимость (кроме земли), временно не используемая в основной деятельности</w:t>
            </w:r>
          </w:p>
        </w:tc>
        <w:tc>
          <w:tcPr>
            <w:tcW w:w="851" w:type="dxa"/>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2 827</w:t>
            </w:r>
          </w:p>
        </w:tc>
        <w:tc>
          <w:tcPr>
            <w:tcW w:w="1275"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11 759</w:t>
            </w:r>
          </w:p>
        </w:tc>
        <w:tc>
          <w:tcPr>
            <w:tcW w:w="709"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102</w:t>
            </w:r>
          </w:p>
        </w:tc>
        <w:tc>
          <w:tcPr>
            <w:tcW w:w="992"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1134"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(2 448)</w:t>
            </w:r>
          </w:p>
        </w:tc>
        <w:tc>
          <w:tcPr>
            <w:tcW w:w="851"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9 413</w:t>
            </w:r>
          </w:p>
        </w:tc>
        <w:tc>
          <w:tcPr>
            <w:tcW w:w="740" w:type="dxa"/>
            <w:shd w:val="clear" w:color="auto" w:fill="auto"/>
            <w:noWrap/>
            <w:vAlign w:val="bottom"/>
          </w:tcPr>
          <w:p w:rsidR="00BF2463" w:rsidRPr="00C77E2C" w:rsidRDefault="00BF2463" w:rsidP="000F7749">
            <w:pPr>
              <w:jc w:val="center"/>
              <w:rPr>
                <w:rFonts w:cs="Arial"/>
                <w:sz w:val="12"/>
                <w:szCs w:val="12"/>
                <w:lang w:eastAsia="ru-RU"/>
              </w:rPr>
            </w:pPr>
            <w:r w:rsidRPr="00C77E2C">
              <w:rPr>
                <w:rFonts w:cs="Arial"/>
                <w:bCs/>
                <w:sz w:val="12"/>
                <w:szCs w:val="12"/>
                <w:lang w:eastAsia="ru-RU"/>
              </w:rPr>
              <w:t>(7 0</w:t>
            </w:r>
            <w:r w:rsidR="000F7749">
              <w:rPr>
                <w:rFonts w:cs="Arial"/>
                <w:bCs/>
                <w:sz w:val="12"/>
                <w:szCs w:val="12"/>
                <w:lang w:eastAsia="ru-RU"/>
              </w:rPr>
              <w:t>5</w:t>
            </w:r>
            <w:r w:rsidRPr="00C77E2C">
              <w:rPr>
                <w:rFonts w:cs="Arial"/>
                <w:bCs/>
                <w:sz w:val="12"/>
                <w:szCs w:val="12"/>
                <w:lang w:eastAsia="ru-RU"/>
              </w:rPr>
              <w:t>9)</w:t>
            </w:r>
          </w:p>
        </w:tc>
        <w:tc>
          <w:tcPr>
            <w:tcW w:w="850" w:type="dxa"/>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2 354</w:t>
            </w:r>
          </w:p>
        </w:tc>
      </w:tr>
      <w:tr w:rsidR="00BF2463" w:rsidRPr="000A3751" w:rsidTr="00BF2463">
        <w:trPr>
          <w:trHeight w:val="186"/>
        </w:trPr>
        <w:tc>
          <w:tcPr>
            <w:tcW w:w="1843" w:type="dxa"/>
            <w:tcBorders>
              <w:bottom w:val="single" w:sz="4" w:space="0" w:color="auto"/>
            </w:tcBorders>
            <w:shd w:val="clear" w:color="auto" w:fill="auto"/>
            <w:noWrap/>
            <w:vAlign w:val="bottom"/>
            <w:hideMark/>
          </w:tcPr>
          <w:p w:rsidR="00BF2463" w:rsidRPr="00C77E2C" w:rsidRDefault="00BF2463" w:rsidP="00BF2463">
            <w:pPr>
              <w:rPr>
                <w:rFonts w:cs="Arial"/>
                <w:sz w:val="12"/>
                <w:szCs w:val="12"/>
                <w:lang w:val="ru-RU" w:eastAsia="ru-RU"/>
              </w:rPr>
            </w:pPr>
            <w:r w:rsidRPr="00C77E2C">
              <w:rPr>
                <w:rFonts w:cs="Arial"/>
                <w:bCs/>
                <w:sz w:val="12"/>
                <w:szCs w:val="12"/>
                <w:lang w:val="ru-RU" w:eastAsia="ru-RU"/>
              </w:rPr>
              <w:t>Недвижимость (кроме земли), временно не используемая в основной деятельности, переданная в аренду</w:t>
            </w:r>
          </w:p>
        </w:tc>
        <w:tc>
          <w:tcPr>
            <w:tcW w:w="851" w:type="dxa"/>
            <w:tcBorders>
              <w:bottom w:val="single" w:sz="4" w:space="0" w:color="auto"/>
            </w:tcBorders>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1275"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709"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992"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709"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1134"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851"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c>
          <w:tcPr>
            <w:tcW w:w="740"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w:t>
            </w:r>
          </w:p>
        </w:tc>
        <w:tc>
          <w:tcPr>
            <w:tcW w:w="850" w:type="dxa"/>
            <w:tcBorders>
              <w:bottom w:val="single" w:sz="4" w:space="0" w:color="auto"/>
            </w:tcBorders>
            <w:shd w:val="clear" w:color="auto" w:fill="auto"/>
            <w:noWrap/>
            <w:vAlign w:val="bottom"/>
          </w:tcPr>
          <w:p w:rsidR="00BF2463" w:rsidRPr="00C77E2C" w:rsidRDefault="00BF2463" w:rsidP="00BF2463">
            <w:pPr>
              <w:jc w:val="center"/>
              <w:rPr>
                <w:rFonts w:cs="Arial"/>
                <w:sz w:val="12"/>
                <w:szCs w:val="12"/>
                <w:lang w:eastAsia="ru-RU"/>
              </w:rPr>
            </w:pPr>
            <w:r w:rsidRPr="00C77E2C">
              <w:rPr>
                <w:rFonts w:cs="Arial"/>
                <w:bCs/>
                <w:sz w:val="12"/>
                <w:szCs w:val="12"/>
                <w:lang w:eastAsia="ru-RU"/>
              </w:rPr>
              <w:t>0</w:t>
            </w:r>
          </w:p>
        </w:tc>
      </w:tr>
    </w:tbl>
    <w:p w:rsidR="00BF2463" w:rsidRDefault="00BF2463" w:rsidP="00BF2463">
      <w:pPr>
        <w:ind w:firstLine="540"/>
        <w:jc w:val="both"/>
        <w:rPr>
          <w:rFonts w:ascii="Calibri" w:hAnsi="Calibri" w:cs="Calibri"/>
        </w:rPr>
      </w:pP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BF2463" w:rsidRPr="000A3751" w:rsidTr="00BE27CD">
        <w:trPr>
          <w:trHeight w:val="239"/>
          <w:tblHeader/>
        </w:trPr>
        <w:tc>
          <w:tcPr>
            <w:tcW w:w="1843" w:type="dxa"/>
            <w:tcBorders>
              <w:top w:val="single" w:sz="4" w:space="0" w:color="auto"/>
              <w:bottom w:val="single" w:sz="4" w:space="0" w:color="auto"/>
            </w:tcBorders>
            <w:shd w:val="clear" w:color="auto" w:fill="auto"/>
            <w:vAlign w:val="bottom"/>
            <w:hideMark/>
          </w:tcPr>
          <w:p w:rsidR="00BF2463" w:rsidRPr="000A3751" w:rsidRDefault="00BF2463" w:rsidP="00BF2463">
            <w:pPr>
              <w:rPr>
                <w:rFonts w:cs="Arial"/>
                <w:b/>
                <w:bCs/>
                <w:sz w:val="12"/>
                <w:szCs w:val="12"/>
                <w:lang w:eastAsia="ru-RU"/>
              </w:rPr>
            </w:pPr>
          </w:p>
        </w:tc>
        <w:tc>
          <w:tcPr>
            <w:tcW w:w="2126" w:type="dxa"/>
            <w:gridSpan w:val="2"/>
            <w:tcBorders>
              <w:top w:val="single" w:sz="4" w:space="0" w:color="auto"/>
              <w:bottom w:val="single" w:sz="4" w:space="0" w:color="auto"/>
            </w:tcBorders>
          </w:tcPr>
          <w:p w:rsidR="00BF2463" w:rsidRPr="000A3751" w:rsidRDefault="00BF2463" w:rsidP="00BF2463">
            <w:pP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31.12.2016</w:t>
            </w:r>
          </w:p>
        </w:tc>
        <w:tc>
          <w:tcPr>
            <w:tcW w:w="2410" w:type="dxa"/>
            <w:gridSpan w:val="3"/>
            <w:tcBorders>
              <w:top w:val="single" w:sz="4" w:space="0" w:color="auto"/>
              <w:bottom w:val="single" w:sz="4" w:space="0" w:color="auto"/>
            </w:tcBorders>
            <w:shd w:val="clear" w:color="auto" w:fill="auto"/>
            <w:vAlign w:val="bottom"/>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За двенадцать месяцев, завершившихся 31.12.2017</w:t>
            </w:r>
          </w:p>
        </w:tc>
        <w:tc>
          <w:tcPr>
            <w:tcW w:w="3575" w:type="dxa"/>
            <w:gridSpan w:val="4"/>
            <w:tcBorders>
              <w:top w:val="single" w:sz="4" w:space="0" w:color="auto"/>
              <w:bottom w:val="single" w:sz="4" w:space="0" w:color="auto"/>
            </w:tcBorders>
            <w:shd w:val="clear" w:color="auto" w:fill="auto"/>
            <w:noWrap/>
            <w:vAlign w:val="bottom"/>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31.12.2017</w:t>
            </w:r>
          </w:p>
        </w:tc>
      </w:tr>
      <w:tr w:rsidR="00BF2463" w:rsidRPr="000A3751" w:rsidTr="00BE27CD">
        <w:trPr>
          <w:trHeight w:val="462"/>
        </w:trPr>
        <w:tc>
          <w:tcPr>
            <w:tcW w:w="1843" w:type="dxa"/>
            <w:tcBorders>
              <w:top w:val="single" w:sz="4" w:space="0" w:color="auto"/>
              <w:bottom w:val="single" w:sz="4" w:space="0" w:color="auto"/>
            </w:tcBorders>
            <w:shd w:val="clear" w:color="auto" w:fill="auto"/>
            <w:noWrap/>
            <w:vAlign w:val="center"/>
            <w:hideMark/>
          </w:tcPr>
          <w:p w:rsidR="00BF2463" w:rsidRPr="000A3751" w:rsidRDefault="00BF2463" w:rsidP="00BF2463">
            <w:pPr>
              <w:rPr>
                <w:rFonts w:cs="Arial"/>
                <w:b/>
                <w:bCs/>
                <w:sz w:val="12"/>
                <w:szCs w:val="12"/>
                <w:lang w:eastAsia="ru-RU"/>
              </w:rPr>
            </w:pPr>
          </w:p>
          <w:p w:rsidR="00BF2463" w:rsidRPr="000A3751" w:rsidRDefault="00BF2463" w:rsidP="00BF2463">
            <w:pPr>
              <w:rPr>
                <w:rFonts w:cs="Arial"/>
                <w:b/>
                <w:bCs/>
                <w:sz w:val="12"/>
                <w:szCs w:val="12"/>
                <w:lang w:eastAsia="ru-RU"/>
              </w:rPr>
            </w:pPr>
          </w:p>
          <w:p w:rsidR="00BF2463" w:rsidRPr="000A3751" w:rsidRDefault="00BF2463" w:rsidP="00BF2463">
            <w:pPr>
              <w:rPr>
                <w:rFonts w:cs="Arial"/>
                <w:b/>
                <w:bCs/>
                <w:sz w:val="12"/>
                <w:szCs w:val="12"/>
                <w:lang w:eastAsia="ru-RU"/>
              </w:rPr>
            </w:pPr>
            <w:r w:rsidRPr="000A3751">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0A3751" w:rsidRDefault="00BF2463" w:rsidP="00BF2463">
            <w:pPr>
              <w:jc w:val="center"/>
              <w:rPr>
                <w:rFonts w:cs="Arial"/>
                <w:b/>
                <w:bCs/>
                <w:sz w:val="12"/>
                <w:szCs w:val="12"/>
                <w:lang w:eastAsia="ru-RU"/>
              </w:rPr>
            </w:pPr>
          </w:p>
        </w:tc>
        <w:tc>
          <w:tcPr>
            <w:tcW w:w="1275"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Pr>
                <w:rFonts w:cs="Arial"/>
                <w:b/>
                <w:bCs/>
                <w:sz w:val="12"/>
                <w:szCs w:val="12"/>
                <w:lang w:eastAsia="ru-RU"/>
              </w:rPr>
              <w:t>Обесценение</w:t>
            </w:r>
          </w:p>
        </w:tc>
        <w:tc>
          <w:tcPr>
            <w:tcW w:w="992"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D671DA" w:rsidRDefault="00BF2463" w:rsidP="00BF2463">
            <w:pPr>
              <w:jc w:val="center"/>
              <w:rPr>
                <w:rFonts w:cs="Arial"/>
                <w:b/>
                <w:bCs/>
                <w:sz w:val="12"/>
                <w:szCs w:val="12"/>
                <w:lang w:val="ru-RU" w:eastAsia="ru-RU"/>
              </w:rPr>
            </w:pPr>
            <w:r w:rsidRPr="000A3751">
              <w:rPr>
                <w:rFonts w:cs="Arial"/>
                <w:b/>
                <w:bCs/>
                <w:sz w:val="12"/>
                <w:szCs w:val="12"/>
                <w:lang w:eastAsia="ru-RU"/>
              </w:rPr>
              <w:t>Поступле</w:t>
            </w: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ние</w:t>
            </w:r>
          </w:p>
        </w:tc>
        <w:tc>
          <w:tcPr>
            <w:tcW w:w="709"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D671DA" w:rsidRDefault="00BF2463" w:rsidP="00BF2463">
            <w:pPr>
              <w:jc w:val="center"/>
              <w:rPr>
                <w:rFonts w:cs="Arial"/>
                <w:b/>
                <w:bCs/>
                <w:sz w:val="12"/>
                <w:szCs w:val="12"/>
                <w:lang w:val="ru-RU" w:eastAsia="ru-RU"/>
              </w:rPr>
            </w:pPr>
            <w:r w:rsidRPr="000A3751">
              <w:rPr>
                <w:rFonts w:cs="Arial"/>
                <w:b/>
                <w:bCs/>
                <w:sz w:val="12"/>
                <w:szCs w:val="12"/>
                <w:lang w:eastAsia="ru-RU"/>
              </w:rPr>
              <w:t>Остаточ</w:t>
            </w: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ная стоимость</w:t>
            </w:r>
          </w:p>
        </w:tc>
        <w:tc>
          <w:tcPr>
            <w:tcW w:w="740"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r w:rsidRPr="000A3751">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p>
          <w:p w:rsidR="00BF2463" w:rsidRPr="000A3751" w:rsidRDefault="00BF2463" w:rsidP="00BF2463">
            <w:pPr>
              <w:jc w:val="center"/>
              <w:rPr>
                <w:rFonts w:cs="Arial"/>
                <w:b/>
                <w:bCs/>
                <w:sz w:val="12"/>
                <w:szCs w:val="12"/>
                <w:lang w:eastAsia="ru-RU"/>
              </w:rPr>
            </w:pPr>
            <w:r w:rsidRPr="000A3751">
              <w:rPr>
                <w:rFonts w:cs="Arial"/>
                <w:b/>
                <w:bCs/>
                <w:sz w:val="12"/>
                <w:szCs w:val="12"/>
                <w:lang w:eastAsia="ru-RU"/>
              </w:rPr>
              <w:t>Итого</w:t>
            </w:r>
          </w:p>
        </w:tc>
      </w:tr>
      <w:tr w:rsidR="00BF2463" w:rsidRPr="000A3751" w:rsidTr="00BE27CD">
        <w:trPr>
          <w:trHeight w:val="460"/>
        </w:trPr>
        <w:tc>
          <w:tcPr>
            <w:tcW w:w="1843" w:type="dxa"/>
            <w:shd w:val="clear" w:color="auto" w:fill="auto"/>
            <w:vAlign w:val="bottom"/>
            <w:hideMark/>
          </w:tcPr>
          <w:p w:rsidR="00BF2463" w:rsidRPr="00C77E2C" w:rsidRDefault="00BF2463" w:rsidP="00BF2463">
            <w:pPr>
              <w:rPr>
                <w:rFonts w:cs="Arial"/>
                <w:bCs/>
                <w:sz w:val="12"/>
                <w:szCs w:val="12"/>
                <w:lang w:val="ru-RU" w:eastAsia="ru-RU"/>
              </w:rPr>
            </w:pPr>
            <w:r w:rsidRPr="00C77E2C">
              <w:rPr>
                <w:rFonts w:cs="Arial"/>
                <w:bCs/>
                <w:sz w:val="12"/>
                <w:szCs w:val="12"/>
                <w:lang w:val="ru-RU" w:eastAsia="ru-RU"/>
              </w:rPr>
              <w:t>Земля, временно неиспользуемая в основной деятельности</w:t>
            </w:r>
          </w:p>
        </w:tc>
        <w:tc>
          <w:tcPr>
            <w:tcW w:w="851" w:type="dxa"/>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31 746</w:t>
            </w:r>
          </w:p>
        </w:tc>
        <w:tc>
          <w:tcPr>
            <w:tcW w:w="1275"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49 833</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992"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(48 833)</w:t>
            </w:r>
          </w:p>
        </w:tc>
        <w:tc>
          <w:tcPr>
            <w:tcW w:w="1134"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1"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1 000</w:t>
            </w:r>
          </w:p>
        </w:tc>
        <w:tc>
          <w:tcPr>
            <w:tcW w:w="74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(750)</w:t>
            </w:r>
          </w:p>
        </w:tc>
        <w:tc>
          <w:tcPr>
            <w:tcW w:w="85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250</w:t>
            </w:r>
          </w:p>
        </w:tc>
      </w:tr>
      <w:tr w:rsidR="00BF2463" w:rsidRPr="000A3751" w:rsidTr="00BE27CD">
        <w:trPr>
          <w:trHeight w:val="595"/>
        </w:trPr>
        <w:tc>
          <w:tcPr>
            <w:tcW w:w="1843" w:type="dxa"/>
            <w:shd w:val="clear" w:color="auto" w:fill="auto"/>
            <w:vAlign w:val="bottom"/>
            <w:hideMark/>
          </w:tcPr>
          <w:p w:rsidR="00BF2463" w:rsidRPr="00C77E2C" w:rsidRDefault="00BF2463" w:rsidP="00BF2463">
            <w:pPr>
              <w:rPr>
                <w:rFonts w:cs="Arial"/>
                <w:bCs/>
                <w:sz w:val="12"/>
                <w:szCs w:val="12"/>
                <w:lang w:val="ru-RU" w:eastAsia="ru-RU"/>
              </w:rPr>
            </w:pPr>
            <w:r w:rsidRPr="00C77E2C">
              <w:rPr>
                <w:rFonts w:cs="Arial"/>
                <w:bCs/>
                <w:sz w:val="12"/>
                <w:szCs w:val="12"/>
                <w:lang w:val="ru-RU" w:eastAsia="ru-RU"/>
              </w:rPr>
              <w:t>Земля, временно неиспользуемая в основной деятельности, переданная в аренду</w:t>
            </w:r>
          </w:p>
        </w:tc>
        <w:tc>
          <w:tcPr>
            <w:tcW w:w="851" w:type="dxa"/>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345</w:t>
            </w:r>
          </w:p>
        </w:tc>
        <w:tc>
          <w:tcPr>
            <w:tcW w:w="1275"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1 380</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992"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(1 380)</w:t>
            </w:r>
          </w:p>
        </w:tc>
        <w:tc>
          <w:tcPr>
            <w:tcW w:w="1134"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1"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0</w:t>
            </w:r>
          </w:p>
        </w:tc>
        <w:tc>
          <w:tcPr>
            <w:tcW w:w="74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0</w:t>
            </w:r>
          </w:p>
        </w:tc>
      </w:tr>
      <w:tr w:rsidR="00BF2463" w:rsidRPr="000A3751" w:rsidTr="00BE27CD">
        <w:trPr>
          <w:trHeight w:val="619"/>
        </w:trPr>
        <w:tc>
          <w:tcPr>
            <w:tcW w:w="1843" w:type="dxa"/>
            <w:shd w:val="clear" w:color="auto" w:fill="auto"/>
            <w:vAlign w:val="bottom"/>
            <w:hideMark/>
          </w:tcPr>
          <w:p w:rsidR="00BF2463" w:rsidRPr="00C77E2C" w:rsidRDefault="00BF2463" w:rsidP="00BF2463">
            <w:pPr>
              <w:rPr>
                <w:rFonts w:cs="Arial"/>
                <w:bCs/>
                <w:sz w:val="12"/>
                <w:szCs w:val="12"/>
                <w:lang w:val="ru-RU" w:eastAsia="ru-RU"/>
              </w:rPr>
            </w:pPr>
            <w:r w:rsidRPr="00C77E2C">
              <w:rPr>
                <w:rFonts w:cs="Arial"/>
                <w:bCs/>
                <w:sz w:val="12"/>
                <w:szCs w:val="12"/>
                <w:lang w:val="ru-RU" w:eastAsia="ru-RU"/>
              </w:rPr>
              <w:lastRenderedPageBreak/>
              <w:t>Недвижимость (кроме земли), временно не используемая в основной деятельности</w:t>
            </w:r>
          </w:p>
        </w:tc>
        <w:tc>
          <w:tcPr>
            <w:tcW w:w="851" w:type="dxa"/>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5 115</w:t>
            </w:r>
          </w:p>
        </w:tc>
        <w:tc>
          <w:tcPr>
            <w:tcW w:w="1275"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11 286</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473</w:t>
            </w:r>
          </w:p>
        </w:tc>
        <w:tc>
          <w:tcPr>
            <w:tcW w:w="992"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709"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1134"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(2 021)</w:t>
            </w:r>
          </w:p>
        </w:tc>
        <w:tc>
          <w:tcPr>
            <w:tcW w:w="851"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9 738</w:t>
            </w:r>
          </w:p>
        </w:tc>
        <w:tc>
          <w:tcPr>
            <w:tcW w:w="74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(6 911)</w:t>
            </w:r>
          </w:p>
        </w:tc>
        <w:tc>
          <w:tcPr>
            <w:tcW w:w="850" w:type="dxa"/>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2 827</w:t>
            </w:r>
          </w:p>
        </w:tc>
      </w:tr>
      <w:tr w:rsidR="00BF2463" w:rsidRPr="000A3751" w:rsidTr="00BE27CD">
        <w:trPr>
          <w:trHeight w:val="771"/>
        </w:trPr>
        <w:tc>
          <w:tcPr>
            <w:tcW w:w="1843" w:type="dxa"/>
            <w:tcBorders>
              <w:bottom w:val="single" w:sz="4" w:space="0" w:color="auto"/>
            </w:tcBorders>
            <w:shd w:val="clear" w:color="auto" w:fill="auto"/>
            <w:vAlign w:val="bottom"/>
            <w:hideMark/>
          </w:tcPr>
          <w:p w:rsidR="00BF2463" w:rsidRPr="00C77E2C" w:rsidRDefault="00BF2463" w:rsidP="00BF2463">
            <w:pPr>
              <w:rPr>
                <w:rFonts w:cs="Arial"/>
                <w:bCs/>
                <w:sz w:val="12"/>
                <w:szCs w:val="12"/>
                <w:lang w:val="ru-RU" w:eastAsia="ru-RU"/>
              </w:rPr>
            </w:pPr>
            <w:r w:rsidRPr="00C77E2C">
              <w:rPr>
                <w:rFonts w:cs="Arial"/>
                <w:bCs/>
                <w:sz w:val="12"/>
                <w:szCs w:val="12"/>
                <w:lang w:val="ru-RU" w:eastAsia="ru-RU"/>
              </w:rPr>
              <w:t>Недвижимость (кроме земли), временно не используемая в основной деятельности, переданная в аренду</w:t>
            </w:r>
          </w:p>
        </w:tc>
        <w:tc>
          <w:tcPr>
            <w:tcW w:w="851" w:type="dxa"/>
            <w:tcBorders>
              <w:bottom w:val="single" w:sz="4" w:space="0" w:color="auto"/>
            </w:tcBorders>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289</w:t>
            </w:r>
          </w:p>
        </w:tc>
        <w:tc>
          <w:tcPr>
            <w:tcW w:w="1275"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1 500</w:t>
            </w:r>
          </w:p>
        </w:tc>
        <w:tc>
          <w:tcPr>
            <w:tcW w:w="709"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992"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709"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(1 500)</w:t>
            </w:r>
          </w:p>
        </w:tc>
        <w:tc>
          <w:tcPr>
            <w:tcW w:w="1134"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1"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0</w:t>
            </w:r>
          </w:p>
        </w:tc>
        <w:tc>
          <w:tcPr>
            <w:tcW w:w="740"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w:t>
            </w:r>
          </w:p>
        </w:tc>
        <w:tc>
          <w:tcPr>
            <w:tcW w:w="850" w:type="dxa"/>
            <w:tcBorders>
              <w:bottom w:val="single" w:sz="4" w:space="0" w:color="auto"/>
            </w:tcBorders>
            <w:shd w:val="clear" w:color="auto" w:fill="auto"/>
            <w:noWrap/>
            <w:vAlign w:val="bottom"/>
          </w:tcPr>
          <w:p w:rsidR="00BF2463" w:rsidRPr="00C77E2C" w:rsidRDefault="00BF2463" w:rsidP="00BF2463">
            <w:pPr>
              <w:jc w:val="center"/>
              <w:rPr>
                <w:rFonts w:cs="Arial"/>
                <w:bCs/>
                <w:sz w:val="12"/>
                <w:szCs w:val="12"/>
                <w:lang w:eastAsia="ru-RU"/>
              </w:rPr>
            </w:pPr>
            <w:r w:rsidRPr="00C77E2C">
              <w:rPr>
                <w:rFonts w:cs="Arial"/>
                <w:bCs/>
                <w:sz w:val="12"/>
                <w:szCs w:val="12"/>
                <w:lang w:eastAsia="ru-RU"/>
              </w:rPr>
              <w:t>0</w:t>
            </w:r>
          </w:p>
        </w:tc>
      </w:tr>
    </w:tbl>
    <w:p w:rsidR="00D671DA" w:rsidRDefault="00D671DA" w:rsidP="00D671DA">
      <w:pPr>
        <w:jc w:val="both"/>
        <w:rPr>
          <w:rFonts w:cs="Arial"/>
          <w:b/>
          <w:bCs/>
          <w:sz w:val="20"/>
          <w:szCs w:val="20"/>
          <w:lang w:val="ru-RU"/>
        </w:rPr>
      </w:pPr>
    </w:p>
    <w:p w:rsidR="00A4212F" w:rsidRPr="00A4212F" w:rsidRDefault="00D671DA" w:rsidP="00A4212F">
      <w:pPr>
        <w:overflowPunct/>
        <w:jc w:val="both"/>
        <w:textAlignment w:val="auto"/>
        <w:rPr>
          <w:rFonts w:eastAsiaTheme="minorHAnsi" w:cs="Arial"/>
          <w:b/>
          <w:bCs/>
          <w:sz w:val="20"/>
          <w:szCs w:val="20"/>
          <w:lang w:val="ru-RU"/>
        </w:rPr>
      </w:pPr>
      <w:r w:rsidRPr="00D671DA">
        <w:rPr>
          <w:rFonts w:cs="Arial"/>
          <w:b/>
          <w:bCs/>
          <w:sz w:val="20"/>
          <w:szCs w:val="20"/>
          <w:lang w:val="ru-RU"/>
        </w:rPr>
        <w:t xml:space="preserve">6.1.16. </w:t>
      </w:r>
      <w:r w:rsidR="00A4212F">
        <w:rPr>
          <w:rFonts w:eastAsiaTheme="minorHAnsi" w:cs="Arial"/>
          <w:b/>
          <w:bCs/>
          <w:sz w:val="20"/>
          <w:szCs w:val="20"/>
          <w:lang w:val="ru-RU"/>
        </w:rPr>
        <w:t>Информаци</w:t>
      </w:r>
      <w:r w:rsidR="00703C5D">
        <w:rPr>
          <w:rFonts w:eastAsiaTheme="minorHAnsi" w:cs="Arial"/>
          <w:b/>
          <w:bCs/>
          <w:sz w:val="20"/>
          <w:szCs w:val="20"/>
          <w:lang w:val="ru-RU"/>
        </w:rPr>
        <w:t>я</w:t>
      </w:r>
      <w:r w:rsidR="00A4212F">
        <w:rPr>
          <w:rFonts w:eastAsiaTheme="minorHAnsi" w:cs="Arial"/>
          <w:b/>
          <w:bCs/>
          <w:sz w:val="20"/>
          <w:szCs w:val="20"/>
          <w:lang w:val="ru-RU"/>
        </w:rPr>
        <w:t xml:space="preserve"> об операциях аренды</w:t>
      </w:r>
    </w:p>
    <w:p w:rsidR="00A4212F" w:rsidRDefault="00A4212F" w:rsidP="00D671DA">
      <w:pPr>
        <w:jc w:val="both"/>
        <w:rPr>
          <w:rFonts w:cs="Arial"/>
          <w:bCs/>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В отчетном периоде Банк не заключал договора финансовой аренды (лизинга).</w:t>
      </w:r>
    </w:p>
    <w:p w:rsidR="00D671DA" w:rsidRPr="00D671DA" w:rsidRDefault="00D671DA" w:rsidP="00D671DA">
      <w:pPr>
        <w:jc w:val="both"/>
        <w:rPr>
          <w:rFonts w:cs="Arial"/>
          <w:b/>
          <w:bCs/>
          <w:sz w:val="20"/>
          <w:szCs w:val="20"/>
          <w:lang w:val="ru-RU"/>
        </w:rPr>
      </w:pPr>
    </w:p>
    <w:p w:rsidR="00D671DA" w:rsidRPr="00D671DA" w:rsidRDefault="00D671DA" w:rsidP="00D671DA">
      <w:pPr>
        <w:jc w:val="both"/>
        <w:rPr>
          <w:rFonts w:cs="Arial"/>
          <w:bCs/>
          <w:sz w:val="20"/>
          <w:szCs w:val="20"/>
          <w:lang w:val="ru-RU"/>
        </w:rPr>
      </w:pPr>
      <w:r w:rsidRPr="00D671DA">
        <w:rPr>
          <w:rFonts w:cs="Arial"/>
          <w:b/>
          <w:bCs/>
          <w:sz w:val="20"/>
          <w:szCs w:val="20"/>
          <w:lang w:val="ru-RU"/>
        </w:rPr>
        <w:t>Информация по договорам операционной аренды, по которым</w:t>
      </w:r>
      <w:r w:rsidRPr="00D671DA">
        <w:rPr>
          <w:rFonts w:cs="Arial"/>
          <w:bCs/>
          <w:sz w:val="20"/>
          <w:szCs w:val="20"/>
          <w:lang w:val="ru-RU"/>
        </w:rPr>
        <w:t xml:space="preserve"> </w:t>
      </w:r>
      <w:r w:rsidRPr="00D671DA">
        <w:rPr>
          <w:rFonts w:cs="Arial"/>
          <w:b/>
          <w:bCs/>
          <w:sz w:val="20"/>
          <w:szCs w:val="20"/>
          <w:lang w:val="ru-RU"/>
        </w:rPr>
        <w:t>Банк - арендатор основных средств</w:t>
      </w:r>
    </w:p>
    <w:p w:rsidR="00D671DA" w:rsidRPr="00D671DA" w:rsidRDefault="00D671DA" w:rsidP="00D671DA">
      <w:pPr>
        <w:jc w:val="both"/>
        <w:rPr>
          <w:rFonts w:cs="Arial"/>
          <w:bCs/>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Договора аренды и субаренды без права досрочного прекращения Банк не заключал.</w:t>
      </w:r>
    </w:p>
    <w:p w:rsidR="00D671DA" w:rsidRPr="00D671DA" w:rsidRDefault="00D671DA" w:rsidP="00D671DA">
      <w:pPr>
        <w:jc w:val="both"/>
        <w:rPr>
          <w:rFonts w:cs="Arial"/>
          <w:bCs/>
          <w:sz w:val="20"/>
          <w:szCs w:val="20"/>
          <w:lang w:val="ru-RU"/>
        </w:rPr>
      </w:pPr>
      <w:r w:rsidRPr="00D671DA">
        <w:rPr>
          <w:rFonts w:cs="Arial"/>
          <w:bCs/>
          <w:sz w:val="20"/>
          <w:szCs w:val="20"/>
          <w:lang w:val="ru-RU"/>
        </w:rPr>
        <w:t>Арендные платежи, признанные в качестве расходов в отчетном периоде:</w:t>
      </w:r>
    </w:p>
    <w:p w:rsidR="00D671DA" w:rsidRPr="00D671DA" w:rsidRDefault="00D671DA" w:rsidP="00D671DA">
      <w:pPr>
        <w:ind w:firstLine="540"/>
        <w:jc w:val="both"/>
        <w:rPr>
          <w:rFonts w:cs="Arial"/>
          <w:bCs/>
          <w:color w:val="FF0000"/>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1843"/>
        <w:gridCol w:w="1701"/>
        <w:gridCol w:w="1949"/>
      </w:tblGrid>
      <w:tr w:rsidR="00D671DA" w:rsidRPr="006C0DB6" w:rsidTr="00E362C0">
        <w:tc>
          <w:tcPr>
            <w:tcW w:w="4077" w:type="dxa"/>
            <w:vMerge w:val="restart"/>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p>
          <w:p w:rsidR="00D671DA" w:rsidRPr="00575698" w:rsidRDefault="00D671DA" w:rsidP="00E362C0">
            <w:pPr>
              <w:jc w:val="center"/>
              <w:rPr>
                <w:rFonts w:cs="Arial"/>
                <w:b/>
                <w:bCs/>
                <w:sz w:val="16"/>
                <w:szCs w:val="16"/>
              </w:rPr>
            </w:pPr>
            <w:r w:rsidRPr="00575698">
              <w:rPr>
                <w:rFonts w:cs="Arial"/>
                <w:b/>
                <w:bCs/>
                <w:sz w:val="16"/>
                <w:szCs w:val="16"/>
              </w:rPr>
              <w:t>Объект</w:t>
            </w:r>
            <w:r>
              <w:rPr>
                <w:rFonts w:cs="Arial"/>
                <w:b/>
                <w:bCs/>
                <w:sz w:val="16"/>
                <w:szCs w:val="16"/>
              </w:rPr>
              <w:t>ы</w:t>
            </w:r>
            <w:r w:rsidRPr="00575698">
              <w:rPr>
                <w:rFonts w:cs="Arial"/>
                <w:b/>
                <w:bCs/>
                <w:sz w:val="16"/>
                <w:szCs w:val="16"/>
              </w:rPr>
              <w:t xml:space="preserve"> аренды</w:t>
            </w:r>
          </w:p>
        </w:tc>
        <w:tc>
          <w:tcPr>
            <w:tcW w:w="3544" w:type="dxa"/>
            <w:gridSpan w:val="2"/>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r w:rsidRPr="00D671DA">
              <w:rPr>
                <w:rFonts w:cs="Arial"/>
                <w:b/>
                <w:bCs/>
                <w:sz w:val="16"/>
                <w:szCs w:val="16"/>
                <w:lang w:val="ru-RU"/>
              </w:rPr>
              <w:t>Платежи (аренда, субаренда),</w:t>
            </w:r>
          </w:p>
          <w:p w:rsidR="00D671DA" w:rsidRPr="00D671DA" w:rsidRDefault="00D671DA" w:rsidP="00E362C0">
            <w:pPr>
              <w:jc w:val="center"/>
              <w:rPr>
                <w:rFonts w:cs="Arial"/>
                <w:b/>
                <w:bCs/>
                <w:sz w:val="16"/>
                <w:szCs w:val="16"/>
                <w:lang w:val="ru-RU"/>
              </w:rPr>
            </w:pPr>
            <w:r w:rsidRPr="00D671DA">
              <w:rPr>
                <w:rFonts w:cs="Arial"/>
                <w:b/>
                <w:bCs/>
                <w:sz w:val="16"/>
                <w:szCs w:val="16"/>
                <w:lang w:val="ru-RU"/>
              </w:rPr>
              <w:t xml:space="preserve"> признанные в качестве расходов</w:t>
            </w:r>
          </w:p>
        </w:tc>
        <w:tc>
          <w:tcPr>
            <w:tcW w:w="1949" w:type="dxa"/>
            <w:vMerge w:val="restart"/>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p>
          <w:p w:rsidR="00D671DA" w:rsidRPr="00D671DA" w:rsidRDefault="00D671DA" w:rsidP="00E362C0">
            <w:pPr>
              <w:jc w:val="center"/>
              <w:rPr>
                <w:rFonts w:cs="Arial"/>
                <w:b/>
                <w:bCs/>
                <w:sz w:val="16"/>
                <w:szCs w:val="16"/>
                <w:lang w:val="ru-RU"/>
              </w:rPr>
            </w:pPr>
            <w:r w:rsidRPr="00D671DA">
              <w:rPr>
                <w:rFonts w:cs="Arial"/>
                <w:b/>
                <w:bCs/>
                <w:sz w:val="16"/>
                <w:szCs w:val="16"/>
                <w:lang w:val="ru-RU"/>
              </w:rPr>
              <w:t xml:space="preserve">Сумма минимальных арендных платежей </w:t>
            </w:r>
          </w:p>
          <w:p w:rsidR="00D671DA" w:rsidRPr="00D671DA" w:rsidRDefault="00D671DA" w:rsidP="00E362C0">
            <w:pPr>
              <w:jc w:val="center"/>
              <w:rPr>
                <w:rFonts w:cs="Arial"/>
                <w:b/>
                <w:bCs/>
                <w:sz w:val="16"/>
                <w:szCs w:val="16"/>
                <w:lang w:val="ru-RU"/>
              </w:rPr>
            </w:pPr>
            <w:r w:rsidRPr="00D671DA">
              <w:rPr>
                <w:rFonts w:cs="Arial"/>
                <w:b/>
                <w:bCs/>
                <w:sz w:val="16"/>
                <w:szCs w:val="16"/>
                <w:lang w:val="ru-RU"/>
              </w:rPr>
              <w:t>всего за месяц</w:t>
            </w:r>
          </w:p>
        </w:tc>
      </w:tr>
      <w:tr w:rsidR="00D671DA" w:rsidRPr="006C0DB6" w:rsidTr="00E362C0">
        <w:tc>
          <w:tcPr>
            <w:tcW w:w="4077" w:type="dxa"/>
            <w:vMerge/>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p>
        </w:tc>
        <w:tc>
          <w:tcPr>
            <w:tcW w:w="1843" w:type="dxa"/>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p>
          <w:p w:rsidR="00D671DA" w:rsidRPr="00575698" w:rsidRDefault="00D671DA" w:rsidP="00E362C0">
            <w:pPr>
              <w:jc w:val="center"/>
              <w:rPr>
                <w:rFonts w:cs="Arial"/>
                <w:b/>
                <w:bCs/>
                <w:sz w:val="16"/>
                <w:szCs w:val="16"/>
              </w:rPr>
            </w:pPr>
            <w:r w:rsidRPr="00575698">
              <w:rPr>
                <w:rFonts w:cs="Arial"/>
                <w:b/>
                <w:bCs/>
                <w:sz w:val="16"/>
                <w:szCs w:val="16"/>
              </w:rPr>
              <w:t>всего</w:t>
            </w:r>
          </w:p>
        </w:tc>
        <w:tc>
          <w:tcPr>
            <w:tcW w:w="1701" w:type="dxa"/>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r w:rsidRPr="00D671DA">
              <w:rPr>
                <w:rFonts w:cs="Arial"/>
                <w:b/>
                <w:bCs/>
                <w:sz w:val="16"/>
                <w:szCs w:val="16"/>
                <w:lang w:val="ru-RU"/>
              </w:rPr>
              <w:t>в т.ч. платежи по субаренде</w:t>
            </w:r>
          </w:p>
        </w:tc>
        <w:tc>
          <w:tcPr>
            <w:tcW w:w="1949" w:type="dxa"/>
            <w:vMerge/>
            <w:tcBorders>
              <w:top w:val="single" w:sz="4" w:space="0" w:color="auto"/>
              <w:bottom w:val="single" w:sz="4" w:space="0" w:color="auto"/>
            </w:tcBorders>
          </w:tcPr>
          <w:p w:rsidR="00D671DA" w:rsidRPr="00D671DA" w:rsidRDefault="00D671DA" w:rsidP="00E362C0">
            <w:pPr>
              <w:jc w:val="center"/>
              <w:rPr>
                <w:rFonts w:cs="Arial"/>
                <w:b/>
                <w:bCs/>
                <w:sz w:val="16"/>
                <w:szCs w:val="16"/>
                <w:lang w:val="ru-RU"/>
              </w:rPr>
            </w:pPr>
          </w:p>
        </w:tc>
      </w:tr>
      <w:tr w:rsidR="00D671DA" w:rsidRPr="00575698" w:rsidTr="00E362C0">
        <w:tc>
          <w:tcPr>
            <w:tcW w:w="4077" w:type="dxa"/>
            <w:tcBorders>
              <w:top w:val="single" w:sz="4" w:space="0" w:color="auto"/>
            </w:tcBorders>
          </w:tcPr>
          <w:p w:rsidR="00D671DA" w:rsidRPr="00D671DA" w:rsidRDefault="00D671DA" w:rsidP="00E362C0">
            <w:pPr>
              <w:jc w:val="both"/>
              <w:rPr>
                <w:rFonts w:cs="Arial"/>
                <w:bCs/>
                <w:sz w:val="16"/>
                <w:szCs w:val="16"/>
                <w:lang w:val="ru-RU"/>
              </w:rPr>
            </w:pPr>
            <w:r w:rsidRPr="00D671DA">
              <w:rPr>
                <w:rFonts w:cs="Arial"/>
                <w:bCs/>
                <w:sz w:val="16"/>
                <w:szCs w:val="16"/>
                <w:lang w:val="ru-RU"/>
              </w:rPr>
              <w:t>Недвижимость (63 объекта, в т.ч. площади под банкоматы)</w:t>
            </w:r>
          </w:p>
        </w:tc>
        <w:tc>
          <w:tcPr>
            <w:tcW w:w="1843" w:type="dxa"/>
            <w:tcBorders>
              <w:top w:val="single" w:sz="4" w:space="0" w:color="auto"/>
            </w:tcBorders>
          </w:tcPr>
          <w:p w:rsidR="00D671DA" w:rsidRPr="00575698" w:rsidRDefault="00D671DA" w:rsidP="00E362C0">
            <w:pPr>
              <w:jc w:val="center"/>
              <w:rPr>
                <w:rFonts w:cs="Arial"/>
                <w:bCs/>
                <w:sz w:val="16"/>
                <w:szCs w:val="16"/>
              </w:rPr>
            </w:pPr>
            <w:r>
              <w:rPr>
                <w:rFonts w:cs="Arial"/>
                <w:bCs/>
                <w:sz w:val="16"/>
                <w:szCs w:val="16"/>
              </w:rPr>
              <w:t>20 879</w:t>
            </w:r>
          </w:p>
        </w:tc>
        <w:tc>
          <w:tcPr>
            <w:tcW w:w="1701" w:type="dxa"/>
            <w:tcBorders>
              <w:top w:val="single" w:sz="4" w:space="0" w:color="auto"/>
            </w:tcBorders>
          </w:tcPr>
          <w:p w:rsidR="00D671DA" w:rsidRPr="00575698" w:rsidRDefault="00D671DA" w:rsidP="00E362C0">
            <w:pPr>
              <w:jc w:val="center"/>
              <w:rPr>
                <w:rFonts w:cs="Arial"/>
                <w:bCs/>
                <w:sz w:val="16"/>
                <w:szCs w:val="16"/>
              </w:rPr>
            </w:pPr>
            <w:r>
              <w:rPr>
                <w:rFonts w:cs="Arial"/>
                <w:bCs/>
                <w:sz w:val="16"/>
                <w:szCs w:val="16"/>
              </w:rPr>
              <w:t>15 747</w:t>
            </w:r>
          </w:p>
        </w:tc>
        <w:tc>
          <w:tcPr>
            <w:tcW w:w="1949" w:type="dxa"/>
            <w:tcBorders>
              <w:top w:val="single" w:sz="4" w:space="0" w:color="auto"/>
            </w:tcBorders>
          </w:tcPr>
          <w:p w:rsidR="00D671DA" w:rsidRPr="00575698" w:rsidRDefault="00D671DA" w:rsidP="00E362C0">
            <w:pPr>
              <w:jc w:val="center"/>
              <w:rPr>
                <w:rFonts w:cs="Arial"/>
                <w:bCs/>
                <w:sz w:val="16"/>
                <w:szCs w:val="16"/>
              </w:rPr>
            </w:pPr>
            <w:r>
              <w:rPr>
                <w:rFonts w:cs="Arial"/>
                <w:bCs/>
                <w:sz w:val="16"/>
                <w:szCs w:val="16"/>
              </w:rPr>
              <w:t>964</w:t>
            </w:r>
          </w:p>
        </w:tc>
      </w:tr>
      <w:tr w:rsidR="00D671DA" w:rsidRPr="00575698" w:rsidTr="00E362C0">
        <w:tc>
          <w:tcPr>
            <w:tcW w:w="4077" w:type="dxa"/>
            <w:tcBorders>
              <w:bottom w:val="double" w:sz="4" w:space="0" w:color="auto"/>
            </w:tcBorders>
          </w:tcPr>
          <w:p w:rsidR="00D671DA" w:rsidRPr="00575698" w:rsidRDefault="00D671DA" w:rsidP="00E362C0">
            <w:pPr>
              <w:jc w:val="both"/>
              <w:rPr>
                <w:rFonts w:cs="Arial"/>
                <w:bCs/>
                <w:sz w:val="16"/>
                <w:szCs w:val="16"/>
              </w:rPr>
            </w:pPr>
            <w:r w:rsidRPr="00575698">
              <w:rPr>
                <w:rFonts w:cs="Arial"/>
                <w:bCs/>
                <w:sz w:val="16"/>
                <w:szCs w:val="16"/>
              </w:rPr>
              <w:t>Земля</w:t>
            </w:r>
            <w:r>
              <w:rPr>
                <w:rFonts w:cs="Arial"/>
                <w:bCs/>
                <w:sz w:val="16"/>
                <w:szCs w:val="16"/>
              </w:rPr>
              <w:t xml:space="preserve"> (20 участков)</w:t>
            </w:r>
          </w:p>
        </w:tc>
        <w:tc>
          <w:tcPr>
            <w:tcW w:w="1843" w:type="dxa"/>
            <w:tcBorders>
              <w:bottom w:val="double" w:sz="4" w:space="0" w:color="auto"/>
            </w:tcBorders>
          </w:tcPr>
          <w:p w:rsidR="00D671DA" w:rsidRPr="00575698" w:rsidRDefault="00D671DA" w:rsidP="00E362C0">
            <w:pPr>
              <w:jc w:val="center"/>
              <w:rPr>
                <w:rFonts w:cs="Arial"/>
                <w:bCs/>
                <w:sz w:val="16"/>
                <w:szCs w:val="16"/>
              </w:rPr>
            </w:pPr>
            <w:r w:rsidRPr="00575698">
              <w:rPr>
                <w:rFonts w:cs="Arial"/>
                <w:bCs/>
                <w:sz w:val="16"/>
                <w:szCs w:val="16"/>
              </w:rPr>
              <w:t>1</w:t>
            </w:r>
            <w:r>
              <w:rPr>
                <w:rFonts w:cs="Arial"/>
                <w:bCs/>
                <w:sz w:val="16"/>
                <w:szCs w:val="16"/>
              </w:rPr>
              <w:t xml:space="preserve"> </w:t>
            </w:r>
            <w:r w:rsidRPr="00575698">
              <w:rPr>
                <w:rFonts w:cs="Arial"/>
                <w:bCs/>
                <w:sz w:val="16"/>
                <w:szCs w:val="16"/>
              </w:rPr>
              <w:t>142</w:t>
            </w:r>
          </w:p>
        </w:tc>
        <w:tc>
          <w:tcPr>
            <w:tcW w:w="1701" w:type="dxa"/>
            <w:tcBorders>
              <w:bottom w:val="double" w:sz="4" w:space="0" w:color="auto"/>
            </w:tcBorders>
          </w:tcPr>
          <w:p w:rsidR="00D671DA" w:rsidRPr="00575698" w:rsidRDefault="00D671DA" w:rsidP="00E362C0">
            <w:pPr>
              <w:jc w:val="center"/>
              <w:rPr>
                <w:rFonts w:cs="Arial"/>
                <w:bCs/>
                <w:sz w:val="16"/>
                <w:szCs w:val="16"/>
              </w:rPr>
            </w:pPr>
            <w:r w:rsidRPr="00575698">
              <w:rPr>
                <w:rFonts w:cs="Arial"/>
                <w:bCs/>
                <w:sz w:val="16"/>
                <w:szCs w:val="16"/>
              </w:rPr>
              <w:t>нет</w:t>
            </w:r>
          </w:p>
        </w:tc>
        <w:tc>
          <w:tcPr>
            <w:tcW w:w="1949" w:type="dxa"/>
            <w:tcBorders>
              <w:bottom w:val="double" w:sz="4" w:space="0" w:color="auto"/>
            </w:tcBorders>
          </w:tcPr>
          <w:p w:rsidR="00D671DA" w:rsidRPr="00575698" w:rsidRDefault="00D671DA" w:rsidP="00E362C0">
            <w:pPr>
              <w:jc w:val="center"/>
              <w:rPr>
                <w:rFonts w:cs="Arial"/>
                <w:bCs/>
                <w:sz w:val="16"/>
                <w:szCs w:val="16"/>
              </w:rPr>
            </w:pPr>
            <w:r w:rsidRPr="00575698">
              <w:rPr>
                <w:rFonts w:cs="Arial"/>
                <w:bCs/>
                <w:sz w:val="16"/>
                <w:szCs w:val="16"/>
              </w:rPr>
              <w:t>96</w:t>
            </w:r>
          </w:p>
        </w:tc>
      </w:tr>
    </w:tbl>
    <w:p w:rsidR="00D671DA" w:rsidRDefault="00D671DA" w:rsidP="00D671DA">
      <w:pPr>
        <w:jc w:val="both"/>
        <w:rPr>
          <w:rFonts w:cs="Arial"/>
          <w:bCs/>
          <w:sz w:val="20"/>
          <w:szCs w:val="20"/>
        </w:rPr>
      </w:pPr>
    </w:p>
    <w:p w:rsidR="00D671DA" w:rsidRPr="00D671DA" w:rsidRDefault="00D671DA" w:rsidP="00D671DA">
      <w:pPr>
        <w:jc w:val="both"/>
        <w:rPr>
          <w:rFonts w:cs="Arial"/>
          <w:bCs/>
          <w:sz w:val="20"/>
          <w:szCs w:val="20"/>
          <w:lang w:val="ru-RU"/>
        </w:rPr>
      </w:pPr>
      <w:r w:rsidRPr="00D671DA">
        <w:rPr>
          <w:rFonts w:cs="Arial"/>
          <w:bCs/>
          <w:sz w:val="20"/>
          <w:szCs w:val="20"/>
          <w:lang w:val="ru-RU"/>
        </w:rPr>
        <w:t>Платежей по условной арендной плате по договорам аренды у Банка нет.</w:t>
      </w:r>
    </w:p>
    <w:p w:rsidR="00D671DA" w:rsidRPr="00D671DA" w:rsidRDefault="00D671DA" w:rsidP="00D671DA">
      <w:pPr>
        <w:jc w:val="both"/>
        <w:rPr>
          <w:rFonts w:cs="Arial"/>
          <w:bCs/>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Информация о договорах аренды недвижимости:</w:t>
      </w:r>
    </w:p>
    <w:p w:rsidR="00D671DA" w:rsidRPr="00D671DA" w:rsidRDefault="00D671DA" w:rsidP="00D671DA">
      <w:pPr>
        <w:jc w:val="both"/>
        <w:rPr>
          <w:rFonts w:cs="Arial"/>
          <w:bCs/>
          <w:sz w:val="20"/>
          <w:szCs w:val="20"/>
          <w:lang w:val="ru-RU"/>
        </w:rPr>
      </w:pPr>
      <w:r w:rsidRPr="00D671DA">
        <w:rPr>
          <w:rFonts w:cs="Arial"/>
          <w:bCs/>
          <w:sz w:val="20"/>
          <w:szCs w:val="20"/>
          <w:lang w:val="ru-RU"/>
        </w:rPr>
        <w:t>- основным принципом определения арендной платы является предельно допустимая простота расчета, в соответствии с которым арендная плата определяется от арендованной площади и/или стоимости 1 кв.м., кадастровой стоимости, месторасположения,</w:t>
      </w:r>
    </w:p>
    <w:p w:rsidR="00D671DA" w:rsidRPr="00D671DA" w:rsidRDefault="00D671DA" w:rsidP="00D671DA">
      <w:pPr>
        <w:jc w:val="both"/>
        <w:rPr>
          <w:rFonts w:cs="Arial"/>
          <w:bCs/>
          <w:sz w:val="20"/>
          <w:szCs w:val="20"/>
          <w:lang w:val="ru-RU"/>
        </w:rPr>
      </w:pPr>
      <w:r w:rsidRPr="00D671DA">
        <w:rPr>
          <w:rFonts w:cs="Arial"/>
          <w:bCs/>
          <w:sz w:val="20"/>
          <w:szCs w:val="20"/>
          <w:lang w:val="ru-RU"/>
        </w:rPr>
        <w:t>- не содержит права на приобретение арендованных активов,</w:t>
      </w:r>
    </w:p>
    <w:p w:rsidR="00D671DA" w:rsidRPr="00D671DA" w:rsidRDefault="00D671DA" w:rsidP="00D671DA">
      <w:pPr>
        <w:jc w:val="both"/>
        <w:rPr>
          <w:rFonts w:cs="Arial"/>
          <w:bCs/>
          <w:sz w:val="20"/>
          <w:szCs w:val="20"/>
          <w:lang w:val="ru-RU"/>
        </w:rPr>
      </w:pPr>
      <w:r w:rsidRPr="00D671DA">
        <w:rPr>
          <w:rFonts w:cs="Arial"/>
          <w:bCs/>
          <w:sz w:val="20"/>
          <w:szCs w:val="20"/>
          <w:lang w:val="ru-RU"/>
        </w:rPr>
        <w:t>- предусматривает пересмотр размера арендной платы при условии уведомления другой стороны,</w:t>
      </w:r>
    </w:p>
    <w:p w:rsidR="00D671DA" w:rsidRPr="00D671DA" w:rsidRDefault="00D671DA" w:rsidP="00D671DA">
      <w:pPr>
        <w:jc w:val="both"/>
        <w:rPr>
          <w:rFonts w:cs="Arial"/>
          <w:bCs/>
          <w:sz w:val="20"/>
          <w:szCs w:val="20"/>
          <w:lang w:val="ru-RU"/>
        </w:rPr>
      </w:pPr>
      <w:r w:rsidRPr="00D671DA">
        <w:rPr>
          <w:rFonts w:cs="Arial"/>
          <w:bCs/>
          <w:sz w:val="20"/>
          <w:szCs w:val="20"/>
          <w:lang w:val="ru-RU"/>
        </w:rPr>
        <w:t>- ограничений в договорах нет,</w:t>
      </w:r>
    </w:p>
    <w:p w:rsidR="00D671DA" w:rsidRPr="00D671DA" w:rsidRDefault="00D671DA" w:rsidP="00D671DA">
      <w:pPr>
        <w:jc w:val="both"/>
        <w:rPr>
          <w:rFonts w:cs="Arial"/>
          <w:bCs/>
          <w:sz w:val="20"/>
          <w:szCs w:val="20"/>
          <w:lang w:val="ru-RU"/>
        </w:rPr>
      </w:pPr>
      <w:r w:rsidRPr="00D671DA">
        <w:rPr>
          <w:rFonts w:cs="Arial"/>
          <w:bCs/>
          <w:sz w:val="20"/>
          <w:szCs w:val="20"/>
          <w:lang w:val="ru-RU"/>
        </w:rPr>
        <w:t>- право на продление договора аренды предусмотрено не во всех договорах:</w:t>
      </w:r>
    </w:p>
    <w:p w:rsidR="00D671DA" w:rsidRPr="00D671DA" w:rsidRDefault="00D671DA" w:rsidP="00D671DA">
      <w:pPr>
        <w:jc w:val="both"/>
        <w:rPr>
          <w:rFonts w:cs="Arial"/>
          <w:bCs/>
          <w:sz w:val="20"/>
          <w:szCs w:val="20"/>
          <w:lang w:val="ru-RU"/>
        </w:rPr>
      </w:pPr>
    </w:p>
    <w:tbl>
      <w:tblPr>
        <w:tblStyle w:val="aff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3687"/>
      </w:tblGrid>
      <w:tr w:rsidR="00D671DA" w:rsidRPr="0064050A" w:rsidTr="009B21EF">
        <w:trPr>
          <w:jc w:val="center"/>
        </w:trPr>
        <w:tc>
          <w:tcPr>
            <w:tcW w:w="4393" w:type="dxa"/>
            <w:tcBorders>
              <w:top w:val="single" w:sz="4" w:space="0" w:color="auto"/>
              <w:bottom w:val="single" w:sz="4" w:space="0" w:color="auto"/>
            </w:tcBorders>
          </w:tcPr>
          <w:p w:rsidR="00D671DA" w:rsidRPr="00D671DA" w:rsidRDefault="00D671DA" w:rsidP="00E362C0">
            <w:pPr>
              <w:jc w:val="both"/>
              <w:rPr>
                <w:rFonts w:cs="Arial"/>
                <w:bCs/>
                <w:sz w:val="16"/>
                <w:szCs w:val="16"/>
                <w:lang w:val="ru-RU"/>
              </w:rPr>
            </w:pPr>
          </w:p>
        </w:tc>
        <w:tc>
          <w:tcPr>
            <w:tcW w:w="3687" w:type="dxa"/>
            <w:tcBorders>
              <w:top w:val="single" w:sz="4" w:space="0" w:color="auto"/>
              <w:bottom w:val="single" w:sz="4" w:space="0" w:color="auto"/>
            </w:tcBorders>
          </w:tcPr>
          <w:p w:rsidR="00D671DA" w:rsidRDefault="00D671DA" w:rsidP="00E362C0">
            <w:pPr>
              <w:jc w:val="center"/>
              <w:rPr>
                <w:rFonts w:cs="Arial"/>
                <w:b/>
                <w:bCs/>
                <w:sz w:val="16"/>
                <w:szCs w:val="16"/>
              </w:rPr>
            </w:pPr>
            <w:r w:rsidRPr="00AE5E87">
              <w:rPr>
                <w:rFonts w:cs="Arial"/>
                <w:b/>
                <w:bCs/>
                <w:sz w:val="16"/>
                <w:szCs w:val="16"/>
              </w:rPr>
              <w:t xml:space="preserve">Количество договоров </w:t>
            </w:r>
          </w:p>
          <w:p w:rsidR="00D671DA" w:rsidRPr="00AE5E87" w:rsidRDefault="00D671DA" w:rsidP="00E362C0">
            <w:pPr>
              <w:jc w:val="center"/>
              <w:rPr>
                <w:rFonts w:cs="Arial"/>
                <w:b/>
                <w:bCs/>
                <w:sz w:val="16"/>
                <w:szCs w:val="16"/>
              </w:rPr>
            </w:pPr>
            <w:r w:rsidRPr="00AE5E87">
              <w:rPr>
                <w:rFonts w:cs="Arial"/>
                <w:b/>
                <w:bCs/>
                <w:sz w:val="16"/>
                <w:szCs w:val="16"/>
              </w:rPr>
              <w:t xml:space="preserve">за 31.12.2018, </w:t>
            </w:r>
            <w:r>
              <w:rPr>
                <w:rFonts w:cs="Arial"/>
                <w:b/>
                <w:bCs/>
                <w:sz w:val="16"/>
                <w:szCs w:val="16"/>
              </w:rPr>
              <w:t>ед</w:t>
            </w:r>
            <w:r w:rsidRPr="00AE5E87">
              <w:rPr>
                <w:rFonts w:cs="Arial"/>
                <w:b/>
                <w:bCs/>
                <w:sz w:val="16"/>
                <w:szCs w:val="16"/>
              </w:rPr>
              <w:t>.</w:t>
            </w:r>
          </w:p>
        </w:tc>
      </w:tr>
      <w:tr w:rsidR="00D671DA" w:rsidRPr="0064050A" w:rsidTr="009B21EF">
        <w:trPr>
          <w:jc w:val="center"/>
        </w:trPr>
        <w:tc>
          <w:tcPr>
            <w:tcW w:w="4393" w:type="dxa"/>
            <w:tcBorders>
              <w:top w:val="single" w:sz="4" w:space="0" w:color="auto"/>
            </w:tcBorders>
          </w:tcPr>
          <w:p w:rsidR="00D671DA" w:rsidRPr="00D671DA" w:rsidRDefault="00D671DA" w:rsidP="00E362C0">
            <w:pPr>
              <w:jc w:val="both"/>
              <w:rPr>
                <w:rFonts w:cs="Arial"/>
                <w:b/>
                <w:bCs/>
                <w:sz w:val="16"/>
                <w:szCs w:val="16"/>
                <w:lang w:val="ru-RU"/>
              </w:rPr>
            </w:pPr>
            <w:r w:rsidRPr="00D671DA">
              <w:rPr>
                <w:rFonts w:cs="Arial"/>
                <w:b/>
                <w:bCs/>
                <w:sz w:val="16"/>
                <w:szCs w:val="16"/>
                <w:lang w:val="ru-RU"/>
              </w:rPr>
              <w:t>Договора аренды недвижимости всего, в т.ч.</w:t>
            </w:r>
          </w:p>
        </w:tc>
        <w:tc>
          <w:tcPr>
            <w:tcW w:w="3687" w:type="dxa"/>
            <w:tcBorders>
              <w:top w:val="single" w:sz="4" w:space="0" w:color="auto"/>
            </w:tcBorders>
          </w:tcPr>
          <w:p w:rsidR="00D671DA" w:rsidRPr="00AE5E87" w:rsidRDefault="00D671DA" w:rsidP="00E362C0">
            <w:pPr>
              <w:jc w:val="center"/>
              <w:rPr>
                <w:rFonts w:cs="Arial"/>
                <w:b/>
                <w:bCs/>
                <w:sz w:val="16"/>
                <w:szCs w:val="16"/>
              </w:rPr>
            </w:pPr>
            <w:r w:rsidRPr="00AE5E87">
              <w:rPr>
                <w:rFonts w:cs="Arial"/>
                <w:b/>
                <w:bCs/>
                <w:sz w:val="16"/>
                <w:szCs w:val="16"/>
              </w:rPr>
              <w:t>39</w:t>
            </w:r>
          </w:p>
        </w:tc>
      </w:tr>
      <w:tr w:rsidR="00D671DA" w:rsidRPr="0064050A" w:rsidTr="009B21EF">
        <w:trPr>
          <w:jc w:val="center"/>
        </w:trPr>
        <w:tc>
          <w:tcPr>
            <w:tcW w:w="4393" w:type="dxa"/>
          </w:tcPr>
          <w:p w:rsidR="00D671DA" w:rsidRPr="0064050A" w:rsidRDefault="00D671DA" w:rsidP="00E362C0">
            <w:pPr>
              <w:jc w:val="both"/>
              <w:rPr>
                <w:rFonts w:cs="Arial"/>
                <w:bCs/>
                <w:sz w:val="16"/>
                <w:szCs w:val="16"/>
              </w:rPr>
            </w:pPr>
            <w:r>
              <w:rPr>
                <w:rFonts w:cs="Arial"/>
                <w:bCs/>
                <w:sz w:val="16"/>
                <w:szCs w:val="16"/>
              </w:rPr>
              <w:t>- с правом продления аренды</w:t>
            </w:r>
          </w:p>
        </w:tc>
        <w:tc>
          <w:tcPr>
            <w:tcW w:w="3687" w:type="dxa"/>
          </w:tcPr>
          <w:p w:rsidR="00D671DA" w:rsidRPr="0064050A" w:rsidRDefault="00D671DA" w:rsidP="00E362C0">
            <w:pPr>
              <w:jc w:val="center"/>
              <w:rPr>
                <w:rFonts w:cs="Arial"/>
                <w:bCs/>
                <w:sz w:val="16"/>
                <w:szCs w:val="16"/>
              </w:rPr>
            </w:pPr>
            <w:r>
              <w:rPr>
                <w:rFonts w:cs="Arial"/>
                <w:bCs/>
                <w:sz w:val="16"/>
                <w:szCs w:val="16"/>
              </w:rPr>
              <w:t>22</w:t>
            </w:r>
          </w:p>
        </w:tc>
      </w:tr>
      <w:tr w:rsidR="00D671DA" w:rsidRPr="0064050A" w:rsidTr="009B21EF">
        <w:trPr>
          <w:jc w:val="center"/>
        </w:trPr>
        <w:tc>
          <w:tcPr>
            <w:tcW w:w="4393" w:type="dxa"/>
          </w:tcPr>
          <w:p w:rsidR="00D671DA" w:rsidRDefault="00D671DA" w:rsidP="00E362C0">
            <w:pPr>
              <w:jc w:val="both"/>
              <w:rPr>
                <w:rFonts w:cs="Arial"/>
                <w:bCs/>
                <w:sz w:val="16"/>
                <w:szCs w:val="16"/>
              </w:rPr>
            </w:pPr>
            <w:r>
              <w:rPr>
                <w:rFonts w:cs="Arial"/>
                <w:bCs/>
                <w:sz w:val="16"/>
                <w:szCs w:val="16"/>
              </w:rPr>
              <w:t>- без права продления</w:t>
            </w:r>
          </w:p>
        </w:tc>
        <w:tc>
          <w:tcPr>
            <w:tcW w:w="3687" w:type="dxa"/>
          </w:tcPr>
          <w:p w:rsidR="00D671DA" w:rsidRPr="0064050A" w:rsidRDefault="00D671DA" w:rsidP="00E362C0">
            <w:pPr>
              <w:jc w:val="center"/>
              <w:rPr>
                <w:rFonts w:cs="Arial"/>
                <w:bCs/>
                <w:sz w:val="16"/>
                <w:szCs w:val="16"/>
              </w:rPr>
            </w:pPr>
            <w:r>
              <w:rPr>
                <w:rFonts w:cs="Arial"/>
                <w:bCs/>
                <w:sz w:val="16"/>
                <w:szCs w:val="16"/>
              </w:rPr>
              <w:t>17</w:t>
            </w:r>
          </w:p>
        </w:tc>
      </w:tr>
      <w:tr w:rsidR="00D671DA" w:rsidRPr="0064050A" w:rsidTr="009B21EF">
        <w:trPr>
          <w:jc w:val="center"/>
        </w:trPr>
        <w:tc>
          <w:tcPr>
            <w:tcW w:w="4393" w:type="dxa"/>
          </w:tcPr>
          <w:p w:rsidR="00D671DA" w:rsidRPr="00D671DA" w:rsidRDefault="00D671DA" w:rsidP="00E362C0">
            <w:pPr>
              <w:jc w:val="both"/>
              <w:rPr>
                <w:rFonts w:cs="Arial"/>
                <w:b/>
                <w:bCs/>
                <w:sz w:val="16"/>
                <w:szCs w:val="16"/>
                <w:lang w:val="ru-RU"/>
              </w:rPr>
            </w:pPr>
            <w:r w:rsidRPr="00D671DA">
              <w:rPr>
                <w:rFonts w:cs="Arial"/>
                <w:b/>
                <w:bCs/>
                <w:sz w:val="16"/>
                <w:szCs w:val="16"/>
                <w:lang w:val="ru-RU"/>
              </w:rPr>
              <w:t>Договора субаренды недвижимости всего, в т.ч.</w:t>
            </w:r>
          </w:p>
        </w:tc>
        <w:tc>
          <w:tcPr>
            <w:tcW w:w="3687" w:type="dxa"/>
          </w:tcPr>
          <w:p w:rsidR="00D671DA" w:rsidRPr="00AE5E87" w:rsidRDefault="00D671DA" w:rsidP="00E362C0">
            <w:pPr>
              <w:jc w:val="center"/>
              <w:rPr>
                <w:rFonts w:cs="Arial"/>
                <w:b/>
                <w:bCs/>
                <w:sz w:val="16"/>
                <w:szCs w:val="16"/>
              </w:rPr>
            </w:pPr>
            <w:r w:rsidRPr="00AE5E87">
              <w:rPr>
                <w:rFonts w:cs="Arial"/>
                <w:b/>
                <w:bCs/>
                <w:sz w:val="16"/>
                <w:szCs w:val="16"/>
              </w:rPr>
              <w:t>17</w:t>
            </w:r>
          </w:p>
        </w:tc>
      </w:tr>
      <w:tr w:rsidR="00D671DA" w:rsidRPr="0064050A" w:rsidTr="009B21EF">
        <w:trPr>
          <w:jc w:val="center"/>
        </w:trPr>
        <w:tc>
          <w:tcPr>
            <w:tcW w:w="4393" w:type="dxa"/>
          </w:tcPr>
          <w:p w:rsidR="00D671DA" w:rsidRPr="0064050A" w:rsidRDefault="00D671DA" w:rsidP="00E362C0">
            <w:pPr>
              <w:jc w:val="both"/>
              <w:rPr>
                <w:rFonts w:cs="Arial"/>
                <w:bCs/>
                <w:sz w:val="16"/>
                <w:szCs w:val="16"/>
              </w:rPr>
            </w:pPr>
            <w:r>
              <w:rPr>
                <w:rFonts w:cs="Arial"/>
                <w:bCs/>
                <w:sz w:val="16"/>
                <w:szCs w:val="16"/>
              </w:rPr>
              <w:t>- с правом продления аренды</w:t>
            </w:r>
          </w:p>
        </w:tc>
        <w:tc>
          <w:tcPr>
            <w:tcW w:w="3687" w:type="dxa"/>
          </w:tcPr>
          <w:p w:rsidR="00D671DA" w:rsidRDefault="00D671DA" w:rsidP="00E362C0">
            <w:pPr>
              <w:jc w:val="center"/>
              <w:rPr>
                <w:rFonts w:cs="Arial"/>
                <w:bCs/>
                <w:sz w:val="16"/>
                <w:szCs w:val="16"/>
              </w:rPr>
            </w:pPr>
            <w:r>
              <w:rPr>
                <w:rFonts w:cs="Arial"/>
                <w:bCs/>
                <w:sz w:val="16"/>
                <w:szCs w:val="16"/>
              </w:rPr>
              <w:t>15</w:t>
            </w:r>
          </w:p>
        </w:tc>
      </w:tr>
      <w:tr w:rsidR="00D671DA" w:rsidRPr="0064050A" w:rsidTr="009B21EF">
        <w:trPr>
          <w:jc w:val="center"/>
        </w:trPr>
        <w:tc>
          <w:tcPr>
            <w:tcW w:w="4393" w:type="dxa"/>
            <w:tcBorders>
              <w:bottom w:val="single" w:sz="4" w:space="0" w:color="auto"/>
            </w:tcBorders>
          </w:tcPr>
          <w:p w:rsidR="00D671DA" w:rsidRDefault="00D671DA" w:rsidP="00E362C0">
            <w:pPr>
              <w:jc w:val="both"/>
              <w:rPr>
                <w:rFonts w:cs="Arial"/>
                <w:bCs/>
                <w:sz w:val="16"/>
                <w:szCs w:val="16"/>
              </w:rPr>
            </w:pPr>
            <w:r>
              <w:rPr>
                <w:rFonts w:cs="Arial"/>
                <w:bCs/>
                <w:sz w:val="16"/>
                <w:szCs w:val="16"/>
              </w:rPr>
              <w:t>- без права продления</w:t>
            </w:r>
          </w:p>
        </w:tc>
        <w:tc>
          <w:tcPr>
            <w:tcW w:w="3687" w:type="dxa"/>
            <w:tcBorders>
              <w:bottom w:val="single" w:sz="4" w:space="0" w:color="auto"/>
            </w:tcBorders>
          </w:tcPr>
          <w:p w:rsidR="00D671DA" w:rsidRDefault="00D671DA" w:rsidP="00E362C0">
            <w:pPr>
              <w:jc w:val="center"/>
              <w:rPr>
                <w:rFonts w:cs="Arial"/>
                <w:bCs/>
                <w:sz w:val="16"/>
                <w:szCs w:val="16"/>
              </w:rPr>
            </w:pPr>
            <w:r>
              <w:rPr>
                <w:rFonts w:cs="Arial"/>
                <w:bCs/>
                <w:sz w:val="16"/>
                <w:szCs w:val="16"/>
              </w:rPr>
              <w:t>2</w:t>
            </w:r>
          </w:p>
        </w:tc>
      </w:tr>
      <w:tr w:rsidR="00D671DA" w:rsidRPr="0064050A" w:rsidTr="009B21EF">
        <w:trPr>
          <w:jc w:val="center"/>
        </w:trPr>
        <w:tc>
          <w:tcPr>
            <w:tcW w:w="4393" w:type="dxa"/>
            <w:tcBorders>
              <w:top w:val="single" w:sz="4" w:space="0" w:color="auto"/>
              <w:bottom w:val="double" w:sz="4" w:space="0" w:color="auto"/>
            </w:tcBorders>
          </w:tcPr>
          <w:p w:rsidR="00D671DA" w:rsidRPr="00AE5E87" w:rsidRDefault="00D671DA" w:rsidP="00E362C0">
            <w:pPr>
              <w:jc w:val="both"/>
              <w:rPr>
                <w:rFonts w:cs="Arial"/>
                <w:b/>
                <w:bCs/>
                <w:sz w:val="16"/>
                <w:szCs w:val="16"/>
              </w:rPr>
            </w:pPr>
            <w:r w:rsidRPr="00AE5E87">
              <w:rPr>
                <w:rFonts w:cs="Arial"/>
                <w:b/>
                <w:bCs/>
                <w:sz w:val="16"/>
                <w:szCs w:val="16"/>
              </w:rPr>
              <w:t>Всего договоров</w:t>
            </w:r>
          </w:p>
        </w:tc>
        <w:tc>
          <w:tcPr>
            <w:tcW w:w="3687" w:type="dxa"/>
            <w:tcBorders>
              <w:top w:val="single" w:sz="4" w:space="0" w:color="auto"/>
              <w:bottom w:val="double" w:sz="4" w:space="0" w:color="auto"/>
            </w:tcBorders>
          </w:tcPr>
          <w:p w:rsidR="00D671DA" w:rsidRPr="00AE5E87" w:rsidRDefault="00D671DA" w:rsidP="00E362C0">
            <w:pPr>
              <w:jc w:val="center"/>
              <w:rPr>
                <w:rFonts w:cs="Arial"/>
                <w:b/>
                <w:bCs/>
                <w:sz w:val="16"/>
                <w:szCs w:val="16"/>
              </w:rPr>
            </w:pPr>
            <w:r w:rsidRPr="00AE5E87">
              <w:rPr>
                <w:rFonts w:cs="Arial"/>
                <w:b/>
                <w:bCs/>
                <w:sz w:val="16"/>
                <w:szCs w:val="16"/>
              </w:rPr>
              <w:t>56</w:t>
            </w:r>
          </w:p>
        </w:tc>
      </w:tr>
    </w:tbl>
    <w:p w:rsidR="00D671DA" w:rsidRDefault="00D671DA" w:rsidP="00D671DA">
      <w:pPr>
        <w:jc w:val="both"/>
        <w:rPr>
          <w:rFonts w:cs="Arial"/>
          <w:bCs/>
          <w:sz w:val="20"/>
          <w:szCs w:val="20"/>
        </w:rPr>
      </w:pPr>
    </w:p>
    <w:p w:rsidR="00D671DA" w:rsidRPr="00D671DA" w:rsidRDefault="00D671DA" w:rsidP="00D671DA">
      <w:pPr>
        <w:jc w:val="both"/>
        <w:rPr>
          <w:rFonts w:cs="Arial"/>
          <w:bCs/>
          <w:sz w:val="20"/>
          <w:szCs w:val="20"/>
          <w:lang w:val="ru-RU"/>
        </w:rPr>
      </w:pPr>
      <w:r w:rsidRPr="00D671DA">
        <w:rPr>
          <w:rFonts w:cs="Arial"/>
          <w:bCs/>
          <w:sz w:val="20"/>
          <w:szCs w:val="20"/>
          <w:lang w:val="ru-RU"/>
        </w:rPr>
        <w:t>Изменения в объектах аренды (капитальный ремонт, неотделимые улучшения) Банком в отчетном периоде не производились.</w:t>
      </w:r>
    </w:p>
    <w:p w:rsidR="00D671DA" w:rsidRPr="00D671DA" w:rsidRDefault="00D671DA" w:rsidP="00D671DA">
      <w:pPr>
        <w:jc w:val="both"/>
        <w:rPr>
          <w:rFonts w:cs="Arial"/>
          <w:bCs/>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 xml:space="preserve">Договора аренды земельных участков содержат аналогичные положения. Кроме того, два договора аренды на земли содержат право последующего выкупа. </w:t>
      </w:r>
    </w:p>
    <w:p w:rsidR="00D671DA" w:rsidRPr="00D671DA" w:rsidRDefault="00D671DA" w:rsidP="00D671DA">
      <w:pPr>
        <w:jc w:val="both"/>
        <w:rPr>
          <w:rFonts w:cs="Arial"/>
          <w:bCs/>
          <w:sz w:val="20"/>
          <w:szCs w:val="20"/>
          <w:lang w:val="ru-RU"/>
        </w:rPr>
      </w:pPr>
      <w:r w:rsidRPr="00D671DA">
        <w:rPr>
          <w:rFonts w:cs="Arial"/>
          <w:bCs/>
          <w:sz w:val="20"/>
          <w:szCs w:val="20"/>
          <w:lang w:val="ru-RU"/>
        </w:rPr>
        <w:t xml:space="preserve">  </w:t>
      </w:r>
    </w:p>
    <w:p w:rsidR="00D671DA" w:rsidRPr="00D671DA" w:rsidRDefault="00D671DA" w:rsidP="00D671DA">
      <w:pPr>
        <w:jc w:val="both"/>
        <w:rPr>
          <w:rFonts w:cs="Arial"/>
          <w:bCs/>
          <w:sz w:val="20"/>
          <w:szCs w:val="20"/>
          <w:lang w:val="ru-RU"/>
        </w:rPr>
      </w:pPr>
      <w:r w:rsidRPr="00D671DA">
        <w:rPr>
          <w:rFonts w:cs="Arial"/>
          <w:b/>
          <w:bCs/>
          <w:sz w:val="20"/>
          <w:szCs w:val="20"/>
          <w:lang w:val="ru-RU"/>
        </w:rPr>
        <w:t>Информация по договорам операционной аренды, по которым</w:t>
      </w:r>
      <w:r w:rsidRPr="00D671DA">
        <w:rPr>
          <w:rFonts w:cs="Arial"/>
          <w:bCs/>
          <w:sz w:val="20"/>
          <w:szCs w:val="20"/>
          <w:lang w:val="ru-RU"/>
        </w:rPr>
        <w:t xml:space="preserve"> </w:t>
      </w:r>
      <w:r w:rsidRPr="00D671DA">
        <w:rPr>
          <w:rFonts w:cs="Arial"/>
          <w:b/>
          <w:bCs/>
          <w:sz w:val="20"/>
          <w:szCs w:val="20"/>
          <w:lang w:val="ru-RU"/>
        </w:rPr>
        <w:t xml:space="preserve">Банк - арендодатель </w:t>
      </w:r>
    </w:p>
    <w:p w:rsidR="00D671DA" w:rsidRPr="00D671DA" w:rsidRDefault="00D671DA" w:rsidP="00D671DA">
      <w:pPr>
        <w:jc w:val="both"/>
        <w:rPr>
          <w:rFonts w:cs="Arial"/>
          <w:bCs/>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Банк не заключает договора операционной аренды без права досрочного прекращения.</w:t>
      </w:r>
    </w:p>
    <w:p w:rsidR="00D671DA" w:rsidRPr="00D671DA" w:rsidRDefault="00D671DA" w:rsidP="00D671DA">
      <w:pPr>
        <w:jc w:val="both"/>
        <w:rPr>
          <w:rFonts w:cs="Arial"/>
          <w:bCs/>
          <w:color w:val="FF0000"/>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Всего Банком, как арендодателем заключено 38 договоров аренды. Доходы от арендных платежей в отчетном периоде составили 5 258 тыс.</w:t>
      </w:r>
      <w:r w:rsidR="00B73CE7">
        <w:rPr>
          <w:rFonts w:cs="Arial"/>
          <w:bCs/>
          <w:sz w:val="20"/>
          <w:szCs w:val="20"/>
          <w:lang w:val="ru-RU"/>
        </w:rPr>
        <w:t xml:space="preserve"> </w:t>
      </w:r>
      <w:r w:rsidRPr="00D671DA">
        <w:rPr>
          <w:rFonts w:cs="Arial"/>
          <w:bCs/>
          <w:sz w:val="20"/>
          <w:szCs w:val="20"/>
          <w:lang w:val="ru-RU"/>
        </w:rPr>
        <w:t>руб., условных платежей по арендной плате, признанных в качестве доходов нет.</w:t>
      </w:r>
    </w:p>
    <w:p w:rsidR="00D671DA" w:rsidRPr="00D671DA" w:rsidRDefault="00D671DA" w:rsidP="00D671DA">
      <w:pPr>
        <w:jc w:val="both"/>
        <w:rPr>
          <w:rFonts w:cs="Arial"/>
          <w:bCs/>
          <w:sz w:val="20"/>
          <w:szCs w:val="20"/>
          <w:lang w:val="ru-RU"/>
        </w:rPr>
      </w:pPr>
      <w:r w:rsidRPr="00D671DA">
        <w:rPr>
          <w:rFonts w:cs="Arial"/>
          <w:bCs/>
          <w:sz w:val="20"/>
          <w:szCs w:val="20"/>
          <w:lang w:val="ru-RU"/>
        </w:rPr>
        <w:t>Основную часть доходов Банка как арендодателя составляют доходы от сдачи в аренду основных средств Банка 4</w:t>
      </w:r>
      <w:r>
        <w:rPr>
          <w:rFonts w:cs="Arial"/>
          <w:bCs/>
          <w:sz w:val="20"/>
          <w:szCs w:val="20"/>
        </w:rPr>
        <w:t> </w:t>
      </w:r>
      <w:r w:rsidRPr="00D671DA">
        <w:rPr>
          <w:rFonts w:cs="Arial"/>
          <w:bCs/>
          <w:sz w:val="20"/>
          <w:szCs w:val="20"/>
          <w:lang w:val="ru-RU"/>
        </w:rPr>
        <w:t>447 тыс.</w:t>
      </w:r>
      <w:r w:rsidR="00B73CE7">
        <w:rPr>
          <w:rFonts w:cs="Arial"/>
          <w:bCs/>
          <w:sz w:val="20"/>
          <w:szCs w:val="20"/>
          <w:lang w:val="ru-RU"/>
        </w:rPr>
        <w:t xml:space="preserve"> </w:t>
      </w:r>
      <w:r w:rsidRPr="00D671DA">
        <w:rPr>
          <w:rFonts w:cs="Arial"/>
          <w:bCs/>
          <w:sz w:val="20"/>
          <w:szCs w:val="20"/>
          <w:lang w:val="ru-RU"/>
        </w:rPr>
        <w:t>руб.</w:t>
      </w:r>
    </w:p>
    <w:p w:rsidR="00D671DA" w:rsidRPr="00D671DA" w:rsidRDefault="00D671DA" w:rsidP="00D671DA">
      <w:pPr>
        <w:jc w:val="both"/>
        <w:rPr>
          <w:rFonts w:cs="Arial"/>
          <w:bCs/>
          <w:color w:val="FF0000"/>
          <w:sz w:val="20"/>
          <w:szCs w:val="20"/>
          <w:lang w:val="ru-RU"/>
        </w:rPr>
      </w:pPr>
    </w:p>
    <w:p w:rsidR="00D671DA" w:rsidRPr="00D671DA" w:rsidRDefault="00D671DA" w:rsidP="00D671DA">
      <w:pPr>
        <w:jc w:val="both"/>
        <w:rPr>
          <w:rFonts w:cs="Arial"/>
          <w:bCs/>
          <w:sz w:val="20"/>
          <w:szCs w:val="20"/>
          <w:lang w:val="ru-RU"/>
        </w:rPr>
      </w:pPr>
      <w:r w:rsidRPr="00D671DA">
        <w:rPr>
          <w:rFonts w:cs="Arial"/>
          <w:bCs/>
          <w:sz w:val="20"/>
          <w:szCs w:val="20"/>
          <w:lang w:val="ru-RU"/>
        </w:rPr>
        <w:t>Общие характеристики договоров аренды:</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t>предметом договора является недвижимость жилая/нежилая,</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t>недвижимость передается во временное владение и пользование,</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lastRenderedPageBreak/>
        <w:t>объекты недвижимости свободны от права третьих лиц,</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t>арендная плата вносится ежемесячно,</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t>изменения размера арендной платы при условии уведомления другой стороны,</w:t>
      </w:r>
    </w:p>
    <w:p w:rsidR="00D671DA" w:rsidRPr="00B73CE7" w:rsidRDefault="00D671DA" w:rsidP="00FC5D59">
      <w:pPr>
        <w:pStyle w:val="afd"/>
        <w:numPr>
          <w:ilvl w:val="0"/>
          <w:numId w:val="76"/>
        </w:numPr>
        <w:tabs>
          <w:tab w:val="left" w:pos="851"/>
        </w:tabs>
        <w:ind w:left="0" w:firstLine="567"/>
        <w:jc w:val="both"/>
        <w:rPr>
          <w:rFonts w:cs="Arial"/>
          <w:bCs/>
          <w:sz w:val="20"/>
          <w:szCs w:val="20"/>
          <w:lang w:val="ru-RU"/>
        </w:rPr>
      </w:pPr>
      <w:r w:rsidRPr="00B73CE7">
        <w:rPr>
          <w:rFonts w:cs="Arial"/>
          <w:bCs/>
          <w:sz w:val="20"/>
          <w:szCs w:val="20"/>
          <w:lang w:val="ru-RU"/>
        </w:rPr>
        <w:t>договора аренды могут быть расторгнуты досрочно.</w:t>
      </w:r>
    </w:p>
    <w:p w:rsidR="00D671DA" w:rsidRPr="00D671DA" w:rsidRDefault="00D671DA" w:rsidP="00D671DA">
      <w:pPr>
        <w:rPr>
          <w:color w:val="FF0000"/>
          <w:sz w:val="20"/>
          <w:szCs w:val="20"/>
          <w:lang w:val="ru-RU"/>
        </w:rPr>
      </w:pPr>
      <w:bookmarkStart w:id="21" w:name="Par26"/>
      <w:bookmarkEnd w:id="21"/>
    </w:p>
    <w:p w:rsidR="00D671DA" w:rsidRPr="00D671DA" w:rsidRDefault="00D671DA" w:rsidP="00D671DA">
      <w:pPr>
        <w:jc w:val="both"/>
        <w:rPr>
          <w:rFonts w:cs="Arial"/>
          <w:sz w:val="20"/>
          <w:szCs w:val="20"/>
          <w:lang w:val="ru-RU"/>
        </w:rPr>
      </w:pPr>
      <w:r w:rsidRPr="00D671DA">
        <w:rPr>
          <w:rFonts w:cs="Arial"/>
          <w:sz w:val="20"/>
          <w:szCs w:val="20"/>
          <w:lang w:val="ru-RU"/>
        </w:rPr>
        <w:t xml:space="preserve">Дополнительная информация об основных средствах и недвижимости, временно неиспользуемой в основной деятельности, переданных в аренду: </w:t>
      </w:r>
    </w:p>
    <w:p w:rsidR="00D671DA" w:rsidRPr="00D671DA" w:rsidRDefault="00D671DA" w:rsidP="00D671DA">
      <w:pPr>
        <w:jc w:val="both"/>
        <w:rPr>
          <w:rFonts w:cs="Arial"/>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851"/>
        <w:gridCol w:w="1134"/>
        <w:gridCol w:w="1276"/>
        <w:gridCol w:w="1417"/>
        <w:gridCol w:w="1371"/>
        <w:gridCol w:w="1145"/>
      </w:tblGrid>
      <w:tr w:rsidR="00D671DA" w:rsidRPr="00312221" w:rsidTr="00E362C0">
        <w:tc>
          <w:tcPr>
            <w:tcW w:w="2376" w:type="dxa"/>
            <w:vMerge w:val="restart"/>
            <w:tcBorders>
              <w:top w:val="single" w:sz="4" w:space="0" w:color="auto"/>
            </w:tcBorders>
          </w:tcPr>
          <w:p w:rsidR="00D671DA" w:rsidRPr="00D671DA" w:rsidRDefault="00D671DA" w:rsidP="00E362C0">
            <w:pPr>
              <w:jc w:val="both"/>
              <w:rPr>
                <w:rFonts w:cs="Arial"/>
                <w:sz w:val="16"/>
                <w:szCs w:val="16"/>
                <w:lang w:val="ru-RU"/>
              </w:rPr>
            </w:pPr>
          </w:p>
        </w:tc>
        <w:tc>
          <w:tcPr>
            <w:tcW w:w="851" w:type="dxa"/>
            <w:vMerge w:val="restart"/>
            <w:tcBorders>
              <w:top w:val="single" w:sz="4" w:space="0" w:color="auto"/>
            </w:tcBorders>
          </w:tcPr>
          <w:p w:rsidR="00D671DA" w:rsidRPr="00D671DA" w:rsidRDefault="00D671DA" w:rsidP="00E362C0">
            <w:pPr>
              <w:jc w:val="center"/>
              <w:rPr>
                <w:rFonts w:cs="Arial"/>
                <w:b/>
                <w:sz w:val="16"/>
                <w:szCs w:val="16"/>
                <w:lang w:val="ru-RU"/>
              </w:rPr>
            </w:pPr>
          </w:p>
          <w:p w:rsidR="00D671DA" w:rsidRPr="00936F99" w:rsidRDefault="00D671DA" w:rsidP="00E362C0">
            <w:pPr>
              <w:jc w:val="center"/>
              <w:rPr>
                <w:rFonts w:cs="Arial"/>
                <w:b/>
                <w:sz w:val="16"/>
                <w:szCs w:val="16"/>
              </w:rPr>
            </w:pPr>
            <w:r w:rsidRPr="00936F99">
              <w:rPr>
                <w:rFonts w:cs="Arial"/>
                <w:b/>
                <w:sz w:val="16"/>
                <w:szCs w:val="16"/>
              </w:rPr>
              <w:t>Количество</w:t>
            </w:r>
            <w:r>
              <w:rPr>
                <w:rFonts w:cs="Arial"/>
                <w:b/>
                <w:sz w:val="16"/>
                <w:szCs w:val="16"/>
              </w:rPr>
              <w:t>, ед.</w:t>
            </w:r>
          </w:p>
        </w:tc>
        <w:tc>
          <w:tcPr>
            <w:tcW w:w="1134" w:type="dxa"/>
            <w:vMerge w:val="restart"/>
            <w:tcBorders>
              <w:top w:val="single" w:sz="4" w:space="0" w:color="auto"/>
            </w:tcBorders>
          </w:tcPr>
          <w:p w:rsidR="00D671DA" w:rsidRDefault="00D671DA" w:rsidP="00E362C0">
            <w:pPr>
              <w:jc w:val="center"/>
              <w:rPr>
                <w:rFonts w:cs="Arial"/>
                <w:b/>
                <w:sz w:val="16"/>
                <w:szCs w:val="16"/>
              </w:rPr>
            </w:pPr>
          </w:p>
          <w:p w:rsidR="00D671DA" w:rsidRPr="00936F99" w:rsidRDefault="00D671DA" w:rsidP="00E362C0">
            <w:pPr>
              <w:jc w:val="center"/>
              <w:rPr>
                <w:rFonts w:cs="Arial"/>
                <w:b/>
                <w:sz w:val="16"/>
                <w:szCs w:val="16"/>
              </w:rPr>
            </w:pPr>
            <w:r w:rsidRPr="00936F99">
              <w:rPr>
                <w:rFonts w:cs="Arial"/>
                <w:b/>
                <w:sz w:val="16"/>
                <w:szCs w:val="16"/>
              </w:rPr>
              <w:t>Площадь</w:t>
            </w:r>
            <w:r>
              <w:rPr>
                <w:rFonts w:cs="Arial"/>
                <w:b/>
                <w:sz w:val="16"/>
                <w:szCs w:val="16"/>
              </w:rPr>
              <w:t>, кв.м.</w:t>
            </w:r>
          </w:p>
        </w:tc>
        <w:tc>
          <w:tcPr>
            <w:tcW w:w="1276" w:type="dxa"/>
            <w:vMerge w:val="restart"/>
            <w:tcBorders>
              <w:top w:val="single" w:sz="4" w:space="0" w:color="auto"/>
            </w:tcBorders>
          </w:tcPr>
          <w:p w:rsidR="00D671DA" w:rsidRDefault="00D671DA" w:rsidP="00E362C0">
            <w:pPr>
              <w:jc w:val="center"/>
              <w:rPr>
                <w:rFonts w:cs="Arial"/>
                <w:b/>
                <w:sz w:val="16"/>
                <w:szCs w:val="16"/>
              </w:rPr>
            </w:pPr>
          </w:p>
          <w:p w:rsidR="00D671DA" w:rsidRPr="00936F99" w:rsidRDefault="00D671DA" w:rsidP="00E362C0">
            <w:pPr>
              <w:jc w:val="center"/>
              <w:rPr>
                <w:rFonts w:cs="Arial"/>
                <w:b/>
                <w:sz w:val="16"/>
                <w:szCs w:val="16"/>
              </w:rPr>
            </w:pPr>
            <w:r w:rsidRPr="00936F99">
              <w:rPr>
                <w:rFonts w:cs="Arial"/>
                <w:b/>
                <w:sz w:val="16"/>
                <w:szCs w:val="16"/>
              </w:rPr>
              <w:t>Балансовая стоимость 31.12.2017</w:t>
            </w:r>
          </w:p>
        </w:tc>
        <w:tc>
          <w:tcPr>
            <w:tcW w:w="3933" w:type="dxa"/>
            <w:gridSpan w:val="3"/>
            <w:tcBorders>
              <w:top w:val="single" w:sz="4" w:space="0" w:color="auto"/>
              <w:bottom w:val="single" w:sz="4" w:space="0" w:color="auto"/>
            </w:tcBorders>
          </w:tcPr>
          <w:p w:rsidR="00D671DA" w:rsidRPr="00936F99" w:rsidRDefault="00D671DA" w:rsidP="00E362C0">
            <w:pPr>
              <w:jc w:val="center"/>
              <w:rPr>
                <w:rFonts w:cs="Arial"/>
                <w:b/>
                <w:sz w:val="16"/>
                <w:szCs w:val="16"/>
              </w:rPr>
            </w:pPr>
            <w:r w:rsidRPr="00936F99">
              <w:rPr>
                <w:rFonts w:cs="Arial"/>
                <w:b/>
                <w:sz w:val="16"/>
                <w:szCs w:val="16"/>
              </w:rPr>
              <w:t>31.12.2018</w:t>
            </w:r>
          </w:p>
        </w:tc>
      </w:tr>
      <w:tr w:rsidR="00D671DA" w:rsidRPr="00312221" w:rsidTr="00E362C0">
        <w:tc>
          <w:tcPr>
            <w:tcW w:w="2376" w:type="dxa"/>
            <w:vMerge/>
            <w:tcBorders>
              <w:bottom w:val="single" w:sz="4" w:space="0" w:color="auto"/>
            </w:tcBorders>
          </w:tcPr>
          <w:p w:rsidR="00D671DA" w:rsidRPr="00312221" w:rsidRDefault="00D671DA" w:rsidP="00E362C0">
            <w:pPr>
              <w:jc w:val="both"/>
              <w:rPr>
                <w:rFonts w:cs="Arial"/>
                <w:sz w:val="16"/>
                <w:szCs w:val="16"/>
              </w:rPr>
            </w:pPr>
          </w:p>
        </w:tc>
        <w:tc>
          <w:tcPr>
            <w:tcW w:w="851" w:type="dxa"/>
            <w:vMerge/>
            <w:tcBorders>
              <w:bottom w:val="single" w:sz="4" w:space="0" w:color="auto"/>
            </w:tcBorders>
          </w:tcPr>
          <w:p w:rsidR="00D671DA" w:rsidRPr="00936F99" w:rsidRDefault="00D671DA" w:rsidP="00E362C0">
            <w:pPr>
              <w:jc w:val="center"/>
              <w:rPr>
                <w:rFonts w:cs="Arial"/>
                <w:b/>
                <w:sz w:val="16"/>
                <w:szCs w:val="16"/>
              </w:rPr>
            </w:pPr>
          </w:p>
        </w:tc>
        <w:tc>
          <w:tcPr>
            <w:tcW w:w="1134" w:type="dxa"/>
            <w:vMerge/>
            <w:tcBorders>
              <w:bottom w:val="single" w:sz="4" w:space="0" w:color="auto"/>
            </w:tcBorders>
          </w:tcPr>
          <w:p w:rsidR="00D671DA" w:rsidRPr="00936F99" w:rsidRDefault="00D671DA" w:rsidP="00E362C0">
            <w:pPr>
              <w:jc w:val="center"/>
              <w:rPr>
                <w:rFonts w:cs="Arial"/>
                <w:b/>
                <w:sz w:val="16"/>
                <w:szCs w:val="16"/>
              </w:rPr>
            </w:pPr>
          </w:p>
        </w:tc>
        <w:tc>
          <w:tcPr>
            <w:tcW w:w="1276" w:type="dxa"/>
            <w:vMerge/>
            <w:tcBorders>
              <w:bottom w:val="single" w:sz="4" w:space="0" w:color="auto"/>
            </w:tcBorders>
          </w:tcPr>
          <w:p w:rsidR="00D671DA" w:rsidRPr="00936F99" w:rsidRDefault="00D671DA" w:rsidP="00E362C0">
            <w:pPr>
              <w:jc w:val="center"/>
              <w:rPr>
                <w:rFonts w:cs="Arial"/>
                <w:b/>
                <w:sz w:val="16"/>
                <w:szCs w:val="16"/>
              </w:rPr>
            </w:pPr>
          </w:p>
        </w:tc>
        <w:tc>
          <w:tcPr>
            <w:tcW w:w="1417" w:type="dxa"/>
            <w:tcBorders>
              <w:top w:val="single" w:sz="4" w:space="0" w:color="auto"/>
              <w:bottom w:val="single" w:sz="4" w:space="0" w:color="auto"/>
            </w:tcBorders>
          </w:tcPr>
          <w:p w:rsidR="00D671DA" w:rsidRPr="00936F99" w:rsidRDefault="00D671DA" w:rsidP="00E362C0">
            <w:pPr>
              <w:jc w:val="center"/>
              <w:rPr>
                <w:rFonts w:cs="Arial"/>
                <w:b/>
                <w:sz w:val="16"/>
                <w:szCs w:val="16"/>
              </w:rPr>
            </w:pPr>
            <w:r w:rsidRPr="00936F99">
              <w:rPr>
                <w:rFonts w:cs="Arial"/>
                <w:b/>
                <w:sz w:val="16"/>
                <w:szCs w:val="16"/>
              </w:rPr>
              <w:t>Переоценка (обесценение)</w:t>
            </w:r>
          </w:p>
        </w:tc>
        <w:tc>
          <w:tcPr>
            <w:tcW w:w="1371" w:type="dxa"/>
            <w:tcBorders>
              <w:top w:val="single" w:sz="4" w:space="0" w:color="auto"/>
              <w:bottom w:val="single" w:sz="4" w:space="0" w:color="auto"/>
            </w:tcBorders>
          </w:tcPr>
          <w:p w:rsidR="00D671DA" w:rsidRPr="00936F99" w:rsidRDefault="00D671DA" w:rsidP="00E362C0">
            <w:pPr>
              <w:jc w:val="center"/>
              <w:rPr>
                <w:rFonts w:cs="Arial"/>
                <w:b/>
                <w:sz w:val="16"/>
                <w:szCs w:val="16"/>
              </w:rPr>
            </w:pPr>
            <w:r w:rsidRPr="00936F99">
              <w:rPr>
                <w:rFonts w:cs="Arial"/>
                <w:b/>
                <w:sz w:val="16"/>
                <w:szCs w:val="16"/>
              </w:rPr>
              <w:t xml:space="preserve">Сумма </w:t>
            </w:r>
            <w:r>
              <w:rPr>
                <w:rFonts w:cs="Arial"/>
                <w:b/>
                <w:sz w:val="16"/>
                <w:szCs w:val="16"/>
              </w:rPr>
              <w:t>накопленной амо</w:t>
            </w:r>
            <w:r w:rsidRPr="00936F99">
              <w:rPr>
                <w:rFonts w:cs="Arial"/>
                <w:b/>
                <w:sz w:val="16"/>
                <w:szCs w:val="16"/>
              </w:rPr>
              <w:t>р</w:t>
            </w:r>
            <w:r>
              <w:rPr>
                <w:rFonts w:cs="Arial"/>
                <w:b/>
                <w:sz w:val="16"/>
                <w:szCs w:val="16"/>
              </w:rPr>
              <w:t>т</w:t>
            </w:r>
            <w:r w:rsidRPr="00936F99">
              <w:rPr>
                <w:rFonts w:cs="Arial"/>
                <w:b/>
                <w:sz w:val="16"/>
                <w:szCs w:val="16"/>
              </w:rPr>
              <w:t>изации</w:t>
            </w:r>
          </w:p>
        </w:tc>
        <w:tc>
          <w:tcPr>
            <w:tcW w:w="1145" w:type="dxa"/>
            <w:tcBorders>
              <w:top w:val="single" w:sz="4" w:space="0" w:color="auto"/>
              <w:bottom w:val="single" w:sz="4" w:space="0" w:color="auto"/>
            </w:tcBorders>
          </w:tcPr>
          <w:p w:rsidR="00D671DA" w:rsidRPr="00936F99" w:rsidRDefault="00D671DA" w:rsidP="00E362C0">
            <w:pPr>
              <w:jc w:val="center"/>
              <w:rPr>
                <w:rFonts w:cs="Arial"/>
                <w:b/>
                <w:sz w:val="16"/>
                <w:szCs w:val="16"/>
              </w:rPr>
            </w:pPr>
            <w:r w:rsidRPr="00936F99">
              <w:rPr>
                <w:rFonts w:cs="Arial"/>
                <w:b/>
                <w:sz w:val="16"/>
                <w:szCs w:val="16"/>
              </w:rPr>
              <w:t>Остаточная стоимость</w:t>
            </w:r>
          </w:p>
        </w:tc>
      </w:tr>
      <w:tr w:rsidR="00D671DA" w:rsidRPr="00312221" w:rsidTr="00E362C0">
        <w:tc>
          <w:tcPr>
            <w:tcW w:w="2376" w:type="dxa"/>
            <w:tcBorders>
              <w:top w:val="single" w:sz="4" w:space="0" w:color="auto"/>
            </w:tcBorders>
          </w:tcPr>
          <w:p w:rsidR="00D671DA" w:rsidRPr="00D671DA" w:rsidRDefault="00D671DA" w:rsidP="00E362C0">
            <w:pPr>
              <w:jc w:val="both"/>
              <w:rPr>
                <w:rFonts w:cs="Arial"/>
                <w:sz w:val="16"/>
                <w:szCs w:val="16"/>
                <w:lang w:val="ru-RU"/>
              </w:rPr>
            </w:pPr>
            <w:r w:rsidRPr="00D671DA">
              <w:rPr>
                <w:rFonts w:cs="Arial"/>
                <w:sz w:val="16"/>
                <w:szCs w:val="16"/>
                <w:lang w:val="ru-RU"/>
              </w:rPr>
              <w:t>Основные средства – объекты недвижимости, в т.ч.</w:t>
            </w:r>
          </w:p>
        </w:tc>
        <w:tc>
          <w:tcPr>
            <w:tcW w:w="851" w:type="dxa"/>
            <w:tcBorders>
              <w:top w:val="single" w:sz="4" w:space="0" w:color="auto"/>
            </w:tcBorders>
          </w:tcPr>
          <w:p w:rsidR="00D671DA" w:rsidRPr="00312221" w:rsidRDefault="00D671DA" w:rsidP="00E362C0">
            <w:pPr>
              <w:jc w:val="center"/>
              <w:rPr>
                <w:rFonts w:cs="Arial"/>
                <w:sz w:val="16"/>
                <w:szCs w:val="16"/>
              </w:rPr>
            </w:pPr>
            <w:r>
              <w:rPr>
                <w:rFonts w:cs="Arial"/>
                <w:sz w:val="16"/>
                <w:szCs w:val="16"/>
              </w:rPr>
              <w:t>31</w:t>
            </w:r>
          </w:p>
        </w:tc>
        <w:tc>
          <w:tcPr>
            <w:tcW w:w="1134" w:type="dxa"/>
            <w:tcBorders>
              <w:top w:val="single" w:sz="4" w:space="0" w:color="auto"/>
            </w:tcBorders>
          </w:tcPr>
          <w:p w:rsidR="00D671DA" w:rsidRPr="00312221" w:rsidRDefault="00D671DA" w:rsidP="00E362C0">
            <w:pPr>
              <w:jc w:val="center"/>
              <w:rPr>
                <w:rFonts w:cs="Arial"/>
                <w:sz w:val="16"/>
                <w:szCs w:val="16"/>
              </w:rPr>
            </w:pPr>
            <w:r>
              <w:rPr>
                <w:rFonts w:cs="Arial"/>
                <w:sz w:val="16"/>
                <w:szCs w:val="16"/>
              </w:rPr>
              <w:t>12 087,3</w:t>
            </w:r>
          </w:p>
        </w:tc>
        <w:tc>
          <w:tcPr>
            <w:tcW w:w="1276" w:type="dxa"/>
            <w:tcBorders>
              <w:top w:val="single" w:sz="4" w:space="0" w:color="auto"/>
            </w:tcBorders>
          </w:tcPr>
          <w:p w:rsidR="00D671DA" w:rsidRPr="00312221" w:rsidRDefault="00D671DA" w:rsidP="00E362C0">
            <w:pPr>
              <w:jc w:val="center"/>
              <w:rPr>
                <w:rFonts w:cs="Arial"/>
                <w:sz w:val="16"/>
                <w:szCs w:val="16"/>
              </w:rPr>
            </w:pPr>
            <w:r>
              <w:rPr>
                <w:rFonts w:cs="Arial"/>
                <w:sz w:val="16"/>
                <w:szCs w:val="16"/>
              </w:rPr>
              <w:t>1 363 843</w:t>
            </w:r>
          </w:p>
        </w:tc>
        <w:tc>
          <w:tcPr>
            <w:tcW w:w="1417" w:type="dxa"/>
            <w:tcBorders>
              <w:top w:val="single" w:sz="4" w:space="0" w:color="auto"/>
            </w:tcBorders>
          </w:tcPr>
          <w:p w:rsidR="00D671DA" w:rsidRDefault="00D671DA" w:rsidP="00E362C0">
            <w:pPr>
              <w:jc w:val="center"/>
              <w:rPr>
                <w:rFonts w:cs="Arial"/>
                <w:sz w:val="16"/>
                <w:szCs w:val="16"/>
              </w:rPr>
            </w:pPr>
            <w:r>
              <w:rPr>
                <w:rFonts w:cs="Arial"/>
                <w:sz w:val="16"/>
                <w:szCs w:val="16"/>
              </w:rPr>
              <w:t>43 365</w:t>
            </w:r>
          </w:p>
        </w:tc>
        <w:tc>
          <w:tcPr>
            <w:tcW w:w="1371" w:type="dxa"/>
            <w:tcBorders>
              <w:top w:val="single" w:sz="4" w:space="0" w:color="auto"/>
            </w:tcBorders>
          </w:tcPr>
          <w:p w:rsidR="00D671DA" w:rsidRDefault="00D671DA" w:rsidP="00E362C0">
            <w:pPr>
              <w:jc w:val="center"/>
              <w:rPr>
                <w:rFonts w:cs="Arial"/>
                <w:sz w:val="16"/>
                <w:szCs w:val="16"/>
              </w:rPr>
            </w:pPr>
            <w:r>
              <w:rPr>
                <w:rFonts w:cs="Arial"/>
                <w:sz w:val="16"/>
                <w:szCs w:val="16"/>
              </w:rPr>
              <w:t>(323 785)</w:t>
            </w:r>
          </w:p>
        </w:tc>
        <w:tc>
          <w:tcPr>
            <w:tcW w:w="1145" w:type="dxa"/>
            <w:tcBorders>
              <w:top w:val="single" w:sz="4" w:space="0" w:color="auto"/>
            </w:tcBorders>
          </w:tcPr>
          <w:p w:rsidR="00D671DA" w:rsidRDefault="00D671DA" w:rsidP="00E362C0">
            <w:pPr>
              <w:jc w:val="center"/>
              <w:rPr>
                <w:rFonts w:cs="Arial"/>
                <w:sz w:val="16"/>
                <w:szCs w:val="16"/>
              </w:rPr>
            </w:pPr>
            <w:r>
              <w:rPr>
                <w:rFonts w:cs="Arial"/>
                <w:sz w:val="16"/>
                <w:szCs w:val="16"/>
              </w:rPr>
              <w:t>1 083 423</w:t>
            </w:r>
          </w:p>
        </w:tc>
      </w:tr>
      <w:tr w:rsidR="00D671DA" w:rsidRPr="00312221" w:rsidTr="00E362C0">
        <w:tc>
          <w:tcPr>
            <w:tcW w:w="2376" w:type="dxa"/>
          </w:tcPr>
          <w:p w:rsidR="00D671DA" w:rsidRDefault="00D671DA" w:rsidP="00E362C0">
            <w:pPr>
              <w:jc w:val="both"/>
              <w:rPr>
                <w:rFonts w:cs="Arial"/>
                <w:sz w:val="16"/>
                <w:szCs w:val="16"/>
              </w:rPr>
            </w:pPr>
            <w:r>
              <w:rPr>
                <w:rFonts w:cs="Arial"/>
                <w:sz w:val="16"/>
                <w:szCs w:val="16"/>
              </w:rPr>
              <w:t>- объекты в аренде</w:t>
            </w:r>
          </w:p>
        </w:tc>
        <w:tc>
          <w:tcPr>
            <w:tcW w:w="851" w:type="dxa"/>
          </w:tcPr>
          <w:p w:rsidR="00D671DA" w:rsidRPr="00312221" w:rsidRDefault="00D671DA" w:rsidP="00E362C0">
            <w:pPr>
              <w:jc w:val="center"/>
              <w:rPr>
                <w:rFonts w:cs="Arial"/>
                <w:sz w:val="16"/>
                <w:szCs w:val="16"/>
              </w:rPr>
            </w:pPr>
            <w:r>
              <w:rPr>
                <w:rFonts w:cs="Arial"/>
                <w:sz w:val="16"/>
                <w:szCs w:val="16"/>
              </w:rPr>
              <w:t>7</w:t>
            </w:r>
          </w:p>
        </w:tc>
        <w:tc>
          <w:tcPr>
            <w:tcW w:w="1134" w:type="dxa"/>
          </w:tcPr>
          <w:p w:rsidR="00D671DA" w:rsidRPr="00312221" w:rsidRDefault="00D671DA" w:rsidP="00E362C0">
            <w:pPr>
              <w:jc w:val="center"/>
              <w:rPr>
                <w:rFonts w:cs="Arial"/>
                <w:sz w:val="16"/>
                <w:szCs w:val="16"/>
              </w:rPr>
            </w:pPr>
            <w:r>
              <w:rPr>
                <w:rFonts w:cs="Arial"/>
                <w:sz w:val="16"/>
                <w:szCs w:val="16"/>
              </w:rPr>
              <w:t>1333,7</w:t>
            </w:r>
          </w:p>
        </w:tc>
        <w:tc>
          <w:tcPr>
            <w:tcW w:w="1276" w:type="dxa"/>
          </w:tcPr>
          <w:p w:rsidR="00D671DA" w:rsidRPr="00312221" w:rsidRDefault="00D671DA" w:rsidP="00E362C0">
            <w:pPr>
              <w:jc w:val="center"/>
              <w:rPr>
                <w:rFonts w:cs="Arial"/>
                <w:sz w:val="16"/>
                <w:szCs w:val="16"/>
              </w:rPr>
            </w:pPr>
            <w:r>
              <w:rPr>
                <w:rFonts w:cs="Arial"/>
                <w:sz w:val="16"/>
                <w:szCs w:val="16"/>
              </w:rPr>
              <w:t>82 400</w:t>
            </w:r>
          </w:p>
        </w:tc>
        <w:tc>
          <w:tcPr>
            <w:tcW w:w="1417" w:type="dxa"/>
          </w:tcPr>
          <w:p w:rsidR="00D671DA" w:rsidRDefault="00D671DA" w:rsidP="00E362C0">
            <w:pPr>
              <w:jc w:val="center"/>
              <w:rPr>
                <w:rFonts w:cs="Arial"/>
                <w:sz w:val="16"/>
                <w:szCs w:val="16"/>
              </w:rPr>
            </w:pPr>
            <w:r>
              <w:rPr>
                <w:rFonts w:cs="Arial"/>
                <w:sz w:val="16"/>
                <w:szCs w:val="16"/>
              </w:rPr>
              <w:t>(2 293)</w:t>
            </w:r>
          </w:p>
        </w:tc>
        <w:tc>
          <w:tcPr>
            <w:tcW w:w="1371" w:type="dxa"/>
          </w:tcPr>
          <w:p w:rsidR="00D671DA" w:rsidRDefault="00D671DA" w:rsidP="00E362C0">
            <w:pPr>
              <w:jc w:val="center"/>
              <w:rPr>
                <w:rFonts w:cs="Arial"/>
                <w:sz w:val="16"/>
                <w:szCs w:val="16"/>
              </w:rPr>
            </w:pPr>
            <w:r>
              <w:rPr>
                <w:rFonts w:cs="Arial"/>
                <w:sz w:val="16"/>
                <w:szCs w:val="16"/>
              </w:rPr>
              <w:t>(19 041)</w:t>
            </w:r>
          </w:p>
        </w:tc>
        <w:tc>
          <w:tcPr>
            <w:tcW w:w="1145" w:type="dxa"/>
          </w:tcPr>
          <w:p w:rsidR="00D671DA" w:rsidRDefault="00D671DA" w:rsidP="00E362C0">
            <w:pPr>
              <w:jc w:val="center"/>
              <w:rPr>
                <w:rFonts w:cs="Arial"/>
                <w:sz w:val="16"/>
                <w:szCs w:val="16"/>
              </w:rPr>
            </w:pPr>
            <w:r>
              <w:rPr>
                <w:rFonts w:cs="Arial"/>
                <w:sz w:val="16"/>
                <w:szCs w:val="16"/>
              </w:rPr>
              <w:t>61 066</w:t>
            </w:r>
          </w:p>
        </w:tc>
      </w:tr>
      <w:tr w:rsidR="00D671DA" w:rsidRPr="00312221" w:rsidTr="00E362C0">
        <w:tc>
          <w:tcPr>
            <w:tcW w:w="2376" w:type="dxa"/>
          </w:tcPr>
          <w:p w:rsidR="00D671DA" w:rsidRDefault="00D671DA" w:rsidP="00E362C0">
            <w:pPr>
              <w:jc w:val="both"/>
              <w:rPr>
                <w:rFonts w:cs="Arial"/>
                <w:sz w:val="16"/>
                <w:szCs w:val="16"/>
              </w:rPr>
            </w:pPr>
          </w:p>
        </w:tc>
        <w:tc>
          <w:tcPr>
            <w:tcW w:w="851" w:type="dxa"/>
          </w:tcPr>
          <w:p w:rsidR="00D671DA" w:rsidRDefault="00D671DA" w:rsidP="00E362C0">
            <w:pPr>
              <w:jc w:val="center"/>
              <w:rPr>
                <w:rFonts w:cs="Arial"/>
                <w:sz w:val="16"/>
                <w:szCs w:val="16"/>
              </w:rPr>
            </w:pPr>
          </w:p>
        </w:tc>
        <w:tc>
          <w:tcPr>
            <w:tcW w:w="1134" w:type="dxa"/>
          </w:tcPr>
          <w:p w:rsidR="00D671DA" w:rsidRDefault="00D671DA" w:rsidP="00E362C0">
            <w:pPr>
              <w:jc w:val="center"/>
              <w:rPr>
                <w:rFonts w:cs="Arial"/>
                <w:sz w:val="16"/>
                <w:szCs w:val="16"/>
              </w:rPr>
            </w:pPr>
          </w:p>
        </w:tc>
        <w:tc>
          <w:tcPr>
            <w:tcW w:w="1276" w:type="dxa"/>
          </w:tcPr>
          <w:p w:rsidR="00D671DA" w:rsidRDefault="00D671DA" w:rsidP="00E362C0">
            <w:pPr>
              <w:jc w:val="center"/>
              <w:rPr>
                <w:rFonts w:cs="Arial"/>
                <w:sz w:val="16"/>
                <w:szCs w:val="16"/>
              </w:rPr>
            </w:pPr>
          </w:p>
        </w:tc>
        <w:tc>
          <w:tcPr>
            <w:tcW w:w="1417" w:type="dxa"/>
          </w:tcPr>
          <w:p w:rsidR="00D671DA" w:rsidRDefault="00D671DA" w:rsidP="00E362C0">
            <w:pPr>
              <w:jc w:val="center"/>
              <w:rPr>
                <w:rFonts w:cs="Arial"/>
                <w:sz w:val="16"/>
                <w:szCs w:val="16"/>
              </w:rPr>
            </w:pPr>
          </w:p>
        </w:tc>
        <w:tc>
          <w:tcPr>
            <w:tcW w:w="1371" w:type="dxa"/>
          </w:tcPr>
          <w:p w:rsidR="00D671DA" w:rsidRDefault="00D671DA" w:rsidP="00E362C0">
            <w:pPr>
              <w:jc w:val="center"/>
              <w:rPr>
                <w:rFonts w:cs="Arial"/>
                <w:sz w:val="16"/>
                <w:szCs w:val="16"/>
              </w:rPr>
            </w:pPr>
          </w:p>
        </w:tc>
        <w:tc>
          <w:tcPr>
            <w:tcW w:w="1145" w:type="dxa"/>
          </w:tcPr>
          <w:p w:rsidR="00D671DA" w:rsidRDefault="00D671DA" w:rsidP="00E362C0">
            <w:pPr>
              <w:jc w:val="center"/>
              <w:rPr>
                <w:rFonts w:cs="Arial"/>
                <w:sz w:val="16"/>
                <w:szCs w:val="16"/>
              </w:rPr>
            </w:pPr>
          </w:p>
        </w:tc>
      </w:tr>
      <w:tr w:rsidR="00D671DA" w:rsidRPr="00312221" w:rsidTr="00E362C0">
        <w:tc>
          <w:tcPr>
            <w:tcW w:w="2376" w:type="dxa"/>
            <w:tcBorders>
              <w:bottom w:val="double" w:sz="4" w:space="0" w:color="auto"/>
            </w:tcBorders>
          </w:tcPr>
          <w:p w:rsidR="00D671DA" w:rsidRDefault="00D671DA" w:rsidP="00E362C0">
            <w:pPr>
              <w:jc w:val="both"/>
              <w:rPr>
                <w:rFonts w:cs="Arial"/>
                <w:sz w:val="16"/>
                <w:szCs w:val="16"/>
              </w:rPr>
            </w:pPr>
            <w:r>
              <w:rPr>
                <w:rFonts w:cs="Arial"/>
                <w:sz w:val="16"/>
                <w:szCs w:val="16"/>
              </w:rPr>
              <w:t>Объекты ВНОД в аренде</w:t>
            </w:r>
          </w:p>
        </w:tc>
        <w:tc>
          <w:tcPr>
            <w:tcW w:w="851" w:type="dxa"/>
            <w:tcBorders>
              <w:bottom w:val="double" w:sz="4" w:space="0" w:color="auto"/>
            </w:tcBorders>
          </w:tcPr>
          <w:p w:rsidR="00D671DA" w:rsidRDefault="00D671DA" w:rsidP="00E362C0">
            <w:pPr>
              <w:jc w:val="center"/>
              <w:rPr>
                <w:rFonts w:cs="Arial"/>
                <w:sz w:val="16"/>
                <w:szCs w:val="16"/>
              </w:rPr>
            </w:pPr>
            <w:r>
              <w:rPr>
                <w:rFonts w:cs="Arial"/>
                <w:sz w:val="16"/>
                <w:szCs w:val="16"/>
              </w:rPr>
              <w:t>1</w:t>
            </w:r>
          </w:p>
        </w:tc>
        <w:tc>
          <w:tcPr>
            <w:tcW w:w="1134" w:type="dxa"/>
            <w:tcBorders>
              <w:bottom w:val="double" w:sz="4" w:space="0" w:color="auto"/>
            </w:tcBorders>
          </w:tcPr>
          <w:p w:rsidR="00D671DA" w:rsidRDefault="00D671DA" w:rsidP="00E362C0">
            <w:pPr>
              <w:jc w:val="center"/>
              <w:rPr>
                <w:rFonts w:cs="Arial"/>
                <w:sz w:val="16"/>
                <w:szCs w:val="16"/>
              </w:rPr>
            </w:pPr>
            <w:r>
              <w:rPr>
                <w:rFonts w:cs="Arial"/>
                <w:sz w:val="16"/>
                <w:szCs w:val="16"/>
              </w:rPr>
              <w:t>23</w:t>
            </w:r>
          </w:p>
        </w:tc>
        <w:tc>
          <w:tcPr>
            <w:tcW w:w="1276" w:type="dxa"/>
            <w:tcBorders>
              <w:bottom w:val="double" w:sz="4" w:space="0" w:color="auto"/>
            </w:tcBorders>
          </w:tcPr>
          <w:p w:rsidR="00D671DA" w:rsidRDefault="00D671DA" w:rsidP="00E362C0">
            <w:pPr>
              <w:jc w:val="center"/>
              <w:rPr>
                <w:rFonts w:cs="Arial"/>
                <w:sz w:val="16"/>
                <w:szCs w:val="16"/>
              </w:rPr>
            </w:pPr>
            <w:r>
              <w:rPr>
                <w:rFonts w:cs="Arial"/>
                <w:sz w:val="16"/>
                <w:szCs w:val="16"/>
              </w:rPr>
              <w:t>0</w:t>
            </w:r>
          </w:p>
        </w:tc>
        <w:tc>
          <w:tcPr>
            <w:tcW w:w="1417" w:type="dxa"/>
            <w:tcBorders>
              <w:bottom w:val="double" w:sz="4" w:space="0" w:color="auto"/>
            </w:tcBorders>
          </w:tcPr>
          <w:p w:rsidR="00D671DA" w:rsidRDefault="00D671DA" w:rsidP="00E362C0">
            <w:pPr>
              <w:jc w:val="center"/>
              <w:rPr>
                <w:rFonts w:cs="Arial"/>
                <w:sz w:val="16"/>
                <w:szCs w:val="16"/>
              </w:rPr>
            </w:pPr>
            <w:r>
              <w:rPr>
                <w:rFonts w:cs="Arial"/>
                <w:sz w:val="16"/>
                <w:szCs w:val="16"/>
              </w:rPr>
              <w:t>0</w:t>
            </w:r>
          </w:p>
        </w:tc>
        <w:tc>
          <w:tcPr>
            <w:tcW w:w="1371" w:type="dxa"/>
            <w:tcBorders>
              <w:bottom w:val="double" w:sz="4" w:space="0" w:color="auto"/>
            </w:tcBorders>
          </w:tcPr>
          <w:p w:rsidR="00D671DA" w:rsidRDefault="00D671DA" w:rsidP="00E362C0">
            <w:pPr>
              <w:jc w:val="center"/>
              <w:rPr>
                <w:rFonts w:cs="Arial"/>
                <w:sz w:val="16"/>
                <w:szCs w:val="16"/>
              </w:rPr>
            </w:pPr>
            <w:r>
              <w:rPr>
                <w:rFonts w:cs="Arial"/>
                <w:sz w:val="16"/>
                <w:szCs w:val="16"/>
              </w:rPr>
              <w:t>0</w:t>
            </w:r>
          </w:p>
        </w:tc>
        <w:tc>
          <w:tcPr>
            <w:tcW w:w="1145" w:type="dxa"/>
            <w:tcBorders>
              <w:bottom w:val="double" w:sz="4" w:space="0" w:color="auto"/>
            </w:tcBorders>
          </w:tcPr>
          <w:p w:rsidR="00D671DA" w:rsidRDefault="00D671DA" w:rsidP="00E362C0">
            <w:pPr>
              <w:jc w:val="center"/>
              <w:rPr>
                <w:rFonts w:cs="Arial"/>
                <w:sz w:val="16"/>
                <w:szCs w:val="16"/>
              </w:rPr>
            </w:pPr>
            <w:r>
              <w:rPr>
                <w:rFonts w:cs="Arial"/>
                <w:sz w:val="16"/>
                <w:szCs w:val="16"/>
              </w:rPr>
              <w:t>0</w:t>
            </w:r>
          </w:p>
        </w:tc>
      </w:tr>
    </w:tbl>
    <w:p w:rsidR="00D671DA" w:rsidRDefault="00D671DA" w:rsidP="00D671DA">
      <w:pPr>
        <w:jc w:val="both"/>
        <w:rPr>
          <w:rFonts w:cs="Arial"/>
          <w:sz w:val="20"/>
          <w:szCs w:val="20"/>
        </w:rPr>
      </w:pPr>
    </w:p>
    <w:p w:rsidR="00D671DA" w:rsidRPr="00D671DA" w:rsidRDefault="00D671DA" w:rsidP="00D671DA">
      <w:pPr>
        <w:jc w:val="both"/>
        <w:rPr>
          <w:rFonts w:cs="Arial"/>
          <w:sz w:val="20"/>
          <w:szCs w:val="20"/>
          <w:lang w:val="ru-RU"/>
        </w:rPr>
      </w:pPr>
      <w:r w:rsidRPr="00D671DA">
        <w:rPr>
          <w:rFonts w:cs="Arial"/>
          <w:sz w:val="20"/>
          <w:szCs w:val="20"/>
          <w:lang w:val="ru-RU"/>
        </w:rPr>
        <w:t>Нематериальных активов переданных в аренду у Банка нет.</w:t>
      </w:r>
    </w:p>
    <w:p w:rsidR="00D671DA" w:rsidRPr="00A4212F" w:rsidRDefault="00D671DA" w:rsidP="00A4212F">
      <w:pPr>
        <w:rPr>
          <w:rFonts w:cs="Arial"/>
          <w:sz w:val="20"/>
          <w:szCs w:val="20"/>
          <w:lang w:val="ru-RU"/>
        </w:rPr>
      </w:pPr>
      <w:r w:rsidRPr="00D671DA">
        <w:rPr>
          <w:rFonts w:cs="Arial"/>
          <w:sz w:val="20"/>
          <w:szCs w:val="20"/>
          <w:lang w:val="ru-RU"/>
        </w:rPr>
        <w:t xml:space="preserve">   </w:t>
      </w:r>
    </w:p>
    <w:p w:rsidR="00BF2463" w:rsidRDefault="00BF2463" w:rsidP="00D671DA">
      <w:pPr>
        <w:jc w:val="both"/>
        <w:rPr>
          <w:rFonts w:cs="Arial"/>
          <w:b/>
          <w:sz w:val="20"/>
          <w:szCs w:val="20"/>
          <w:lang w:val="ru-RU"/>
        </w:rPr>
      </w:pPr>
      <w:r w:rsidRPr="00D671DA">
        <w:rPr>
          <w:rFonts w:cs="Arial"/>
          <w:b/>
          <w:sz w:val="20"/>
          <w:szCs w:val="20"/>
          <w:lang w:val="ru-RU"/>
        </w:rPr>
        <w:t>6.1.17. Информ</w:t>
      </w:r>
      <w:r w:rsidR="00A4212F">
        <w:rPr>
          <w:rFonts w:cs="Arial"/>
          <w:b/>
          <w:sz w:val="20"/>
          <w:szCs w:val="20"/>
          <w:lang w:val="ru-RU"/>
        </w:rPr>
        <w:t>ация по нематериальным активам</w:t>
      </w:r>
    </w:p>
    <w:p w:rsidR="00A4212F" w:rsidRPr="00D671DA" w:rsidRDefault="00A4212F" w:rsidP="00D671DA">
      <w:pPr>
        <w:jc w:val="both"/>
        <w:rPr>
          <w:rFonts w:cs="Arial"/>
          <w:b/>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t>Классификация нематериальных активов ведется Банком по однородным группам. Срок полезного использования (нематериальные активы с определенным сроком (с неопределенным сроком) полезного использования) определяется Банком на дату признания нематериального актива исходя из срока</w:t>
      </w:r>
      <w:r w:rsidRPr="00BF2463">
        <w:rPr>
          <w:rFonts w:eastAsia="Calibri" w:cs="Arial"/>
          <w:sz w:val="20"/>
          <w:szCs w:val="20"/>
          <w:lang w:val="ru-RU"/>
        </w:rPr>
        <w:t xml:space="preserve"> действия прав банка на результат интеллектуальной деятельности или средство индивидуализации и периода контроля над нематериальным активом и ожидаемого срока использования нематериального актива, в течение которого банк предполагает получать экономические выгоды. В отношении нематериального актива с неопределенным сроком полезного использования банк ежегодно рассматривает наличие факторов, свидетельствующих о невозможности надежно определить срок полезного использования данного актива. В случае прекращения существования указанных факторов банк определяет срок полезного использования данного нематериального актива и способ его амортизации. Указанный срок полезного использования нематериального актива и способ его амортизации начинают применяться с 1 января года, следующего за годом, в котором было принято решение об установлении срока полезного использования нематериального актива и способа начислении амортизации. Срок полезного использования и способ начисления амортизации нематериального актива Банк пересматривает в конце каждого отчетного года.</w:t>
      </w:r>
    </w:p>
    <w:p w:rsidR="00BF2463" w:rsidRPr="00BF2463" w:rsidRDefault="00BF2463" w:rsidP="00BF2463">
      <w:pPr>
        <w:jc w:val="both"/>
        <w:rPr>
          <w:rFonts w:cs="Arial"/>
          <w:sz w:val="20"/>
          <w:szCs w:val="20"/>
          <w:lang w:val="ru-RU"/>
        </w:rPr>
      </w:pPr>
      <w:r w:rsidRPr="00BF2463">
        <w:rPr>
          <w:rFonts w:cs="Arial"/>
          <w:sz w:val="20"/>
          <w:szCs w:val="20"/>
          <w:lang w:val="ru-RU"/>
        </w:rPr>
        <w:t>Банк, использует линейный способ начисления амортизации в отношении нематериальных активов с определенным сроком полезного использования.</w:t>
      </w:r>
    </w:p>
    <w:p w:rsidR="00BF2463" w:rsidRPr="00BF2463" w:rsidRDefault="00BF2463" w:rsidP="00BF2463">
      <w:pPr>
        <w:ind w:firstLine="540"/>
        <w:jc w:val="both"/>
        <w:rPr>
          <w:rFonts w:ascii="Calibri" w:hAnsi="Calibri" w:cs="Calibri"/>
          <w:lang w:val="ru-RU"/>
        </w:rPr>
      </w:pPr>
    </w:p>
    <w:tbl>
      <w:tblPr>
        <w:tblW w:w="9954" w:type="dxa"/>
        <w:tblInd w:w="108" w:type="dxa"/>
        <w:tblLayout w:type="fixed"/>
        <w:tblLook w:val="04A0" w:firstRow="1" w:lastRow="0" w:firstColumn="1" w:lastColumn="0" w:noHBand="0" w:noVBand="1"/>
      </w:tblPr>
      <w:tblGrid>
        <w:gridCol w:w="1843"/>
        <w:gridCol w:w="851"/>
        <w:gridCol w:w="1275"/>
        <w:gridCol w:w="709"/>
        <w:gridCol w:w="992"/>
        <w:gridCol w:w="709"/>
        <w:gridCol w:w="1134"/>
        <w:gridCol w:w="851"/>
        <w:gridCol w:w="740"/>
        <w:gridCol w:w="850"/>
      </w:tblGrid>
      <w:tr w:rsidR="00BF2463" w:rsidRPr="00A81A9D" w:rsidTr="00BF2463">
        <w:trPr>
          <w:trHeight w:val="239"/>
        </w:trPr>
        <w:tc>
          <w:tcPr>
            <w:tcW w:w="1843" w:type="dxa"/>
            <w:tcBorders>
              <w:top w:val="single" w:sz="4" w:space="0" w:color="auto"/>
              <w:bottom w:val="single" w:sz="4" w:space="0" w:color="auto"/>
            </w:tcBorders>
            <w:shd w:val="clear" w:color="auto" w:fill="auto"/>
            <w:vAlign w:val="bottom"/>
            <w:hideMark/>
          </w:tcPr>
          <w:p w:rsidR="00BF2463" w:rsidRPr="00BF2463" w:rsidRDefault="00BF2463" w:rsidP="00BF2463">
            <w:pPr>
              <w:rPr>
                <w:rFonts w:cs="Arial"/>
                <w:b/>
                <w:bCs/>
                <w:sz w:val="12"/>
                <w:szCs w:val="12"/>
                <w:lang w:val="ru-RU" w:eastAsia="ru-RU"/>
              </w:rPr>
            </w:pPr>
          </w:p>
        </w:tc>
        <w:tc>
          <w:tcPr>
            <w:tcW w:w="2126" w:type="dxa"/>
            <w:gridSpan w:val="2"/>
            <w:tcBorders>
              <w:top w:val="single" w:sz="4" w:space="0" w:color="auto"/>
              <w:bottom w:val="single" w:sz="4" w:space="0" w:color="auto"/>
            </w:tcBorders>
          </w:tcPr>
          <w:p w:rsidR="00BF2463" w:rsidRPr="00BF2463" w:rsidRDefault="00BF2463" w:rsidP="00BF2463">
            <w:pPr>
              <w:rPr>
                <w:rFonts w:cs="Arial"/>
                <w:b/>
                <w:bCs/>
                <w:sz w:val="12"/>
                <w:szCs w:val="12"/>
                <w:lang w:val="ru-RU"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31.12.2017</w:t>
            </w:r>
          </w:p>
        </w:tc>
        <w:tc>
          <w:tcPr>
            <w:tcW w:w="2410" w:type="dxa"/>
            <w:gridSpan w:val="3"/>
            <w:tcBorders>
              <w:top w:val="single" w:sz="4" w:space="0" w:color="auto"/>
              <w:bottom w:val="single" w:sz="4" w:space="0" w:color="auto"/>
            </w:tcBorders>
            <w:shd w:val="clear" w:color="auto" w:fill="auto"/>
            <w:vAlign w:val="bottom"/>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За двенадцать месяцев, завершившихся 31.12.2018</w:t>
            </w:r>
          </w:p>
        </w:tc>
        <w:tc>
          <w:tcPr>
            <w:tcW w:w="3575" w:type="dxa"/>
            <w:gridSpan w:val="4"/>
            <w:tcBorders>
              <w:top w:val="single" w:sz="4" w:space="0" w:color="auto"/>
              <w:bottom w:val="single" w:sz="4" w:space="0" w:color="auto"/>
            </w:tcBorders>
            <w:shd w:val="clear" w:color="auto" w:fill="auto"/>
            <w:noWrap/>
            <w:vAlign w:val="bottom"/>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 xml:space="preserve"> 31.12.2018</w:t>
            </w:r>
          </w:p>
        </w:tc>
      </w:tr>
      <w:tr w:rsidR="00BF2463" w:rsidRPr="00A81A9D" w:rsidTr="00BF2463">
        <w:trPr>
          <w:trHeight w:val="462"/>
        </w:trPr>
        <w:tc>
          <w:tcPr>
            <w:tcW w:w="1843" w:type="dxa"/>
            <w:tcBorders>
              <w:top w:val="single" w:sz="4" w:space="0" w:color="auto"/>
              <w:bottom w:val="single" w:sz="4" w:space="0" w:color="auto"/>
            </w:tcBorders>
            <w:shd w:val="clear" w:color="auto" w:fill="auto"/>
            <w:noWrap/>
            <w:vAlign w:val="center"/>
            <w:hideMark/>
          </w:tcPr>
          <w:p w:rsidR="00BF2463" w:rsidRPr="00A81A9D" w:rsidRDefault="00BF2463" w:rsidP="00BF2463">
            <w:pPr>
              <w:rPr>
                <w:rFonts w:cs="Arial"/>
                <w:b/>
                <w:bCs/>
                <w:sz w:val="12"/>
                <w:szCs w:val="12"/>
                <w:lang w:eastAsia="ru-RU"/>
              </w:rPr>
            </w:pPr>
          </w:p>
          <w:p w:rsidR="00BF2463" w:rsidRPr="00A81A9D" w:rsidRDefault="00BF2463" w:rsidP="00BF2463">
            <w:pPr>
              <w:rPr>
                <w:rFonts w:cs="Arial"/>
                <w:b/>
                <w:bCs/>
                <w:sz w:val="12"/>
                <w:szCs w:val="12"/>
                <w:lang w:eastAsia="ru-RU"/>
              </w:rPr>
            </w:pPr>
          </w:p>
          <w:p w:rsidR="00BF2463" w:rsidRPr="00A81A9D" w:rsidRDefault="00BF2463" w:rsidP="00BF2463">
            <w:pPr>
              <w:rPr>
                <w:rFonts w:cs="Arial"/>
                <w:b/>
                <w:bCs/>
                <w:sz w:val="12"/>
                <w:szCs w:val="12"/>
                <w:lang w:eastAsia="ru-RU"/>
              </w:rPr>
            </w:pPr>
            <w:r w:rsidRPr="00A81A9D">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A81A9D" w:rsidRDefault="00BF2463" w:rsidP="00BF2463">
            <w:pPr>
              <w:jc w:val="center"/>
              <w:rPr>
                <w:rFonts w:cs="Arial"/>
                <w:b/>
                <w:bCs/>
                <w:sz w:val="12"/>
                <w:szCs w:val="12"/>
                <w:lang w:eastAsia="ru-RU"/>
              </w:rPr>
            </w:pPr>
          </w:p>
        </w:tc>
        <w:tc>
          <w:tcPr>
            <w:tcW w:w="1275"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Балансовая стоимость</w:t>
            </w:r>
          </w:p>
        </w:tc>
        <w:tc>
          <w:tcPr>
            <w:tcW w:w="709"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Pr>
                <w:rFonts w:cs="Arial"/>
                <w:b/>
                <w:bCs/>
                <w:sz w:val="12"/>
                <w:szCs w:val="12"/>
                <w:lang w:eastAsia="ru-RU"/>
              </w:rPr>
              <w:t>Обесценение</w:t>
            </w:r>
          </w:p>
        </w:tc>
        <w:tc>
          <w:tcPr>
            <w:tcW w:w="992"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Поступление</w:t>
            </w:r>
          </w:p>
        </w:tc>
        <w:tc>
          <w:tcPr>
            <w:tcW w:w="709"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Остаточ</w:t>
            </w: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ная стоимость</w:t>
            </w:r>
          </w:p>
        </w:tc>
        <w:tc>
          <w:tcPr>
            <w:tcW w:w="740"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Итого</w:t>
            </w:r>
          </w:p>
        </w:tc>
      </w:tr>
      <w:tr w:rsidR="00BF2463" w:rsidRPr="00A81A9D" w:rsidTr="00BF2463">
        <w:trPr>
          <w:trHeight w:val="390"/>
        </w:trPr>
        <w:tc>
          <w:tcPr>
            <w:tcW w:w="1843" w:type="dxa"/>
            <w:tcBorders>
              <w:top w:val="single" w:sz="4" w:space="0" w:color="auto"/>
              <w:bottom w:val="single" w:sz="4" w:space="0" w:color="auto"/>
            </w:tcBorders>
            <w:shd w:val="clear" w:color="auto" w:fill="auto"/>
            <w:vAlign w:val="bottom"/>
            <w:hideMark/>
          </w:tcPr>
          <w:p w:rsidR="00BF2463" w:rsidRPr="00A4212F" w:rsidRDefault="00BF2463" w:rsidP="00BF2463">
            <w:pPr>
              <w:rPr>
                <w:rFonts w:cs="Arial"/>
                <w:bCs/>
                <w:sz w:val="12"/>
                <w:szCs w:val="12"/>
                <w:lang w:eastAsia="ru-RU"/>
              </w:rPr>
            </w:pPr>
            <w:r w:rsidRPr="00A4212F">
              <w:rPr>
                <w:rFonts w:cs="Arial"/>
                <w:bCs/>
                <w:sz w:val="12"/>
                <w:szCs w:val="12"/>
                <w:lang w:eastAsia="ru-RU"/>
              </w:rPr>
              <w:t>Нематериальные активы</w:t>
            </w:r>
          </w:p>
        </w:tc>
        <w:tc>
          <w:tcPr>
            <w:tcW w:w="851" w:type="dxa"/>
            <w:tcBorders>
              <w:top w:val="single" w:sz="4" w:space="0" w:color="auto"/>
              <w:bottom w:val="single" w:sz="4" w:space="0" w:color="auto"/>
            </w:tcBorders>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7 429</w:t>
            </w:r>
          </w:p>
        </w:tc>
        <w:tc>
          <w:tcPr>
            <w:tcW w:w="1275"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15 483</w:t>
            </w:r>
          </w:p>
        </w:tc>
        <w:tc>
          <w:tcPr>
            <w:tcW w:w="709"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992"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1 224</w:t>
            </w:r>
          </w:p>
        </w:tc>
        <w:tc>
          <w:tcPr>
            <w:tcW w:w="709"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1134"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(10 816)</w:t>
            </w:r>
          </w:p>
        </w:tc>
        <w:tc>
          <w:tcPr>
            <w:tcW w:w="851"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5 891</w:t>
            </w:r>
          </w:p>
        </w:tc>
        <w:tc>
          <w:tcPr>
            <w:tcW w:w="740"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850"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5 891</w:t>
            </w:r>
          </w:p>
        </w:tc>
      </w:tr>
    </w:tbl>
    <w:p w:rsidR="00BF2463" w:rsidRDefault="00BF2463" w:rsidP="00BF2463">
      <w:pPr>
        <w:jc w:val="both"/>
        <w:rPr>
          <w:rFonts w:ascii="Calibri" w:hAnsi="Calibri" w:cs="Calibri"/>
          <w:color w:val="FF0000"/>
        </w:rPr>
      </w:pPr>
    </w:p>
    <w:tbl>
      <w:tblPr>
        <w:tblW w:w="9954" w:type="dxa"/>
        <w:tblInd w:w="108" w:type="dxa"/>
        <w:tblLayout w:type="fixed"/>
        <w:tblLook w:val="04A0" w:firstRow="1" w:lastRow="0" w:firstColumn="1" w:lastColumn="0" w:noHBand="0" w:noVBand="1"/>
      </w:tblPr>
      <w:tblGrid>
        <w:gridCol w:w="1843"/>
        <w:gridCol w:w="851"/>
        <w:gridCol w:w="1134"/>
        <w:gridCol w:w="850"/>
        <w:gridCol w:w="992"/>
        <w:gridCol w:w="709"/>
        <w:gridCol w:w="1134"/>
        <w:gridCol w:w="851"/>
        <w:gridCol w:w="740"/>
        <w:gridCol w:w="850"/>
      </w:tblGrid>
      <w:tr w:rsidR="00BF2463" w:rsidRPr="00A81A9D" w:rsidTr="00BF2463">
        <w:trPr>
          <w:trHeight w:val="239"/>
          <w:tblHeader/>
        </w:trPr>
        <w:tc>
          <w:tcPr>
            <w:tcW w:w="1843" w:type="dxa"/>
            <w:tcBorders>
              <w:top w:val="single" w:sz="4" w:space="0" w:color="auto"/>
              <w:bottom w:val="single" w:sz="4" w:space="0" w:color="auto"/>
            </w:tcBorders>
            <w:shd w:val="clear" w:color="auto" w:fill="auto"/>
            <w:vAlign w:val="bottom"/>
            <w:hideMark/>
          </w:tcPr>
          <w:p w:rsidR="00BF2463" w:rsidRPr="00A81A9D" w:rsidRDefault="00BF2463" w:rsidP="00BF2463">
            <w:pPr>
              <w:rPr>
                <w:rFonts w:cs="Arial"/>
                <w:b/>
                <w:bCs/>
                <w:sz w:val="12"/>
                <w:szCs w:val="12"/>
                <w:lang w:eastAsia="ru-RU"/>
              </w:rPr>
            </w:pPr>
          </w:p>
        </w:tc>
        <w:tc>
          <w:tcPr>
            <w:tcW w:w="1985" w:type="dxa"/>
            <w:gridSpan w:val="2"/>
            <w:tcBorders>
              <w:top w:val="single" w:sz="4" w:space="0" w:color="auto"/>
              <w:bottom w:val="single" w:sz="4" w:space="0" w:color="auto"/>
            </w:tcBorders>
          </w:tcPr>
          <w:p w:rsidR="00BF2463" w:rsidRPr="00A81A9D" w:rsidRDefault="00BF2463" w:rsidP="00BF2463">
            <w:pP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31.12.2016</w:t>
            </w:r>
          </w:p>
        </w:tc>
        <w:tc>
          <w:tcPr>
            <w:tcW w:w="2551" w:type="dxa"/>
            <w:gridSpan w:val="3"/>
            <w:tcBorders>
              <w:top w:val="single" w:sz="4" w:space="0" w:color="auto"/>
              <w:bottom w:val="single" w:sz="4" w:space="0" w:color="auto"/>
            </w:tcBorders>
            <w:shd w:val="clear" w:color="auto" w:fill="auto"/>
            <w:vAlign w:val="bottom"/>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За двенадцать месяцев, завершившихся 31.12.2017</w:t>
            </w:r>
          </w:p>
        </w:tc>
        <w:tc>
          <w:tcPr>
            <w:tcW w:w="3575" w:type="dxa"/>
            <w:gridSpan w:val="4"/>
            <w:tcBorders>
              <w:top w:val="single" w:sz="4" w:space="0" w:color="auto"/>
              <w:bottom w:val="single" w:sz="4" w:space="0" w:color="auto"/>
            </w:tcBorders>
            <w:shd w:val="clear" w:color="auto" w:fill="auto"/>
            <w:noWrap/>
            <w:vAlign w:val="bottom"/>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31.12.2017</w:t>
            </w:r>
          </w:p>
        </w:tc>
      </w:tr>
      <w:tr w:rsidR="00BF2463" w:rsidRPr="00A81A9D" w:rsidTr="00BF2463">
        <w:trPr>
          <w:trHeight w:val="462"/>
          <w:tblHeader/>
        </w:trPr>
        <w:tc>
          <w:tcPr>
            <w:tcW w:w="1843" w:type="dxa"/>
            <w:tcBorders>
              <w:top w:val="single" w:sz="4" w:space="0" w:color="auto"/>
              <w:bottom w:val="single" w:sz="4" w:space="0" w:color="auto"/>
            </w:tcBorders>
            <w:shd w:val="clear" w:color="auto" w:fill="auto"/>
            <w:noWrap/>
            <w:vAlign w:val="center"/>
            <w:hideMark/>
          </w:tcPr>
          <w:p w:rsidR="00BF2463" w:rsidRPr="00A81A9D" w:rsidRDefault="00BF2463" w:rsidP="00BF2463">
            <w:pPr>
              <w:rPr>
                <w:rFonts w:cs="Arial"/>
                <w:b/>
                <w:bCs/>
                <w:sz w:val="12"/>
                <w:szCs w:val="12"/>
                <w:lang w:eastAsia="ru-RU"/>
              </w:rPr>
            </w:pPr>
          </w:p>
          <w:p w:rsidR="00BF2463" w:rsidRPr="00A81A9D" w:rsidRDefault="00BF2463" w:rsidP="00BF2463">
            <w:pPr>
              <w:rPr>
                <w:rFonts w:cs="Arial"/>
                <w:b/>
                <w:bCs/>
                <w:sz w:val="12"/>
                <w:szCs w:val="12"/>
                <w:lang w:eastAsia="ru-RU"/>
              </w:rPr>
            </w:pPr>
          </w:p>
          <w:p w:rsidR="00BF2463" w:rsidRPr="00A81A9D" w:rsidRDefault="00BF2463" w:rsidP="00BF2463">
            <w:pPr>
              <w:rPr>
                <w:rFonts w:cs="Arial"/>
                <w:b/>
                <w:bCs/>
                <w:sz w:val="12"/>
                <w:szCs w:val="12"/>
                <w:lang w:eastAsia="ru-RU"/>
              </w:rPr>
            </w:pPr>
            <w:r w:rsidRPr="00A81A9D">
              <w:rPr>
                <w:rFonts w:cs="Arial"/>
                <w:b/>
                <w:bCs/>
                <w:sz w:val="12"/>
                <w:szCs w:val="12"/>
                <w:lang w:eastAsia="ru-RU"/>
              </w:rPr>
              <w:t>Вид актива (имущество) </w:t>
            </w:r>
          </w:p>
        </w:tc>
        <w:tc>
          <w:tcPr>
            <w:tcW w:w="851" w:type="dxa"/>
            <w:tcBorders>
              <w:top w:val="single" w:sz="4" w:space="0" w:color="auto"/>
              <w:bottom w:val="single" w:sz="4" w:space="0" w:color="auto"/>
            </w:tcBorders>
          </w:tcPr>
          <w:p w:rsidR="00BF2463" w:rsidRPr="00A81A9D" w:rsidRDefault="00BF2463" w:rsidP="00BF2463">
            <w:pPr>
              <w:jc w:val="center"/>
              <w:rPr>
                <w:rFonts w:cs="Arial"/>
                <w:b/>
                <w:bCs/>
                <w:sz w:val="12"/>
                <w:szCs w:val="12"/>
                <w:lang w:eastAsia="ru-RU"/>
              </w:rPr>
            </w:pPr>
          </w:p>
        </w:tc>
        <w:tc>
          <w:tcPr>
            <w:tcW w:w="1134"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Балансовая стоимость</w:t>
            </w:r>
          </w:p>
        </w:tc>
        <w:tc>
          <w:tcPr>
            <w:tcW w:w="850"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Pr>
                <w:rFonts w:cs="Arial"/>
                <w:b/>
                <w:bCs/>
                <w:sz w:val="12"/>
                <w:szCs w:val="12"/>
                <w:lang w:eastAsia="ru-RU"/>
              </w:rPr>
              <w:t xml:space="preserve"> Обесценение</w:t>
            </w:r>
          </w:p>
        </w:tc>
        <w:tc>
          <w:tcPr>
            <w:tcW w:w="992"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Поступление</w:t>
            </w:r>
          </w:p>
        </w:tc>
        <w:tc>
          <w:tcPr>
            <w:tcW w:w="709"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Выбытие</w:t>
            </w:r>
          </w:p>
        </w:tc>
        <w:tc>
          <w:tcPr>
            <w:tcW w:w="1134"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Сумма накопленной амортизации</w:t>
            </w:r>
          </w:p>
        </w:tc>
        <w:tc>
          <w:tcPr>
            <w:tcW w:w="851"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Остаточная стоимость</w:t>
            </w:r>
          </w:p>
        </w:tc>
        <w:tc>
          <w:tcPr>
            <w:tcW w:w="740"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r w:rsidRPr="00A81A9D">
              <w:rPr>
                <w:rFonts w:cs="Arial"/>
                <w:b/>
                <w:bCs/>
                <w:sz w:val="12"/>
                <w:szCs w:val="12"/>
                <w:lang w:eastAsia="ru-RU"/>
              </w:rPr>
              <w:t>Сумма созданного резерва</w:t>
            </w:r>
          </w:p>
        </w:tc>
        <w:tc>
          <w:tcPr>
            <w:tcW w:w="850" w:type="dxa"/>
            <w:tcBorders>
              <w:top w:val="single" w:sz="4" w:space="0" w:color="auto"/>
              <w:bottom w:val="single" w:sz="4" w:space="0" w:color="auto"/>
            </w:tcBorders>
            <w:shd w:val="clear" w:color="auto" w:fill="auto"/>
            <w:vAlign w:val="center"/>
            <w:hideMark/>
          </w:tcPr>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p>
          <w:p w:rsidR="00BF2463" w:rsidRPr="00A81A9D" w:rsidRDefault="00BF2463" w:rsidP="00BF2463">
            <w:pPr>
              <w:jc w:val="center"/>
              <w:rPr>
                <w:rFonts w:cs="Arial"/>
                <w:b/>
                <w:bCs/>
                <w:sz w:val="12"/>
                <w:szCs w:val="12"/>
                <w:lang w:eastAsia="ru-RU"/>
              </w:rPr>
            </w:pPr>
            <w:r w:rsidRPr="00A81A9D">
              <w:rPr>
                <w:rFonts w:cs="Arial"/>
                <w:b/>
                <w:bCs/>
                <w:sz w:val="12"/>
                <w:szCs w:val="12"/>
                <w:lang w:eastAsia="ru-RU"/>
              </w:rPr>
              <w:t>Итого</w:t>
            </w:r>
          </w:p>
        </w:tc>
      </w:tr>
      <w:tr w:rsidR="00BF2463" w:rsidRPr="00A81A9D" w:rsidTr="00BF2463">
        <w:trPr>
          <w:trHeight w:val="390"/>
        </w:trPr>
        <w:tc>
          <w:tcPr>
            <w:tcW w:w="1843" w:type="dxa"/>
            <w:tcBorders>
              <w:top w:val="single" w:sz="4" w:space="0" w:color="auto"/>
              <w:bottom w:val="single" w:sz="4" w:space="0" w:color="auto"/>
            </w:tcBorders>
            <w:shd w:val="clear" w:color="auto" w:fill="auto"/>
            <w:vAlign w:val="bottom"/>
            <w:hideMark/>
          </w:tcPr>
          <w:p w:rsidR="00BF2463" w:rsidRPr="00A4212F" w:rsidRDefault="00BF2463" w:rsidP="00BF2463">
            <w:pPr>
              <w:rPr>
                <w:rFonts w:cs="Arial"/>
                <w:bCs/>
                <w:sz w:val="12"/>
                <w:szCs w:val="12"/>
                <w:lang w:eastAsia="ru-RU"/>
              </w:rPr>
            </w:pPr>
            <w:r w:rsidRPr="00A4212F">
              <w:rPr>
                <w:rFonts w:cs="Arial"/>
                <w:bCs/>
                <w:sz w:val="12"/>
                <w:szCs w:val="12"/>
                <w:lang w:eastAsia="ru-RU"/>
              </w:rPr>
              <w:t>Нематериальные активы</w:t>
            </w:r>
          </w:p>
        </w:tc>
        <w:tc>
          <w:tcPr>
            <w:tcW w:w="851" w:type="dxa"/>
            <w:tcBorders>
              <w:top w:val="single" w:sz="4" w:space="0" w:color="auto"/>
              <w:bottom w:val="single" w:sz="4" w:space="0" w:color="auto"/>
            </w:tcBorders>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8 466</w:t>
            </w:r>
          </w:p>
        </w:tc>
        <w:tc>
          <w:tcPr>
            <w:tcW w:w="1134"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13 188</w:t>
            </w:r>
          </w:p>
        </w:tc>
        <w:tc>
          <w:tcPr>
            <w:tcW w:w="850"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992"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2 295</w:t>
            </w:r>
          </w:p>
        </w:tc>
        <w:tc>
          <w:tcPr>
            <w:tcW w:w="709"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1134"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(8 054)</w:t>
            </w:r>
          </w:p>
        </w:tc>
        <w:tc>
          <w:tcPr>
            <w:tcW w:w="851"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7 429</w:t>
            </w:r>
          </w:p>
        </w:tc>
        <w:tc>
          <w:tcPr>
            <w:tcW w:w="740"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w:t>
            </w:r>
          </w:p>
        </w:tc>
        <w:tc>
          <w:tcPr>
            <w:tcW w:w="850" w:type="dxa"/>
            <w:tcBorders>
              <w:top w:val="single" w:sz="4" w:space="0" w:color="auto"/>
              <w:bottom w:val="single" w:sz="4" w:space="0" w:color="auto"/>
            </w:tcBorders>
            <w:shd w:val="clear" w:color="auto" w:fill="auto"/>
            <w:noWrap/>
            <w:vAlign w:val="bottom"/>
          </w:tcPr>
          <w:p w:rsidR="00BF2463" w:rsidRPr="00A4212F" w:rsidRDefault="00BF2463" w:rsidP="00BF2463">
            <w:pPr>
              <w:jc w:val="center"/>
              <w:rPr>
                <w:rFonts w:cs="Arial"/>
                <w:bCs/>
                <w:sz w:val="12"/>
                <w:szCs w:val="12"/>
                <w:lang w:eastAsia="ru-RU"/>
              </w:rPr>
            </w:pPr>
            <w:r w:rsidRPr="00A4212F">
              <w:rPr>
                <w:rFonts w:cs="Arial"/>
                <w:bCs/>
                <w:sz w:val="12"/>
                <w:szCs w:val="12"/>
                <w:lang w:eastAsia="ru-RU"/>
              </w:rPr>
              <w:t>7 429</w:t>
            </w:r>
          </w:p>
        </w:tc>
      </w:tr>
      <w:tr w:rsidR="00BF2463" w:rsidRPr="00A81A9D" w:rsidTr="00BF2463">
        <w:trPr>
          <w:trHeight w:val="300"/>
        </w:trPr>
        <w:tc>
          <w:tcPr>
            <w:tcW w:w="1843" w:type="dxa"/>
            <w:tcBorders>
              <w:top w:val="single" w:sz="4" w:space="0" w:color="auto"/>
            </w:tcBorders>
            <w:shd w:val="clear" w:color="auto" w:fill="auto"/>
            <w:noWrap/>
            <w:vAlign w:val="bottom"/>
            <w:hideMark/>
          </w:tcPr>
          <w:p w:rsidR="00BF2463" w:rsidRPr="00A81A9D" w:rsidRDefault="00BF2463" w:rsidP="00BF2463">
            <w:pPr>
              <w:rPr>
                <w:rFonts w:cs="Arial"/>
                <w:sz w:val="12"/>
                <w:szCs w:val="12"/>
                <w:lang w:eastAsia="ru-RU"/>
              </w:rPr>
            </w:pPr>
          </w:p>
        </w:tc>
        <w:tc>
          <w:tcPr>
            <w:tcW w:w="851" w:type="dxa"/>
            <w:tcBorders>
              <w:top w:val="single" w:sz="4" w:space="0" w:color="auto"/>
            </w:tcBorders>
            <w:vAlign w:val="bottom"/>
          </w:tcPr>
          <w:p w:rsidR="00BF2463" w:rsidRPr="00A81A9D" w:rsidRDefault="00BF2463" w:rsidP="00BF2463">
            <w:pPr>
              <w:jc w:val="center"/>
              <w:rPr>
                <w:rFonts w:cs="Arial"/>
                <w:sz w:val="12"/>
                <w:szCs w:val="12"/>
                <w:lang w:eastAsia="ru-RU"/>
              </w:rPr>
            </w:pPr>
          </w:p>
        </w:tc>
        <w:tc>
          <w:tcPr>
            <w:tcW w:w="1134"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850"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992"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709"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1134"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851"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740"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c>
          <w:tcPr>
            <w:tcW w:w="850" w:type="dxa"/>
            <w:tcBorders>
              <w:top w:val="single" w:sz="4" w:space="0" w:color="auto"/>
            </w:tcBorders>
            <w:shd w:val="clear" w:color="auto" w:fill="auto"/>
            <w:noWrap/>
            <w:vAlign w:val="bottom"/>
          </w:tcPr>
          <w:p w:rsidR="00BF2463" w:rsidRPr="00A81A9D" w:rsidRDefault="00BF2463" w:rsidP="00BF2463">
            <w:pPr>
              <w:jc w:val="center"/>
              <w:rPr>
                <w:rFonts w:cs="Arial"/>
                <w:sz w:val="12"/>
                <w:szCs w:val="12"/>
                <w:lang w:eastAsia="ru-RU"/>
              </w:rPr>
            </w:pPr>
          </w:p>
        </w:tc>
      </w:tr>
    </w:tbl>
    <w:p w:rsidR="00BF2463" w:rsidRDefault="00BF2463" w:rsidP="00BF2463">
      <w:pPr>
        <w:jc w:val="both"/>
        <w:rPr>
          <w:rFonts w:cs="Arial"/>
          <w:sz w:val="20"/>
          <w:szCs w:val="20"/>
          <w:lang w:val="ru-RU"/>
        </w:rPr>
      </w:pPr>
      <w:r w:rsidRPr="00BF2463">
        <w:rPr>
          <w:rFonts w:cs="Arial"/>
          <w:sz w:val="20"/>
          <w:szCs w:val="20"/>
          <w:lang w:val="ru-RU"/>
        </w:rPr>
        <w:t>За двенадцать месяцев, завершившихся 31 декабря 2018 года Банк, не отражает амортизацию нематериальных активов в статьях отчета о совокупном доходе.</w:t>
      </w:r>
    </w:p>
    <w:p w:rsidR="00A4212F" w:rsidRPr="00BF2463" w:rsidRDefault="00A4212F" w:rsidP="00BF2463">
      <w:pPr>
        <w:jc w:val="both"/>
        <w:rPr>
          <w:rFonts w:cs="Arial"/>
          <w:sz w:val="20"/>
          <w:szCs w:val="20"/>
          <w:lang w:val="ru-RU"/>
        </w:rPr>
      </w:pPr>
    </w:p>
    <w:p w:rsidR="00BF2463" w:rsidRPr="00A4212F" w:rsidRDefault="00BF2463" w:rsidP="00BF2463">
      <w:pPr>
        <w:jc w:val="both"/>
        <w:rPr>
          <w:rFonts w:cs="Arial"/>
          <w:sz w:val="20"/>
          <w:szCs w:val="20"/>
          <w:lang w:val="ru-RU"/>
        </w:rPr>
      </w:pPr>
      <w:r w:rsidRPr="00C337F4">
        <w:rPr>
          <w:rFonts w:cs="Arial"/>
          <w:sz w:val="20"/>
          <w:szCs w:val="20"/>
        </w:rPr>
        <w:t>Пос</w:t>
      </w:r>
      <w:r w:rsidR="00A4212F">
        <w:rPr>
          <w:rFonts w:cs="Arial"/>
          <w:sz w:val="20"/>
          <w:szCs w:val="20"/>
        </w:rPr>
        <w:t>тупления нематериальных активов</w:t>
      </w:r>
      <w:r w:rsidR="00A4212F">
        <w:rPr>
          <w:rFonts w:cs="Arial"/>
          <w:sz w:val="20"/>
          <w:szCs w:val="20"/>
          <w:lang w:val="ru-RU"/>
        </w:rPr>
        <w:t xml:space="preserve"> за 2018 год</w:t>
      </w:r>
    </w:p>
    <w:p w:rsidR="00A4212F" w:rsidRPr="00A4212F" w:rsidRDefault="00A4212F" w:rsidP="00BF2463">
      <w:pPr>
        <w:jc w:val="both"/>
        <w:rPr>
          <w:rFonts w:cs="Arial"/>
          <w:sz w:val="20"/>
          <w:szCs w:val="20"/>
          <w:lang w:val="ru-RU"/>
        </w:rPr>
      </w:pPr>
    </w:p>
    <w:tbl>
      <w:tblPr>
        <w:tblW w:w="9923" w:type="dxa"/>
        <w:tblLayout w:type="fixed"/>
        <w:tblCellMar>
          <w:left w:w="0" w:type="dxa"/>
          <w:right w:w="0" w:type="dxa"/>
        </w:tblCellMar>
        <w:tblLook w:val="0600" w:firstRow="0" w:lastRow="0" w:firstColumn="0" w:lastColumn="0" w:noHBand="1" w:noVBand="1"/>
      </w:tblPr>
      <w:tblGrid>
        <w:gridCol w:w="2552"/>
        <w:gridCol w:w="567"/>
        <w:gridCol w:w="4252"/>
        <w:gridCol w:w="2552"/>
      </w:tblGrid>
      <w:tr w:rsidR="00BF2463" w:rsidRPr="006521C6" w:rsidTr="00BF2463">
        <w:trPr>
          <w:trHeight w:val="255"/>
          <w:tblHeader/>
        </w:trPr>
        <w:tc>
          <w:tcPr>
            <w:tcW w:w="2552" w:type="dxa"/>
            <w:tcBorders>
              <w:top w:val="single" w:sz="4" w:space="0" w:color="auto"/>
              <w:bottom w:val="single" w:sz="4" w:space="0" w:color="auto"/>
            </w:tcBorders>
            <w:shd w:val="clear" w:color="auto" w:fill="auto"/>
            <w:noWrap/>
            <w:vAlign w:val="center"/>
            <w:hideMark/>
          </w:tcPr>
          <w:p w:rsidR="00BF2463" w:rsidRPr="006521C6" w:rsidRDefault="00BF2463" w:rsidP="00A4212F">
            <w:pPr>
              <w:rPr>
                <w:rFonts w:cs="Arial"/>
                <w:b/>
                <w:sz w:val="14"/>
                <w:szCs w:val="14"/>
                <w:lang w:eastAsia="ru-RU"/>
              </w:rPr>
            </w:pPr>
            <w:r w:rsidRPr="006521C6">
              <w:rPr>
                <w:rFonts w:cs="Arial"/>
                <w:b/>
                <w:sz w:val="14"/>
                <w:szCs w:val="14"/>
                <w:lang w:eastAsia="ru-RU"/>
              </w:rPr>
              <w:t>Наименование объекта</w:t>
            </w:r>
          </w:p>
        </w:tc>
        <w:tc>
          <w:tcPr>
            <w:tcW w:w="567" w:type="dxa"/>
            <w:tcBorders>
              <w:top w:val="single" w:sz="4" w:space="0" w:color="auto"/>
              <w:bottom w:val="single" w:sz="4" w:space="0" w:color="auto"/>
            </w:tcBorders>
            <w:vAlign w:val="center"/>
          </w:tcPr>
          <w:p w:rsidR="00BF2463" w:rsidRPr="006521C6" w:rsidRDefault="00BF2463" w:rsidP="00BF2463">
            <w:pPr>
              <w:jc w:val="center"/>
              <w:rPr>
                <w:rFonts w:cs="Arial"/>
                <w:b/>
                <w:sz w:val="14"/>
                <w:szCs w:val="14"/>
                <w:lang w:eastAsia="ru-RU"/>
              </w:rPr>
            </w:pPr>
            <w:r w:rsidRPr="006521C6">
              <w:rPr>
                <w:rFonts w:cs="Arial"/>
                <w:b/>
                <w:sz w:val="14"/>
                <w:szCs w:val="14"/>
                <w:lang w:eastAsia="ru-RU"/>
              </w:rPr>
              <w:t>Кол-во</w:t>
            </w:r>
          </w:p>
        </w:tc>
        <w:tc>
          <w:tcPr>
            <w:tcW w:w="4252" w:type="dxa"/>
            <w:tcBorders>
              <w:top w:val="single" w:sz="4" w:space="0" w:color="auto"/>
              <w:bottom w:val="single" w:sz="4" w:space="0" w:color="auto"/>
            </w:tcBorders>
            <w:vAlign w:val="center"/>
          </w:tcPr>
          <w:p w:rsidR="00BF2463" w:rsidRPr="006521C6" w:rsidRDefault="00BF2463" w:rsidP="00BF2463">
            <w:pPr>
              <w:jc w:val="center"/>
              <w:rPr>
                <w:rFonts w:cs="Arial"/>
                <w:b/>
                <w:sz w:val="14"/>
                <w:szCs w:val="14"/>
                <w:lang w:eastAsia="ru-RU"/>
              </w:rPr>
            </w:pPr>
            <w:r w:rsidRPr="006521C6">
              <w:rPr>
                <w:rFonts w:cs="Arial"/>
                <w:b/>
                <w:sz w:val="14"/>
                <w:szCs w:val="14"/>
                <w:lang w:eastAsia="ru-RU"/>
              </w:rPr>
              <w:t>Основание</w:t>
            </w:r>
          </w:p>
        </w:tc>
        <w:tc>
          <w:tcPr>
            <w:tcW w:w="2552" w:type="dxa"/>
            <w:tcBorders>
              <w:top w:val="single" w:sz="4" w:space="0" w:color="auto"/>
              <w:bottom w:val="single" w:sz="4" w:space="0" w:color="auto"/>
            </w:tcBorders>
            <w:shd w:val="clear" w:color="auto" w:fill="auto"/>
            <w:noWrap/>
            <w:vAlign w:val="center"/>
            <w:hideMark/>
          </w:tcPr>
          <w:p w:rsidR="00BF2463" w:rsidRPr="006521C6" w:rsidRDefault="00BF2463" w:rsidP="00BF2463">
            <w:pPr>
              <w:jc w:val="center"/>
              <w:rPr>
                <w:rFonts w:cs="Arial"/>
                <w:b/>
                <w:sz w:val="14"/>
                <w:szCs w:val="14"/>
                <w:lang w:eastAsia="ru-RU"/>
              </w:rPr>
            </w:pPr>
            <w:r w:rsidRPr="006521C6">
              <w:rPr>
                <w:rFonts w:cs="Arial"/>
                <w:b/>
                <w:sz w:val="14"/>
                <w:szCs w:val="14"/>
                <w:lang w:eastAsia="ru-RU"/>
              </w:rPr>
              <w:t>Поступление</w:t>
            </w:r>
          </w:p>
        </w:tc>
      </w:tr>
      <w:tr w:rsidR="00BF2463" w:rsidRPr="006521C6" w:rsidTr="00BF2463">
        <w:trPr>
          <w:trHeight w:val="284"/>
        </w:trPr>
        <w:tc>
          <w:tcPr>
            <w:tcW w:w="2552" w:type="dxa"/>
            <w:tcBorders>
              <w:top w:val="single" w:sz="4" w:space="0" w:color="auto"/>
              <w:bottom w:val="single" w:sz="4" w:space="0" w:color="auto"/>
            </w:tcBorders>
            <w:shd w:val="clear" w:color="auto" w:fill="auto"/>
            <w:noWrap/>
            <w:vAlign w:val="center"/>
          </w:tcPr>
          <w:p w:rsidR="00BF2463" w:rsidRPr="006521C6" w:rsidRDefault="00BF2463" w:rsidP="00A4212F">
            <w:pPr>
              <w:rPr>
                <w:rFonts w:cs="Arial"/>
                <w:sz w:val="14"/>
                <w:szCs w:val="14"/>
                <w:lang w:eastAsia="ru-RU"/>
              </w:rPr>
            </w:pPr>
            <w:r w:rsidRPr="006521C6">
              <w:rPr>
                <w:rFonts w:cs="Arial"/>
                <w:sz w:val="14"/>
                <w:szCs w:val="14"/>
                <w:lang w:eastAsia="ru-RU"/>
              </w:rPr>
              <w:t>Лицензии на ПП</w:t>
            </w:r>
          </w:p>
        </w:tc>
        <w:tc>
          <w:tcPr>
            <w:tcW w:w="567" w:type="dxa"/>
            <w:tcBorders>
              <w:top w:val="single" w:sz="4" w:space="0" w:color="auto"/>
              <w:bottom w:val="single" w:sz="4" w:space="0" w:color="auto"/>
            </w:tcBorders>
            <w:vAlign w:val="center"/>
          </w:tcPr>
          <w:p w:rsidR="00BF2463" w:rsidRPr="006521C6" w:rsidRDefault="00BF2463" w:rsidP="00BF2463">
            <w:pPr>
              <w:jc w:val="center"/>
              <w:rPr>
                <w:rFonts w:cs="Arial"/>
                <w:sz w:val="14"/>
                <w:szCs w:val="14"/>
                <w:lang w:eastAsia="ru-RU"/>
              </w:rPr>
            </w:pPr>
            <w:r w:rsidRPr="006521C6">
              <w:rPr>
                <w:rFonts w:cs="Arial"/>
                <w:sz w:val="14"/>
                <w:szCs w:val="14"/>
                <w:lang w:eastAsia="ru-RU"/>
              </w:rPr>
              <w:t>8</w:t>
            </w:r>
          </w:p>
        </w:tc>
        <w:tc>
          <w:tcPr>
            <w:tcW w:w="4252" w:type="dxa"/>
            <w:tcBorders>
              <w:top w:val="single" w:sz="4" w:space="0" w:color="auto"/>
              <w:bottom w:val="single" w:sz="4" w:space="0" w:color="auto"/>
            </w:tcBorders>
            <w:vAlign w:val="center"/>
          </w:tcPr>
          <w:p w:rsidR="00BF2463" w:rsidRPr="006521C6" w:rsidRDefault="00BF2463" w:rsidP="00BF2463">
            <w:pPr>
              <w:jc w:val="center"/>
              <w:rPr>
                <w:rFonts w:cs="Arial"/>
                <w:sz w:val="14"/>
                <w:szCs w:val="14"/>
                <w:lang w:eastAsia="ru-RU"/>
              </w:rPr>
            </w:pPr>
            <w:r w:rsidRPr="006521C6">
              <w:rPr>
                <w:rFonts w:cs="Arial"/>
                <w:sz w:val="14"/>
                <w:szCs w:val="14"/>
                <w:lang w:eastAsia="ru-RU"/>
              </w:rPr>
              <w:t>Акт приема-передачи права</w:t>
            </w:r>
          </w:p>
        </w:tc>
        <w:tc>
          <w:tcPr>
            <w:tcW w:w="2552" w:type="dxa"/>
            <w:tcBorders>
              <w:top w:val="single" w:sz="4" w:space="0" w:color="auto"/>
              <w:bottom w:val="single" w:sz="4" w:space="0" w:color="auto"/>
            </w:tcBorders>
            <w:shd w:val="clear" w:color="auto" w:fill="auto"/>
            <w:noWrap/>
            <w:vAlign w:val="center"/>
          </w:tcPr>
          <w:p w:rsidR="00BF2463" w:rsidRPr="006521C6" w:rsidRDefault="00BF2463" w:rsidP="00BF2463">
            <w:pPr>
              <w:jc w:val="center"/>
              <w:rPr>
                <w:rFonts w:cs="Arial"/>
                <w:sz w:val="14"/>
                <w:szCs w:val="14"/>
                <w:lang w:eastAsia="ru-RU"/>
              </w:rPr>
            </w:pPr>
            <w:r w:rsidRPr="006521C6">
              <w:rPr>
                <w:rFonts w:cs="Arial"/>
                <w:sz w:val="14"/>
                <w:szCs w:val="14"/>
                <w:lang w:eastAsia="ru-RU"/>
              </w:rPr>
              <w:t>1 224</w:t>
            </w:r>
          </w:p>
        </w:tc>
      </w:tr>
    </w:tbl>
    <w:p w:rsidR="00C77E2C" w:rsidRDefault="00C77E2C" w:rsidP="00BF2463">
      <w:pPr>
        <w:jc w:val="both"/>
        <w:rPr>
          <w:rFonts w:cs="Arial"/>
          <w:sz w:val="20"/>
          <w:szCs w:val="20"/>
          <w:lang w:val="ru-RU"/>
        </w:rPr>
      </w:pPr>
    </w:p>
    <w:p w:rsidR="00BF2463" w:rsidRPr="00BF2463" w:rsidRDefault="00BF2463" w:rsidP="00BF2463">
      <w:pPr>
        <w:jc w:val="both"/>
        <w:rPr>
          <w:rFonts w:cs="Arial"/>
          <w:sz w:val="20"/>
          <w:szCs w:val="20"/>
          <w:lang w:val="ru-RU"/>
        </w:rPr>
      </w:pPr>
      <w:r w:rsidRPr="00BF2463">
        <w:rPr>
          <w:rFonts w:cs="Arial"/>
          <w:sz w:val="20"/>
          <w:szCs w:val="20"/>
          <w:lang w:val="ru-RU"/>
        </w:rPr>
        <w:lastRenderedPageBreak/>
        <w:t xml:space="preserve">На момент составления годовой бухгалтерской (финансовой) отчетности Банк не имеет активов, которые классифицированные как предназначенные для продажи или включенные в выбывающую группу, классифицированную как предназначенная для продажи, и прочие выбытия. </w:t>
      </w:r>
    </w:p>
    <w:p w:rsidR="00BF2463" w:rsidRPr="00BF2463" w:rsidRDefault="00BF2463" w:rsidP="00BF2463">
      <w:pPr>
        <w:jc w:val="both"/>
        <w:rPr>
          <w:rFonts w:cs="Arial"/>
          <w:color w:val="FF0000"/>
          <w:sz w:val="20"/>
          <w:szCs w:val="20"/>
          <w:lang w:val="ru-RU"/>
        </w:rPr>
      </w:pPr>
      <w:r w:rsidRPr="00BF2463">
        <w:rPr>
          <w:rFonts w:cs="Arial"/>
          <w:sz w:val="20"/>
          <w:szCs w:val="20"/>
          <w:lang w:val="ru-RU"/>
        </w:rPr>
        <w:t>За 2018 год Банк, не имеет сведений по увеличению или уменьшению в течение отчетного периода, возникших в результате переоценок и в результате убытков от обесценения, признанных или восстановленных непосредственно в составе прочего со</w:t>
      </w:r>
      <w:r w:rsidR="00A4212F">
        <w:rPr>
          <w:rFonts w:cs="Arial"/>
          <w:sz w:val="20"/>
          <w:szCs w:val="20"/>
          <w:lang w:val="ru-RU"/>
        </w:rPr>
        <w:t>вокупного дохода (при наличии).</w:t>
      </w:r>
    </w:p>
    <w:p w:rsidR="00BF2463" w:rsidRPr="00BF2463" w:rsidRDefault="00BF2463" w:rsidP="00BF2463">
      <w:pPr>
        <w:jc w:val="both"/>
        <w:rPr>
          <w:rFonts w:cs="Arial"/>
          <w:sz w:val="20"/>
          <w:szCs w:val="20"/>
          <w:lang w:val="ru-RU"/>
        </w:rPr>
      </w:pPr>
      <w:r w:rsidRPr="00BF2463">
        <w:rPr>
          <w:rFonts w:cs="Arial"/>
          <w:sz w:val="20"/>
          <w:szCs w:val="20"/>
          <w:lang w:val="ru-RU"/>
        </w:rPr>
        <w:t xml:space="preserve">За 2018 год у Банка нет убытка от обесценения, признанные в составе прибыли (убытка) в течение отчетного периода и Банк не имеет убытка от обесценения, восстановленных в составе прибыли (убытка) в течение отчетного периода. </w:t>
      </w:r>
    </w:p>
    <w:p w:rsidR="00BF2463" w:rsidRPr="00BF2463" w:rsidRDefault="00BF2463" w:rsidP="00BF2463">
      <w:pPr>
        <w:jc w:val="both"/>
        <w:rPr>
          <w:rFonts w:cs="Arial"/>
          <w:sz w:val="20"/>
          <w:szCs w:val="20"/>
          <w:lang w:val="ru-RU"/>
        </w:rPr>
      </w:pPr>
      <w:r w:rsidRPr="00BF2463">
        <w:rPr>
          <w:rFonts w:cs="Arial"/>
          <w:sz w:val="20"/>
          <w:szCs w:val="20"/>
          <w:lang w:val="ru-RU"/>
        </w:rPr>
        <w:t>За двенадцать месяцев, завершившихся 31 декабря 2018 года</w:t>
      </w:r>
      <w:r w:rsidR="00A4212F">
        <w:rPr>
          <w:rFonts w:cs="Arial"/>
          <w:sz w:val="20"/>
          <w:szCs w:val="20"/>
          <w:lang w:val="ru-RU"/>
        </w:rPr>
        <w:t>,</w:t>
      </w:r>
      <w:r w:rsidRPr="00BF2463">
        <w:rPr>
          <w:rFonts w:cs="Arial"/>
          <w:sz w:val="20"/>
          <w:szCs w:val="20"/>
          <w:lang w:val="ru-RU"/>
        </w:rPr>
        <w:t xml:space="preserve"> Банком признана амортизация в сумме 2</w:t>
      </w:r>
      <w:r w:rsidRPr="00C337F4">
        <w:rPr>
          <w:rFonts w:cs="Arial"/>
          <w:sz w:val="20"/>
          <w:szCs w:val="20"/>
        </w:rPr>
        <w:t> </w:t>
      </w:r>
      <w:r w:rsidR="00A4212F">
        <w:rPr>
          <w:rFonts w:cs="Arial"/>
          <w:sz w:val="20"/>
          <w:szCs w:val="20"/>
          <w:lang w:val="ru-RU"/>
        </w:rPr>
        <w:t>762 тыс.</w:t>
      </w:r>
      <w:r w:rsidRPr="00BF2463">
        <w:rPr>
          <w:rFonts w:cs="Arial"/>
          <w:sz w:val="20"/>
          <w:szCs w:val="20"/>
          <w:lang w:val="ru-RU"/>
        </w:rPr>
        <w:t>руб.</w:t>
      </w:r>
    </w:p>
    <w:p w:rsidR="00BF2463" w:rsidRPr="00BF2463" w:rsidRDefault="00BF2463" w:rsidP="00BF2463">
      <w:pPr>
        <w:jc w:val="both"/>
        <w:rPr>
          <w:rFonts w:cs="Arial"/>
          <w:sz w:val="20"/>
          <w:szCs w:val="20"/>
          <w:lang w:val="ru-RU"/>
        </w:rPr>
      </w:pPr>
      <w:r w:rsidRPr="00BF2463">
        <w:rPr>
          <w:rFonts w:cs="Arial"/>
          <w:sz w:val="20"/>
          <w:szCs w:val="20"/>
          <w:lang w:val="ru-RU"/>
        </w:rPr>
        <w:t>Дополнительная информация в отношении нематериальных активов:</w:t>
      </w:r>
    </w:p>
    <w:p w:rsidR="00BF2463" w:rsidRPr="00BF2463" w:rsidRDefault="00BF2463" w:rsidP="00BF2463">
      <w:pPr>
        <w:jc w:val="both"/>
        <w:rPr>
          <w:rFonts w:cs="Arial"/>
          <w:color w:val="FF0000"/>
          <w:sz w:val="20"/>
          <w:szCs w:val="20"/>
          <w:lang w:val="ru-RU"/>
        </w:rPr>
      </w:pPr>
    </w:p>
    <w:tbl>
      <w:tblPr>
        <w:tblStyle w:val="affc"/>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5670"/>
        <w:gridCol w:w="3402"/>
      </w:tblGrid>
      <w:tr w:rsidR="00BF2463" w:rsidRPr="006521C6" w:rsidTr="00A4212F">
        <w:tc>
          <w:tcPr>
            <w:tcW w:w="959" w:type="dxa"/>
            <w:tcBorders>
              <w:top w:val="single" w:sz="4" w:space="0" w:color="auto"/>
              <w:bottom w:val="single" w:sz="4" w:space="0" w:color="auto"/>
            </w:tcBorders>
          </w:tcPr>
          <w:p w:rsidR="00BF2463" w:rsidRPr="00A4212F" w:rsidRDefault="00BF2463" w:rsidP="00BF2463">
            <w:pPr>
              <w:jc w:val="center"/>
              <w:rPr>
                <w:rFonts w:cs="Arial"/>
                <w:b/>
                <w:sz w:val="14"/>
                <w:szCs w:val="14"/>
                <w:lang w:val="ru-RU"/>
              </w:rPr>
            </w:pPr>
            <w:r w:rsidRPr="006521C6">
              <w:rPr>
                <w:rFonts w:cs="Arial"/>
                <w:b/>
                <w:sz w:val="14"/>
                <w:szCs w:val="14"/>
              </w:rPr>
              <w:t xml:space="preserve">Пункт </w:t>
            </w:r>
            <w:r w:rsidR="00A4212F">
              <w:rPr>
                <w:rFonts w:cs="Arial"/>
                <w:b/>
                <w:sz w:val="14"/>
                <w:szCs w:val="14"/>
                <w:lang w:val="ru-RU"/>
              </w:rPr>
              <w:t>по 4638-У</w:t>
            </w:r>
          </w:p>
        </w:tc>
        <w:tc>
          <w:tcPr>
            <w:tcW w:w="5670" w:type="dxa"/>
            <w:tcBorders>
              <w:top w:val="single" w:sz="4" w:space="0" w:color="auto"/>
              <w:bottom w:val="single" w:sz="4" w:space="0" w:color="auto"/>
            </w:tcBorders>
          </w:tcPr>
          <w:p w:rsidR="00BF2463" w:rsidRPr="006521C6" w:rsidRDefault="00BF2463" w:rsidP="00BF2463">
            <w:pPr>
              <w:jc w:val="center"/>
              <w:rPr>
                <w:rFonts w:cs="Arial"/>
                <w:b/>
                <w:sz w:val="14"/>
                <w:szCs w:val="14"/>
              </w:rPr>
            </w:pPr>
            <w:r w:rsidRPr="006521C6">
              <w:rPr>
                <w:rFonts w:cs="Arial"/>
                <w:b/>
                <w:sz w:val="14"/>
                <w:szCs w:val="14"/>
              </w:rPr>
              <w:t>Содержание</w:t>
            </w:r>
          </w:p>
        </w:tc>
        <w:tc>
          <w:tcPr>
            <w:tcW w:w="3402" w:type="dxa"/>
            <w:tcBorders>
              <w:top w:val="single" w:sz="4" w:space="0" w:color="auto"/>
              <w:bottom w:val="single" w:sz="4" w:space="0" w:color="auto"/>
            </w:tcBorders>
          </w:tcPr>
          <w:p w:rsidR="00BF2463" w:rsidRPr="006521C6" w:rsidRDefault="00BF2463" w:rsidP="00BF2463">
            <w:pPr>
              <w:jc w:val="center"/>
              <w:rPr>
                <w:rFonts w:cs="Arial"/>
                <w:b/>
                <w:sz w:val="14"/>
                <w:szCs w:val="14"/>
              </w:rPr>
            </w:pPr>
            <w:r w:rsidRPr="006521C6">
              <w:rPr>
                <w:rFonts w:cs="Arial"/>
                <w:b/>
                <w:sz w:val="14"/>
                <w:szCs w:val="14"/>
              </w:rPr>
              <w:t>Раскрытие информации</w:t>
            </w:r>
          </w:p>
        </w:tc>
      </w:tr>
      <w:tr w:rsidR="00BF2463" w:rsidRPr="006521C6" w:rsidTr="00A4212F">
        <w:tc>
          <w:tcPr>
            <w:tcW w:w="959" w:type="dxa"/>
            <w:tcBorders>
              <w:top w:val="single" w:sz="4" w:space="0" w:color="auto"/>
            </w:tcBorders>
          </w:tcPr>
          <w:p w:rsidR="00BF2463" w:rsidRPr="00A4212F" w:rsidRDefault="00BF2463" w:rsidP="00BF2463">
            <w:pPr>
              <w:jc w:val="center"/>
              <w:rPr>
                <w:rFonts w:cs="Arial"/>
                <w:sz w:val="14"/>
                <w:szCs w:val="14"/>
              </w:rPr>
            </w:pPr>
            <w:r w:rsidRPr="00A4212F">
              <w:rPr>
                <w:rFonts w:cs="Arial"/>
                <w:sz w:val="14"/>
                <w:szCs w:val="14"/>
              </w:rPr>
              <w:t>6.1.17.1.</w:t>
            </w:r>
          </w:p>
        </w:tc>
        <w:tc>
          <w:tcPr>
            <w:tcW w:w="5670" w:type="dxa"/>
            <w:tcBorders>
              <w:top w:val="single" w:sz="4" w:space="0" w:color="auto"/>
            </w:tcBorders>
          </w:tcPr>
          <w:p w:rsidR="00BF2463" w:rsidRPr="00A4212F" w:rsidRDefault="00BF2463" w:rsidP="00A4212F">
            <w:pPr>
              <w:jc w:val="both"/>
              <w:rPr>
                <w:rFonts w:cs="Arial"/>
                <w:sz w:val="14"/>
                <w:szCs w:val="14"/>
                <w:lang w:val="ru-RU"/>
              </w:rPr>
            </w:pPr>
            <w:r w:rsidRPr="00A4212F">
              <w:rPr>
                <w:rFonts w:cs="Arial"/>
                <w:sz w:val="14"/>
                <w:szCs w:val="14"/>
                <w:lang w:val="ru-RU"/>
              </w:rPr>
              <w:t>Убыток от обесценения, который признан или восстановлен в отчетном периоде</w:t>
            </w:r>
          </w:p>
        </w:tc>
        <w:tc>
          <w:tcPr>
            <w:tcW w:w="3402" w:type="dxa"/>
            <w:tcBorders>
              <w:top w:val="single" w:sz="4" w:space="0" w:color="auto"/>
            </w:tcBorders>
          </w:tcPr>
          <w:p w:rsidR="00BF2463" w:rsidRDefault="00BF2463" w:rsidP="00A4212F">
            <w:pPr>
              <w:jc w:val="both"/>
              <w:rPr>
                <w:rFonts w:cs="Arial"/>
                <w:sz w:val="14"/>
                <w:szCs w:val="14"/>
                <w:lang w:val="ru-RU"/>
              </w:rPr>
            </w:pPr>
            <w:r w:rsidRPr="00A4212F">
              <w:rPr>
                <w:rFonts w:cs="Arial"/>
                <w:sz w:val="14"/>
                <w:szCs w:val="14"/>
              </w:rPr>
              <w:t>Убытков нет</w:t>
            </w:r>
          </w:p>
          <w:p w:rsidR="00A4212F" w:rsidRPr="00A4212F" w:rsidRDefault="00A4212F" w:rsidP="00A4212F">
            <w:pPr>
              <w:jc w:val="both"/>
              <w:rPr>
                <w:rFonts w:cs="Arial"/>
                <w:sz w:val="14"/>
                <w:szCs w:val="14"/>
                <w:lang w:val="ru-RU"/>
              </w:rPr>
            </w:pPr>
          </w:p>
        </w:tc>
      </w:tr>
      <w:tr w:rsidR="00BF2463" w:rsidRPr="006521C6" w:rsidTr="00A4212F">
        <w:tc>
          <w:tcPr>
            <w:tcW w:w="959" w:type="dxa"/>
          </w:tcPr>
          <w:p w:rsidR="00BF2463" w:rsidRPr="00A4212F" w:rsidRDefault="00BF2463" w:rsidP="00A4212F">
            <w:pPr>
              <w:jc w:val="center"/>
              <w:rPr>
                <w:rFonts w:cs="Arial"/>
                <w:sz w:val="14"/>
                <w:szCs w:val="14"/>
              </w:rPr>
            </w:pPr>
            <w:r w:rsidRPr="00A4212F">
              <w:rPr>
                <w:rFonts w:cs="Arial"/>
                <w:sz w:val="14"/>
                <w:szCs w:val="14"/>
              </w:rPr>
              <w:t>6.1.17.1.1.</w:t>
            </w:r>
          </w:p>
        </w:tc>
        <w:tc>
          <w:tcPr>
            <w:tcW w:w="5670" w:type="dxa"/>
          </w:tcPr>
          <w:p w:rsidR="00BF2463" w:rsidRDefault="00BF2463" w:rsidP="00A4212F">
            <w:pPr>
              <w:jc w:val="both"/>
              <w:rPr>
                <w:rFonts w:cs="Arial"/>
                <w:sz w:val="14"/>
                <w:szCs w:val="14"/>
                <w:lang w:val="ru-RU"/>
              </w:rPr>
            </w:pPr>
            <w:r w:rsidRPr="00A4212F">
              <w:rPr>
                <w:rFonts w:cs="Arial"/>
                <w:sz w:val="14"/>
                <w:szCs w:val="14"/>
                <w:lang w:val="ru-RU"/>
              </w:rPr>
              <w:t>Информации в отношении нематериальных активов, об обесценении и восстановлении убытков от обесценения которых раскрывается в агрегированном виде</w:t>
            </w:r>
          </w:p>
          <w:p w:rsidR="00A4212F" w:rsidRPr="00A4212F" w:rsidRDefault="00A4212F" w:rsidP="00A4212F">
            <w:pPr>
              <w:jc w:val="both"/>
              <w:rPr>
                <w:rFonts w:cs="Arial"/>
                <w:sz w:val="14"/>
                <w:szCs w:val="14"/>
                <w:lang w:val="ru-RU"/>
              </w:rPr>
            </w:pPr>
          </w:p>
        </w:tc>
        <w:tc>
          <w:tcPr>
            <w:tcW w:w="3402" w:type="dxa"/>
          </w:tcPr>
          <w:p w:rsidR="00BF2463" w:rsidRPr="00A4212F" w:rsidRDefault="00BF2463" w:rsidP="00A4212F">
            <w:pPr>
              <w:jc w:val="both"/>
              <w:rPr>
                <w:rFonts w:cs="Arial"/>
                <w:sz w:val="14"/>
                <w:szCs w:val="14"/>
                <w:lang w:val="ru-RU"/>
              </w:rPr>
            </w:pPr>
          </w:p>
          <w:p w:rsidR="00BF2463" w:rsidRDefault="00BF2463" w:rsidP="00A4212F">
            <w:pPr>
              <w:jc w:val="both"/>
              <w:rPr>
                <w:rFonts w:cs="Arial"/>
                <w:sz w:val="14"/>
                <w:szCs w:val="14"/>
                <w:lang w:val="ru-RU"/>
              </w:rPr>
            </w:pPr>
            <w:r w:rsidRPr="00A4212F">
              <w:rPr>
                <w:rFonts w:cs="Arial"/>
                <w:sz w:val="14"/>
                <w:szCs w:val="14"/>
              </w:rPr>
              <w:t>Данных нет</w:t>
            </w:r>
          </w:p>
          <w:p w:rsidR="00A4212F" w:rsidRPr="00A4212F" w:rsidRDefault="00A4212F" w:rsidP="00A4212F">
            <w:pPr>
              <w:jc w:val="both"/>
              <w:rPr>
                <w:rFonts w:cs="Arial"/>
                <w:sz w:val="14"/>
                <w:szCs w:val="14"/>
                <w:lang w:val="ru-RU"/>
              </w:rPr>
            </w:pPr>
          </w:p>
        </w:tc>
      </w:tr>
      <w:tr w:rsidR="00BF2463" w:rsidRPr="006C0DB6" w:rsidTr="00A4212F">
        <w:tc>
          <w:tcPr>
            <w:tcW w:w="959" w:type="dxa"/>
          </w:tcPr>
          <w:p w:rsidR="00BF2463" w:rsidRPr="00A4212F" w:rsidRDefault="00BF2463" w:rsidP="00A4212F">
            <w:pPr>
              <w:jc w:val="center"/>
              <w:rPr>
                <w:rFonts w:cs="Arial"/>
                <w:sz w:val="14"/>
                <w:szCs w:val="14"/>
              </w:rPr>
            </w:pPr>
            <w:r w:rsidRPr="00A4212F">
              <w:rPr>
                <w:rFonts w:cs="Arial"/>
                <w:sz w:val="14"/>
                <w:szCs w:val="14"/>
              </w:rPr>
              <w:t>6.1.17.1.2.</w:t>
            </w:r>
          </w:p>
        </w:tc>
        <w:tc>
          <w:tcPr>
            <w:tcW w:w="5670" w:type="dxa"/>
          </w:tcPr>
          <w:p w:rsidR="00BF2463" w:rsidRDefault="00A4212F" w:rsidP="00A4212F">
            <w:pPr>
              <w:jc w:val="both"/>
              <w:rPr>
                <w:rFonts w:cs="Arial"/>
                <w:sz w:val="14"/>
                <w:szCs w:val="14"/>
                <w:lang w:val="ru-RU"/>
              </w:rPr>
            </w:pPr>
            <w:r>
              <w:rPr>
                <w:rFonts w:cs="Arial"/>
                <w:sz w:val="14"/>
                <w:szCs w:val="14"/>
                <w:lang w:val="ru-RU"/>
              </w:rPr>
              <w:t>Д</w:t>
            </w:r>
            <w:r w:rsidR="00BF2463" w:rsidRPr="00A4212F">
              <w:rPr>
                <w:rFonts w:cs="Arial"/>
                <w:sz w:val="14"/>
                <w:szCs w:val="14"/>
                <w:lang w:val="ru-RU"/>
              </w:rPr>
              <w:t>опущения, использованные для определения возмещаемой суммы активов (генерирующих единиц) в отчетном периоде, если кредитная организация считает указанную информацию полезной для широкого круга пользователей при принятии ими экономических решений</w:t>
            </w:r>
          </w:p>
          <w:p w:rsidR="00A4212F" w:rsidRPr="00A4212F" w:rsidRDefault="00A4212F" w:rsidP="00A4212F">
            <w:pPr>
              <w:jc w:val="both"/>
              <w:rPr>
                <w:rFonts w:cs="Arial"/>
                <w:sz w:val="14"/>
                <w:szCs w:val="14"/>
                <w:lang w:val="ru-RU"/>
              </w:rPr>
            </w:pPr>
          </w:p>
        </w:tc>
        <w:tc>
          <w:tcPr>
            <w:tcW w:w="3402" w:type="dxa"/>
          </w:tcPr>
          <w:p w:rsidR="00BF2463" w:rsidRPr="00A4212F" w:rsidRDefault="00BF2463" w:rsidP="00A4212F">
            <w:pPr>
              <w:jc w:val="both"/>
              <w:rPr>
                <w:rFonts w:cs="Arial"/>
                <w:sz w:val="14"/>
                <w:szCs w:val="14"/>
                <w:lang w:val="ru-RU"/>
              </w:rPr>
            </w:pPr>
          </w:p>
          <w:p w:rsidR="00BF2463" w:rsidRPr="00A4212F" w:rsidRDefault="00BF2463" w:rsidP="00A4212F">
            <w:pPr>
              <w:jc w:val="both"/>
              <w:rPr>
                <w:rFonts w:cs="Arial"/>
                <w:sz w:val="14"/>
                <w:szCs w:val="14"/>
                <w:lang w:val="ru-RU"/>
              </w:rPr>
            </w:pPr>
          </w:p>
          <w:p w:rsidR="00A4212F" w:rsidRDefault="00A4212F" w:rsidP="00A4212F">
            <w:pPr>
              <w:jc w:val="both"/>
              <w:rPr>
                <w:rFonts w:cs="Arial"/>
                <w:sz w:val="14"/>
                <w:szCs w:val="14"/>
                <w:lang w:val="ru-RU"/>
              </w:rPr>
            </w:pPr>
          </w:p>
          <w:p w:rsidR="00BF2463" w:rsidRPr="00A4212F" w:rsidRDefault="002C40F1" w:rsidP="002C40F1">
            <w:pPr>
              <w:jc w:val="both"/>
              <w:rPr>
                <w:rFonts w:cs="Arial"/>
                <w:sz w:val="14"/>
                <w:szCs w:val="14"/>
                <w:lang w:val="ru-RU"/>
              </w:rPr>
            </w:pPr>
            <w:r>
              <w:rPr>
                <w:rFonts w:cs="Arial"/>
                <w:sz w:val="14"/>
                <w:szCs w:val="14"/>
                <w:lang w:val="ru-RU"/>
              </w:rPr>
              <w:t xml:space="preserve">У </w:t>
            </w:r>
            <w:r w:rsidR="00A4212F" w:rsidRPr="002C40F1">
              <w:rPr>
                <w:rFonts w:cs="Arial"/>
                <w:sz w:val="14"/>
                <w:szCs w:val="14"/>
                <w:lang w:val="ru-RU"/>
              </w:rPr>
              <w:t>Банк</w:t>
            </w:r>
            <w:r>
              <w:rPr>
                <w:rFonts w:cs="Arial"/>
                <w:sz w:val="14"/>
                <w:szCs w:val="14"/>
                <w:lang w:val="ru-RU"/>
              </w:rPr>
              <w:t>а</w:t>
            </w:r>
            <w:r w:rsidR="00A4212F" w:rsidRPr="002C40F1">
              <w:rPr>
                <w:rFonts w:cs="Arial"/>
                <w:sz w:val="14"/>
                <w:szCs w:val="14"/>
                <w:lang w:val="ru-RU"/>
              </w:rPr>
              <w:t xml:space="preserve"> не</w:t>
            </w:r>
            <w:r>
              <w:rPr>
                <w:rFonts w:cs="Arial"/>
                <w:sz w:val="14"/>
                <w:szCs w:val="14"/>
                <w:lang w:val="ru-RU"/>
              </w:rPr>
              <w:t>т</w:t>
            </w:r>
            <w:r w:rsidR="00A4212F" w:rsidRPr="002C40F1">
              <w:rPr>
                <w:rFonts w:cs="Arial"/>
                <w:sz w:val="14"/>
                <w:szCs w:val="14"/>
                <w:lang w:val="ru-RU"/>
              </w:rPr>
              <w:t xml:space="preserve"> информаци</w:t>
            </w:r>
            <w:r>
              <w:rPr>
                <w:rFonts w:cs="Arial"/>
                <w:sz w:val="14"/>
                <w:szCs w:val="14"/>
                <w:lang w:val="ru-RU"/>
              </w:rPr>
              <w:t>и для раскрытия</w:t>
            </w:r>
          </w:p>
        </w:tc>
      </w:tr>
      <w:tr w:rsidR="00BF2463" w:rsidRPr="006C0DB6" w:rsidTr="00A4212F">
        <w:tc>
          <w:tcPr>
            <w:tcW w:w="959" w:type="dxa"/>
          </w:tcPr>
          <w:p w:rsidR="00BF2463" w:rsidRPr="00A4212F" w:rsidRDefault="00BF2463" w:rsidP="00A4212F">
            <w:pPr>
              <w:jc w:val="center"/>
              <w:rPr>
                <w:rFonts w:cs="Arial"/>
                <w:sz w:val="14"/>
                <w:szCs w:val="14"/>
              </w:rPr>
            </w:pPr>
            <w:r w:rsidRPr="00A4212F">
              <w:rPr>
                <w:rFonts w:cs="Arial"/>
                <w:sz w:val="14"/>
                <w:szCs w:val="14"/>
              </w:rPr>
              <w:t>6.1.17.2.</w:t>
            </w:r>
          </w:p>
        </w:tc>
        <w:tc>
          <w:tcPr>
            <w:tcW w:w="5670" w:type="dxa"/>
          </w:tcPr>
          <w:p w:rsidR="00BF2463" w:rsidRPr="00A4212F" w:rsidRDefault="00BF2463" w:rsidP="00A4212F">
            <w:pPr>
              <w:jc w:val="both"/>
              <w:rPr>
                <w:rFonts w:cs="Arial"/>
                <w:sz w:val="14"/>
                <w:szCs w:val="14"/>
                <w:lang w:val="ru-RU"/>
              </w:rPr>
            </w:pPr>
            <w:r w:rsidRPr="00A4212F">
              <w:rPr>
                <w:rFonts w:cs="Arial"/>
                <w:sz w:val="14"/>
                <w:szCs w:val="14"/>
                <w:lang w:val="ru-RU"/>
              </w:rPr>
              <w:t>Нематериальные активы с неопределенным сроком полезного использования</w:t>
            </w:r>
          </w:p>
        </w:tc>
        <w:tc>
          <w:tcPr>
            <w:tcW w:w="3402" w:type="dxa"/>
          </w:tcPr>
          <w:p w:rsidR="00BF2463" w:rsidRDefault="00BF2463" w:rsidP="00A4212F">
            <w:pPr>
              <w:jc w:val="both"/>
              <w:rPr>
                <w:rFonts w:cs="Arial"/>
                <w:sz w:val="14"/>
                <w:szCs w:val="14"/>
                <w:lang w:val="ru-RU"/>
              </w:rPr>
            </w:pPr>
            <w:r w:rsidRPr="00A4212F">
              <w:rPr>
                <w:rFonts w:cs="Arial"/>
                <w:sz w:val="14"/>
                <w:szCs w:val="14"/>
                <w:lang w:val="ru-RU"/>
              </w:rPr>
              <w:t>У Банка нет нематериальных актив</w:t>
            </w:r>
            <w:r w:rsidR="002C40F1">
              <w:rPr>
                <w:rFonts w:cs="Arial"/>
                <w:sz w:val="14"/>
                <w:szCs w:val="14"/>
                <w:lang w:val="ru-RU"/>
              </w:rPr>
              <w:t>ов</w:t>
            </w:r>
            <w:r w:rsidRPr="00A4212F">
              <w:rPr>
                <w:rFonts w:cs="Arial"/>
                <w:sz w:val="14"/>
                <w:szCs w:val="14"/>
                <w:lang w:val="ru-RU"/>
              </w:rPr>
              <w:t xml:space="preserve"> с неопределенным сроком полезного использования</w:t>
            </w:r>
          </w:p>
          <w:p w:rsidR="00A4212F" w:rsidRPr="00A4212F" w:rsidRDefault="00A4212F" w:rsidP="00A4212F">
            <w:pPr>
              <w:jc w:val="both"/>
              <w:rPr>
                <w:rFonts w:cs="Arial"/>
                <w:sz w:val="14"/>
                <w:szCs w:val="14"/>
                <w:lang w:val="ru-RU"/>
              </w:rPr>
            </w:pPr>
          </w:p>
        </w:tc>
      </w:tr>
      <w:tr w:rsidR="00BF2463" w:rsidRPr="006521C6" w:rsidTr="00A4212F">
        <w:tc>
          <w:tcPr>
            <w:tcW w:w="959" w:type="dxa"/>
          </w:tcPr>
          <w:p w:rsidR="00BF2463" w:rsidRPr="00A4212F" w:rsidRDefault="00BF2463" w:rsidP="00BF2463">
            <w:pPr>
              <w:jc w:val="center"/>
              <w:rPr>
                <w:rFonts w:cs="Arial"/>
                <w:sz w:val="14"/>
                <w:szCs w:val="14"/>
              </w:rPr>
            </w:pPr>
            <w:r w:rsidRPr="00A4212F">
              <w:rPr>
                <w:rFonts w:cs="Arial"/>
                <w:sz w:val="14"/>
                <w:szCs w:val="14"/>
              </w:rPr>
              <w:t>6.1.17.3.</w:t>
            </w:r>
          </w:p>
        </w:tc>
        <w:tc>
          <w:tcPr>
            <w:tcW w:w="5670" w:type="dxa"/>
          </w:tcPr>
          <w:p w:rsidR="00BF2463" w:rsidRDefault="00BF2463" w:rsidP="00A4212F">
            <w:pPr>
              <w:jc w:val="both"/>
              <w:rPr>
                <w:rFonts w:cs="Arial"/>
                <w:sz w:val="14"/>
                <w:szCs w:val="14"/>
                <w:lang w:val="ru-RU"/>
              </w:rPr>
            </w:pPr>
            <w:r w:rsidRPr="00A4212F">
              <w:rPr>
                <w:rFonts w:cs="Arial"/>
                <w:sz w:val="14"/>
                <w:szCs w:val="14"/>
                <w:lang w:val="ru-RU"/>
              </w:rPr>
              <w:t xml:space="preserve">Оценка справедливой стоимости за вычетом затрат на выбытие с использованием котируемой цены </w:t>
            </w:r>
          </w:p>
          <w:p w:rsidR="00A4212F" w:rsidRPr="00A4212F" w:rsidRDefault="00A4212F" w:rsidP="00A4212F">
            <w:pPr>
              <w:jc w:val="both"/>
              <w:rPr>
                <w:rFonts w:cs="Arial"/>
                <w:sz w:val="14"/>
                <w:szCs w:val="14"/>
                <w:lang w:val="ru-RU"/>
              </w:rPr>
            </w:pPr>
          </w:p>
        </w:tc>
        <w:tc>
          <w:tcPr>
            <w:tcW w:w="3402" w:type="dxa"/>
          </w:tcPr>
          <w:p w:rsidR="00BF2463" w:rsidRPr="00A4212F" w:rsidRDefault="00BF2463" w:rsidP="00A4212F">
            <w:pPr>
              <w:jc w:val="both"/>
              <w:rPr>
                <w:rFonts w:cs="Arial"/>
                <w:sz w:val="14"/>
                <w:szCs w:val="14"/>
              </w:rPr>
            </w:pPr>
            <w:r w:rsidRPr="00A4212F">
              <w:rPr>
                <w:rFonts w:cs="Arial"/>
                <w:sz w:val="14"/>
                <w:szCs w:val="14"/>
              </w:rPr>
              <w:t>Информации нет</w:t>
            </w:r>
          </w:p>
        </w:tc>
      </w:tr>
      <w:tr w:rsidR="00BF2463" w:rsidRPr="006C0DB6" w:rsidTr="00A4212F">
        <w:tc>
          <w:tcPr>
            <w:tcW w:w="959" w:type="dxa"/>
          </w:tcPr>
          <w:p w:rsidR="00BF2463" w:rsidRPr="00A4212F" w:rsidRDefault="00BF2463" w:rsidP="00A4212F">
            <w:pPr>
              <w:jc w:val="center"/>
              <w:rPr>
                <w:rFonts w:cs="Arial"/>
                <w:sz w:val="14"/>
                <w:szCs w:val="14"/>
              </w:rPr>
            </w:pPr>
            <w:r w:rsidRPr="00A4212F">
              <w:rPr>
                <w:rFonts w:cs="Arial"/>
                <w:sz w:val="14"/>
                <w:szCs w:val="14"/>
              </w:rPr>
              <w:t>6.1.17.4.</w:t>
            </w:r>
          </w:p>
        </w:tc>
        <w:tc>
          <w:tcPr>
            <w:tcW w:w="5670" w:type="dxa"/>
          </w:tcPr>
          <w:p w:rsidR="00BF2463" w:rsidRPr="00A4212F" w:rsidRDefault="00BF2463" w:rsidP="00A4212F">
            <w:pPr>
              <w:jc w:val="both"/>
              <w:rPr>
                <w:rFonts w:cs="Arial"/>
                <w:sz w:val="14"/>
                <w:szCs w:val="14"/>
                <w:lang w:val="ru-RU"/>
              </w:rPr>
            </w:pPr>
            <w:r w:rsidRPr="00A4212F">
              <w:rPr>
                <w:rFonts w:cs="Arial"/>
                <w:sz w:val="14"/>
                <w:szCs w:val="14"/>
                <w:lang w:val="ru-RU"/>
              </w:rPr>
              <w:t xml:space="preserve">Балансовая стоимость нематериальных активов с неопределенным сроком полезного использования </w:t>
            </w:r>
          </w:p>
        </w:tc>
        <w:tc>
          <w:tcPr>
            <w:tcW w:w="3402" w:type="dxa"/>
          </w:tcPr>
          <w:p w:rsidR="00BF2463" w:rsidRDefault="002C40F1" w:rsidP="00A4212F">
            <w:pPr>
              <w:jc w:val="both"/>
              <w:rPr>
                <w:rFonts w:cs="Arial"/>
                <w:sz w:val="14"/>
                <w:szCs w:val="14"/>
                <w:lang w:val="ru-RU"/>
              </w:rPr>
            </w:pPr>
            <w:r>
              <w:rPr>
                <w:rFonts w:cs="Arial"/>
                <w:sz w:val="14"/>
                <w:szCs w:val="14"/>
                <w:lang w:val="ru-RU"/>
              </w:rPr>
              <w:t>У Банка н</w:t>
            </w:r>
            <w:r w:rsidR="00BF2463" w:rsidRPr="00A4212F">
              <w:rPr>
                <w:rFonts w:cs="Arial"/>
                <w:sz w:val="14"/>
                <w:szCs w:val="14"/>
                <w:lang w:val="ru-RU"/>
              </w:rPr>
              <w:t>ет нематериальных активов с неопределенным сроком полезного использования</w:t>
            </w:r>
          </w:p>
          <w:p w:rsidR="00A4212F" w:rsidRPr="00A4212F" w:rsidRDefault="00A4212F" w:rsidP="00A4212F">
            <w:pPr>
              <w:jc w:val="both"/>
              <w:rPr>
                <w:rFonts w:cs="Arial"/>
                <w:sz w:val="14"/>
                <w:szCs w:val="14"/>
                <w:lang w:val="ru-RU"/>
              </w:rPr>
            </w:pPr>
          </w:p>
        </w:tc>
      </w:tr>
      <w:tr w:rsidR="00BF2463" w:rsidRPr="006C0DB6" w:rsidTr="00A4212F">
        <w:tc>
          <w:tcPr>
            <w:tcW w:w="959" w:type="dxa"/>
          </w:tcPr>
          <w:p w:rsidR="00BF2463" w:rsidRPr="00A4212F" w:rsidRDefault="00BF2463" w:rsidP="00A4212F">
            <w:pPr>
              <w:jc w:val="center"/>
              <w:rPr>
                <w:rFonts w:cs="Arial"/>
                <w:sz w:val="14"/>
                <w:szCs w:val="14"/>
              </w:rPr>
            </w:pPr>
            <w:r w:rsidRPr="00A4212F">
              <w:rPr>
                <w:rFonts w:cs="Arial"/>
                <w:sz w:val="14"/>
                <w:szCs w:val="14"/>
              </w:rPr>
              <w:t>6.1.17.5.</w:t>
            </w:r>
          </w:p>
        </w:tc>
        <w:tc>
          <w:tcPr>
            <w:tcW w:w="5670" w:type="dxa"/>
          </w:tcPr>
          <w:p w:rsidR="00BF2463" w:rsidRPr="00A4212F" w:rsidRDefault="00BF2463" w:rsidP="00A4212F">
            <w:pPr>
              <w:jc w:val="both"/>
              <w:rPr>
                <w:rFonts w:cs="Arial"/>
                <w:sz w:val="14"/>
                <w:szCs w:val="14"/>
              </w:rPr>
            </w:pPr>
            <w:r w:rsidRPr="00A4212F">
              <w:rPr>
                <w:rFonts w:cs="Arial"/>
                <w:sz w:val="14"/>
                <w:szCs w:val="14"/>
              </w:rPr>
              <w:t>Дополнительная информация</w:t>
            </w:r>
          </w:p>
        </w:tc>
        <w:tc>
          <w:tcPr>
            <w:tcW w:w="3402" w:type="dxa"/>
          </w:tcPr>
          <w:p w:rsidR="00BF2463" w:rsidRPr="00A4212F" w:rsidRDefault="00BF2463" w:rsidP="00A4212F">
            <w:pPr>
              <w:jc w:val="both"/>
              <w:rPr>
                <w:rFonts w:cs="Arial"/>
                <w:sz w:val="14"/>
                <w:szCs w:val="14"/>
                <w:lang w:val="ru-RU"/>
              </w:rPr>
            </w:pPr>
            <w:r w:rsidRPr="00A4212F">
              <w:rPr>
                <w:rFonts w:cs="Arial"/>
                <w:sz w:val="14"/>
                <w:szCs w:val="14"/>
                <w:lang w:val="ru-RU"/>
              </w:rPr>
              <w:t>Существенных изменений по у</w:t>
            </w:r>
            <w:r w:rsidR="00A4212F">
              <w:rPr>
                <w:rFonts w:cs="Arial"/>
                <w:sz w:val="14"/>
                <w:szCs w:val="14"/>
                <w:lang w:val="ru-RU"/>
              </w:rPr>
              <w:t>чету нематериальных активов нет</w:t>
            </w:r>
          </w:p>
          <w:p w:rsidR="00BF2463" w:rsidRPr="00A4212F" w:rsidRDefault="00BF2463" w:rsidP="00A4212F">
            <w:pPr>
              <w:jc w:val="both"/>
              <w:rPr>
                <w:rFonts w:cs="Arial"/>
                <w:sz w:val="14"/>
                <w:szCs w:val="14"/>
                <w:lang w:val="ru-RU"/>
              </w:rPr>
            </w:pPr>
            <w:r w:rsidRPr="00A4212F">
              <w:rPr>
                <w:rFonts w:cs="Arial"/>
                <w:sz w:val="14"/>
                <w:szCs w:val="14"/>
                <w:lang w:val="ru-RU"/>
              </w:rPr>
              <w:t>В 2018 году Банк, не приобретал нематериальные активы за счет государственных субсидий.</w:t>
            </w:r>
          </w:p>
          <w:p w:rsidR="00BF2463" w:rsidRDefault="00BF2463" w:rsidP="00A4212F">
            <w:pPr>
              <w:jc w:val="both"/>
              <w:rPr>
                <w:rFonts w:cs="Arial"/>
                <w:sz w:val="14"/>
                <w:szCs w:val="14"/>
                <w:lang w:val="ru-RU"/>
              </w:rPr>
            </w:pPr>
            <w:r w:rsidRPr="00A4212F">
              <w:rPr>
                <w:rFonts w:cs="Arial"/>
                <w:sz w:val="14"/>
                <w:szCs w:val="14"/>
                <w:lang w:val="ru-RU"/>
              </w:rPr>
              <w:t>Другой информации для раскрытия нет.</w:t>
            </w:r>
          </w:p>
          <w:p w:rsidR="00A4212F" w:rsidRPr="00A4212F" w:rsidRDefault="00A4212F" w:rsidP="00A4212F">
            <w:pPr>
              <w:jc w:val="both"/>
              <w:rPr>
                <w:rFonts w:cs="Arial"/>
                <w:sz w:val="14"/>
                <w:szCs w:val="14"/>
                <w:lang w:val="ru-RU"/>
              </w:rPr>
            </w:pPr>
          </w:p>
        </w:tc>
      </w:tr>
      <w:tr w:rsidR="00BF2463" w:rsidRPr="006521C6" w:rsidTr="00A4212F">
        <w:tc>
          <w:tcPr>
            <w:tcW w:w="959" w:type="dxa"/>
            <w:tcBorders>
              <w:bottom w:val="single" w:sz="4" w:space="0" w:color="auto"/>
            </w:tcBorders>
          </w:tcPr>
          <w:p w:rsidR="00BF2463" w:rsidRPr="00A4212F" w:rsidRDefault="00BF2463" w:rsidP="00BF2463">
            <w:pPr>
              <w:jc w:val="center"/>
              <w:rPr>
                <w:rFonts w:cs="Arial"/>
                <w:sz w:val="14"/>
                <w:szCs w:val="14"/>
              </w:rPr>
            </w:pPr>
            <w:r w:rsidRPr="00A4212F">
              <w:rPr>
                <w:rFonts w:cs="Arial"/>
                <w:sz w:val="14"/>
                <w:szCs w:val="14"/>
              </w:rPr>
              <w:t>6.1.17.6.</w:t>
            </w:r>
          </w:p>
        </w:tc>
        <w:tc>
          <w:tcPr>
            <w:tcW w:w="5670" w:type="dxa"/>
            <w:tcBorders>
              <w:bottom w:val="single" w:sz="4" w:space="0" w:color="auto"/>
            </w:tcBorders>
          </w:tcPr>
          <w:p w:rsidR="00BF2463" w:rsidRPr="00A4212F" w:rsidRDefault="00BF2463" w:rsidP="00A4212F">
            <w:pPr>
              <w:jc w:val="both"/>
              <w:rPr>
                <w:rFonts w:cs="Arial"/>
                <w:sz w:val="14"/>
                <w:szCs w:val="14"/>
                <w:lang w:val="ru-RU"/>
              </w:rPr>
            </w:pPr>
            <w:r w:rsidRPr="00A4212F">
              <w:rPr>
                <w:rFonts w:cs="Arial"/>
                <w:sz w:val="14"/>
                <w:szCs w:val="14"/>
                <w:lang w:val="ru-RU"/>
              </w:rPr>
              <w:t>Информация полезная для широкого круга пользователей при принятии ими экономических решений</w:t>
            </w:r>
          </w:p>
        </w:tc>
        <w:tc>
          <w:tcPr>
            <w:tcW w:w="3402" w:type="dxa"/>
            <w:tcBorders>
              <w:bottom w:val="single" w:sz="4" w:space="0" w:color="auto"/>
            </w:tcBorders>
          </w:tcPr>
          <w:p w:rsidR="00BF2463" w:rsidRPr="00A4212F" w:rsidRDefault="00BF2463" w:rsidP="00A4212F">
            <w:pPr>
              <w:jc w:val="both"/>
              <w:rPr>
                <w:rFonts w:cs="Arial"/>
                <w:sz w:val="14"/>
                <w:szCs w:val="14"/>
              </w:rPr>
            </w:pPr>
            <w:r w:rsidRPr="00A4212F">
              <w:rPr>
                <w:rFonts w:cs="Arial"/>
                <w:sz w:val="14"/>
                <w:szCs w:val="14"/>
              </w:rPr>
              <w:t>Информации нет</w:t>
            </w:r>
          </w:p>
        </w:tc>
      </w:tr>
    </w:tbl>
    <w:p w:rsidR="00BF2463" w:rsidRDefault="00BF2463" w:rsidP="00B73CE7">
      <w:pPr>
        <w:jc w:val="both"/>
        <w:rPr>
          <w:b/>
          <w:color w:val="FF0000"/>
        </w:rPr>
      </w:pPr>
    </w:p>
    <w:p w:rsidR="00A01AD9" w:rsidRPr="00D01079" w:rsidRDefault="00A01AD9" w:rsidP="00B73CE7">
      <w:pPr>
        <w:jc w:val="both"/>
        <w:rPr>
          <w:rFonts w:cs="Arial"/>
          <w:b/>
          <w:sz w:val="20"/>
          <w:szCs w:val="20"/>
          <w:lang w:val="ru-RU"/>
        </w:rPr>
      </w:pPr>
      <w:r>
        <w:rPr>
          <w:rFonts w:cs="Arial"/>
          <w:b/>
          <w:sz w:val="20"/>
          <w:szCs w:val="20"/>
          <w:lang w:val="ru-RU"/>
        </w:rPr>
        <w:t>6</w:t>
      </w:r>
      <w:r w:rsidRPr="00D01079">
        <w:rPr>
          <w:rFonts w:cs="Arial"/>
          <w:b/>
          <w:sz w:val="20"/>
          <w:szCs w:val="20"/>
          <w:lang w:val="ru-RU"/>
        </w:rPr>
        <w:t>.1.1</w:t>
      </w:r>
      <w:r>
        <w:rPr>
          <w:rFonts w:cs="Arial"/>
          <w:b/>
          <w:sz w:val="20"/>
          <w:szCs w:val="20"/>
          <w:lang w:val="ru-RU"/>
        </w:rPr>
        <w:t>8</w:t>
      </w:r>
      <w:r w:rsidRPr="00D01079">
        <w:rPr>
          <w:rFonts w:cs="Arial"/>
          <w:b/>
          <w:sz w:val="20"/>
          <w:szCs w:val="20"/>
          <w:lang w:val="ru-RU"/>
        </w:rPr>
        <w:t xml:space="preserve">. </w:t>
      </w:r>
      <w:r>
        <w:rPr>
          <w:rFonts w:cs="Arial"/>
          <w:b/>
          <w:sz w:val="20"/>
          <w:szCs w:val="20"/>
          <w:lang w:val="ru-RU"/>
        </w:rPr>
        <w:t>Информация об о</w:t>
      </w:r>
      <w:r w:rsidRPr="00D01079">
        <w:rPr>
          <w:rFonts w:cs="Arial"/>
          <w:b/>
          <w:sz w:val="20"/>
          <w:szCs w:val="20"/>
          <w:lang w:val="ru-RU"/>
        </w:rPr>
        <w:t>бъем</w:t>
      </w:r>
      <w:r>
        <w:rPr>
          <w:rFonts w:cs="Arial"/>
          <w:b/>
          <w:sz w:val="20"/>
          <w:szCs w:val="20"/>
          <w:lang w:val="ru-RU"/>
        </w:rPr>
        <w:t>е</w:t>
      </w:r>
      <w:r w:rsidRPr="00D01079">
        <w:rPr>
          <w:rFonts w:cs="Arial"/>
          <w:b/>
          <w:sz w:val="20"/>
          <w:szCs w:val="20"/>
          <w:lang w:val="ru-RU"/>
        </w:rPr>
        <w:t xml:space="preserve">, </w:t>
      </w:r>
      <w:r>
        <w:rPr>
          <w:rFonts w:cs="Arial"/>
          <w:b/>
          <w:sz w:val="20"/>
          <w:szCs w:val="20"/>
          <w:lang w:val="ru-RU"/>
        </w:rPr>
        <w:t xml:space="preserve">о </w:t>
      </w:r>
      <w:r w:rsidRPr="00D01079">
        <w:rPr>
          <w:rFonts w:cs="Arial"/>
          <w:b/>
          <w:sz w:val="20"/>
          <w:szCs w:val="20"/>
          <w:lang w:val="ru-RU"/>
        </w:rPr>
        <w:t>структур</w:t>
      </w:r>
      <w:r>
        <w:rPr>
          <w:rFonts w:cs="Arial"/>
          <w:b/>
          <w:sz w:val="20"/>
          <w:szCs w:val="20"/>
          <w:lang w:val="ru-RU"/>
        </w:rPr>
        <w:t>е</w:t>
      </w:r>
      <w:r w:rsidRPr="00D01079">
        <w:rPr>
          <w:rFonts w:cs="Arial"/>
          <w:b/>
          <w:sz w:val="20"/>
          <w:szCs w:val="20"/>
          <w:lang w:val="ru-RU"/>
        </w:rPr>
        <w:t xml:space="preserve"> </w:t>
      </w:r>
      <w:r>
        <w:rPr>
          <w:rFonts w:cs="Arial"/>
          <w:b/>
          <w:sz w:val="20"/>
          <w:szCs w:val="20"/>
          <w:lang w:val="ru-RU"/>
        </w:rPr>
        <w:t>и</w:t>
      </w:r>
      <w:r w:rsidRPr="00D01079">
        <w:rPr>
          <w:rFonts w:cs="Arial"/>
          <w:b/>
          <w:sz w:val="20"/>
          <w:szCs w:val="20"/>
          <w:lang w:val="ru-RU"/>
        </w:rPr>
        <w:t xml:space="preserve"> </w:t>
      </w:r>
      <w:r>
        <w:rPr>
          <w:rFonts w:cs="Arial"/>
          <w:b/>
          <w:sz w:val="20"/>
          <w:szCs w:val="20"/>
          <w:lang w:val="ru-RU"/>
        </w:rPr>
        <w:t xml:space="preserve">об </w:t>
      </w:r>
      <w:r w:rsidRPr="00D01079">
        <w:rPr>
          <w:rFonts w:cs="Arial"/>
          <w:b/>
          <w:sz w:val="20"/>
          <w:szCs w:val="20"/>
          <w:lang w:val="ru-RU"/>
        </w:rPr>
        <w:t>изменени</w:t>
      </w:r>
      <w:r>
        <w:rPr>
          <w:rFonts w:cs="Arial"/>
          <w:b/>
          <w:sz w:val="20"/>
          <w:szCs w:val="20"/>
          <w:lang w:val="ru-RU"/>
        </w:rPr>
        <w:t>и</w:t>
      </w:r>
      <w:r w:rsidRPr="00D01079">
        <w:rPr>
          <w:rFonts w:cs="Arial"/>
          <w:b/>
          <w:sz w:val="20"/>
          <w:szCs w:val="20"/>
          <w:lang w:val="ru-RU"/>
        </w:rPr>
        <w:t xml:space="preserve"> стоимости прочих активов</w:t>
      </w:r>
    </w:p>
    <w:p w:rsidR="00A01AD9" w:rsidRPr="00D01079" w:rsidRDefault="00A01AD9" w:rsidP="00A01AD9">
      <w:pPr>
        <w:jc w:val="both"/>
        <w:rPr>
          <w:rFonts w:cs="Arial"/>
          <w:b/>
          <w:color w:val="FF0000"/>
          <w:sz w:val="20"/>
          <w:szCs w:val="20"/>
          <w:lang w:val="ru-RU"/>
        </w:rPr>
      </w:pPr>
    </w:p>
    <w:tbl>
      <w:tblPr>
        <w:tblW w:w="9758" w:type="dxa"/>
        <w:tblInd w:w="93" w:type="dxa"/>
        <w:tblLook w:val="04A0" w:firstRow="1" w:lastRow="0" w:firstColumn="1" w:lastColumn="0" w:noHBand="0" w:noVBand="1"/>
      </w:tblPr>
      <w:tblGrid>
        <w:gridCol w:w="2593"/>
        <w:gridCol w:w="976"/>
        <w:gridCol w:w="882"/>
        <w:gridCol w:w="876"/>
        <w:gridCol w:w="1085"/>
        <w:gridCol w:w="1042"/>
        <w:gridCol w:w="1139"/>
        <w:gridCol w:w="1264"/>
      </w:tblGrid>
      <w:tr w:rsidR="00A01AD9" w:rsidRPr="00D01079" w:rsidTr="00BE27CD">
        <w:trPr>
          <w:trHeight w:val="198"/>
        </w:trPr>
        <w:tc>
          <w:tcPr>
            <w:tcW w:w="2567" w:type="dxa"/>
            <w:tcBorders>
              <w:top w:val="single" w:sz="4" w:space="0" w:color="auto"/>
              <w:left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 </w:t>
            </w:r>
          </w:p>
        </w:tc>
        <w:tc>
          <w:tcPr>
            <w:tcW w:w="7191" w:type="dxa"/>
            <w:gridSpan w:val="7"/>
            <w:tcBorders>
              <w:top w:val="single" w:sz="4" w:space="0" w:color="auto"/>
              <w:left w:val="nil"/>
              <w:bottom w:val="single" w:sz="8" w:space="0" w:color="auto"/>
              <w:right w:val="nil"/>
            </w:tcBorders>
            <w:shd w:val="clear" w:color="auto" w:fill="auto"/>
            <w:noWrap/>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31.12.201</w:t>
            </w:r>
            <w:r>
              <w:rPr>
                <w:rFonts w:cs="Arial"/>
                <w:b/>
                <w:bCs/>
                <w:sz w:val="14"/>
                <w:szCs w:val="14"/>
                <w:lang w:val="ru-RU" w:eastAsia="ru-RU"/>
              </w:rPr>
              <w:t>8</w:t>
            </w:r>
          </w:p>
        </w:tc>
      </w:tr>
      <w:tr w:rsidR="00A01AD9" w:rsidRPr="00D01079" w:rsidTr="00BE27CD">
        <w:trPr>
          <w:trHeight w:val="152"/>
        </w:trPr>
        <w:tc>
          <w:tcPr>
            <w:tcW w:w="2567" w:type="dxa"/>
            <w:tcBorders>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c>
          <w:tcPr>
            <w:tcW w:w="2706" w:type="dxa"/>
            <w:gridSpan w:val="3"/>
            <w:tcBorders>
              <w:top w:val="nil"/>
              <w:left w:val="nil"/>
              <w:bottom w:val="single" w:sz="4" w:space="0" w:color="auto"/>
              <w:right w:val="nil"/>
            </w:tcBorders>
            <w:shd w:val="clear" w:color="auto" w:fill="auto"/>
            <w:noWrap/>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сумма актива</w:t>
            </w:r>
          </w:p>
        </w:tc>
        <w:tc>
          <w:tcPr>
            <w:tcW w:w="2106" w:type="dxa"/>
            <w:gridSpan w:val="2"/>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по срокам погашения</w:t>
            </w:r>
          </w:p>
        </w:tc>
        <w:tc>
          <w:tcPr>
            <w:tcW w:w="1128" w:type="dxa"/>
            <w:tcBorders>
              <w:top w:val="nil"/>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c>
          <w:tcPr>
            <w:tcW w:w="1251" w:type="dxa"/>
            <w:tcBorders>
              <w:top w:val="nil"/>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r>
      <w:tr w:rsidR="00A01AD9" w:rsidRPr="00D01079" w:rsidTr="00BE27CD">
        <w:trPr>
          <w:trHeight w:val="300"/>
        </w:trPr>
        <w:tc>
          <w:tcPr>
            <w:tcW w:w="25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прочие активы</w:t>
            </w:r>
          </w:p>
        </w:tc>
        <w:tc>
          <w:tcPr>
            <w:tcW w:w="966"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доллар США</w:t>
            </w:r>
          </w:p>
        </w:tc>
        <w:tc>
          <w:tcPr>
            <w:tcW w:w="8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евро</w:t>
            </w:r>
          </w:p>
        </w:tc>
        <w:tc>
          <w:tcPr>
            <w:tcW w:w="1074"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в течение 1 года</w:t>
            </w:r>
          </w:p>
        </w:tc>
        <w:tc>
          <w:tcPr>
            <w:tcW w:w="1032"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более 1 года</w:t>
            </w:r>
          </w:p>
        </w:tc>
        <w:tc>
          <w:tcPr>
            <w:tcW w:w="1128"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резерв</w:t>
            </w:r>
          </w:p>
        </w:tc>
        <w:tc>
          <w:tcPr>
            <w:tcW w:w="1251"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стоимость актива</w:t>
            </w:r>
          </w:p>
        </w:tc>
      </w:tr>
      <w:tr w:rsidR="00A01AD9" w:rsidRPr="00D01079" w:rsidTr="00BE27CD">
        <w:trPr>
          <w:trHeight w:val="40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Незавершенные переводы и расчеты с операторами услуг платежной инфраструктуры</w:t>
            </w:r>
          </w:p>
        </w:tc>
        <w:tc>
          <w:tcPr>
            <w:tcW w:w="966"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w:t>
            </w:r>
          </w:p>
        </w:tc>
        <w:tc>
          <w:tcPr>
            <w:tcW w:w="873"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w:t>
            </w:r>
          </w:p>
        </w:tc>
        <w:tc>
          <w:tcPr>
            <w:tcW w:w="1032"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(1 311)</w:t>
            </w:r>
          </w:p>
        </w:tc>
        <w:tc>
          <w:tcPr>
            <w:tcW w:w="1251" w:type="dxa"/>
            <w:tcBorders>
              <w:top w:val="nil"/>
              <w:left w:val="nil"/>
              <w:bottom w:val="nil"/>
              <w:right w:val="nil"/>
            </w:tcBorders>
            <w:shd w:val="clear" w:color="auto" w:fill="auto"/>
            <w:noWrap/>
            <w:vAlign w:val="bottom"/>
          </w:tcPr>
          <w:p w:rsidR="00A01AD9" w:rsidRPr="00503F45" w:rsidRDefault="00A01AD9" w:rsidP="00A01AD9">
            <w:pPr>
              <w:overflowPunct/>
              <w:autoSpaceDE/>
              <w:autoSpaceDN/>
              <w:adjustRightInd/>
              <w:jc w:val="right"/>
              <w:textAlignment w:val="auto"/>
              <w:rPr>
                <w:rFonts w:cs="Arial"/>
                <w:sz w:val="14"/>
                <w:szCs w:val="14"/>
                <w:lang w:val="ru-RU" w:eastAsia="ru-RU"/>
              </w:rPr>
            </w:pPr>
            <w:r w:rsidRPr="00503F45">
              <w:rPr>
                <w:rFonts w:cs="Arial"/>
                <w:sz w:val="14"/>
                <w:szCs w:val="14"/>
                <w:lang w:val="ru-RU" w:eastAsia="ru-RU"/>
              </w:rPr>
              <w:t>(1 311)</w:t>
            </w:r>
          </w:p>
        </w:tc>
      </w:tr>
      <w:tr w:rsidR="00A01AD9" w:rsidRPr="00F24346" w:rsidTr="00BE27CD">
        <w:trPr>
          <w:trHeight w:val="776"/>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по брокерским операциям с ценными бумагами и другими финансовыми активами</w:t>
            </w:r>
          </w:p>
        </w:tc>
        <w:tc>
          <w:tcPr>
            <w:tcW w:w="966"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11 622</w:t>
            </w:r>
          </w:p>
        </w:tc>
        <w:tc>
          <w:tcPr>
            <w:tcW w:w="873"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11 622</w:t>
            </w:r>
          </w:p>
        </w:tc>
        <w:tc>
          <w:tcPr>
            <w:tcW w:w="1032"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11 622</w:t>
            </w:r>
          </w:p>
        </w:tc>
      </w:tr>
      <w:tr w:rsidR="00A01AD9" w:rsidRPr="00D01079" w:rsidTr="00BE27CD">
        <w:trPr>
          <w:trHeight w:val="703"/>
        </w:trPr>
        <w:tc>
          <w:tcPr>
            <w:tcW w:w="2567" w:type="dxa"/>
            <w:tcBorders>
              <w:top w:val="nil"/>
              <w:left w:val="nil"/>
              <w:bottom w:val="nil"/>
              <w:right w:val="nil"/>
            </w:tcBorders>
            <w:shd w:val="clear" w:color="auto" w:fill="auto"/>
            <w:vAlign w:val="bottom"/>
            <w:hideMark/>
          </w:tcPr>
          <w:p w:rsidR="00A01AD9" w:rsidRPr="00F24346" w:rsidRDefault="00A01AD9" w:rsidP="00A01AD9">
            <w:pPr>
              <w:overflowPunct/>
              <w:autoSpaceDE/>
              <w:autoSpaceDN/>
              <w:adjustRightInd/>
              <w:textAlignment w:val="auto"/>
              <w:rPr>
                <w:rFonts w:cs="Arial"/>
                <w:sz w:val="14"/>
                <w:szCs w:val="14"/>
                <w:lang w:val="ru-RU" w:eastAsia="ru-RU"/>
              </w:rPr>
            </w:pPr>
            <w:r w:rsidRPr="00F24346">
              <w:rPr>
                <w:rFonts w:cs="Arial"/>
                <w:sz w:val="14"/>
                <w:szCs w:val="14"/>
                <w:lang w:val="ru-RU" w:eastAsia="ru-RU"/>
              </w:rPr>
              <w:t>Просроченные проценты по предоставленным кредитам и прочим размещенным средствам</w:t>
            </w:r>
          </w:p>
        </w:tc>
        <w:tc>
          <w:tcPr>
            <w:tcW w:w="966"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14 286</w:t>
            </w:r>
          </w:p>
        </w:tc>
        <w:tc>
          <w:tcPr>
            <w:tcW w:w="873"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14 286</w:t>
            </w:r>
          </w:p>
        </w:tc>
        <w:tc>
          <w:tcPr>
            <w:tcW w:w="1032"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(13 237)</w:t>
            </w:r>
          </w:p>
        </w:tc>
        <w:tc>
          <w:tcPr>
            <w:tcW w:w="1251" w:type="dxa"/>
            <w:tcBorders>
              <w:top w:val="nil"/>
              <w:left w:val="nil"/>
              <w:bottom w:val="nil"/>
              <w:right w:val="nil"/>
            </w:tcBorders>
            <w:shd w:val="clear" w:color="auto" w:fill="auto"/>
            <w:noWrap/>
            <w:vAlign w:val="bottom"/>
          </w:tcPr>
          <w:p w:rsidR="00A01AD9" w:rsidRPr="00F24346" w:rsidRDefault="00A01AD9" w:rsidP="00A01AD9">
            <w:pPr>
              <w:overflowPunct/>
              <w:autoSpaceDE/>
              <w:autoSpaceDN/>
              <w:adjustRightInd/>
              <w:jc w:val="right"/>
              <w:textAlignment w:val="auto"/>
              <w:rPr>
                <w:rFonts w:cs="Arial"/>
                <w:sz w:val="14"/>
                <w:szCs w:val="14"/>
                <w:lang w:val="ru-RU" w:eastAsia="ru-RU"/>
              </w:rPr>
            </w:pPr>
            <w:r w:rsidRPr="00F24346">
              <w:rPr>
                <w:rFonts w:cs="Arial"/>
                <w:sz w:val="14"/>
                <w:szCs w:val="14"/>
                <w:lang w:val="ru-RU" w:eastAsia="ru-RU"/>
              </w:rPr>
              <w:t>1 049</w:t>
            </w:r>
          </w:p>
        </w:tc>
      </w:tr>
      <w:tr w:rsidR="00A01AD9" w:rsidRPr="00D01079" w:rsidTr="00BE27CD">
        <w:trPr>
          <w:trHeight w:val="45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по отдельным операциям:</w:t>
            </w:r>
          </w:p>
        </w:tc>
        <w:tc>
          <w:tcPr>
            <w:tcW w:w="966"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873"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867"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1074"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1032"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1128"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c>
          <w:tcPr>
            <w:tcW w:w="1251" w:type="dxa"/>
            <w:tcBorders>
              <w:top w:val="nil"/>
              <w:left w:val="nil"/>
              <w:bottom w:val="nil"/>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sz w:val="14"/>
                <w:szCs w:val="14"/>
                <w:highlight w:val="yellow"/>
                <w:lang w:val="ru-RU" w:eastAsia="ru-RU"/>
              </w:rPr>
            </w:pPr>
          </w:p>
        </w:tc>
      </w:tr>
      <w:tr w:rsidR="00A01AD9" w:rsidRPr="00846707" w:rsidTr="00BE27CD">
        <w:trPr>
          <w:trHeight w:val="80"/>
        </w:trPr>
        <w:tc>
          <w:tcPr>
            <w:tcW w:w="2567" w:type="dxa"/>
            <w:tcBorders>
              <w:top w:val="nil"/>
              <w:left w:val="nil"/>
              <w:bottom w:val="nil"/>
              <w:right w:val="nil"/>
            </w:tcBorders>
            <w:shd w:val="clear" w:color="auto" w:fill="auto"/>
            <w:vAlign w:val="bottom"/>
            <w:hideMark/>
          </w:tcPr>
          <w:p w:rsidR="00A01AD9" w:rsidRPr="003760FE" w:rsidRDefault="00A01AD9" w:rsidP="00A01AD9">
            <w:pPr>
              <w:overflowPunct/>
              <w:autoSpaceDE/>
              <w:autoSpaceDN/>
              <w:adjustRightInd/>
              <w:textAlignment w:val="auto"/>
              <w:rPr>
                <w:rFonts w:cs="Arial"/>
                <w:sz w:val="14"/>
                <w:szCs w:val="14"/>
                <w:lang w:val="ru-RU" w:eastAsia="ru-RU"/>
              </w:rPr>
            </w:pPr>
            <w:r w:rsidRPr="003760FE">
              <w:rPr>
                <w:rFonts w:cs="Arial"/>
                <w:sz w:val="14"/>
                <w:szCs w:val="14"/>
                <w:lang w:val="ru-RU" w:eastAsia="ru-RU"/>
              </w:rPr>
              <w:t>- по комиссиям</w:t>
            </w:r>
          </w:p>
        </w:tc>
        <w:tc>
          <w:tcPr>
            <w:tcW w:w="966"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18 599</w:t>
            </w:r>
          </w:p>
        </w:tc>
        <w:tc>
          <w:tcPr>
            <w:tcW w:w="873"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80</w:t>
            </w:r>
          </w:p>
        </w:tc>
        <w:tc>
          <w:tcPr>
            <w:tcW w:w="867"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35</w:t>
            </w:r>
          </w:p>
        </w:tc>
        <w:tc>
          <w:tcPr>
            <w:tcW w:w="1074"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18 714</w:t>
            </w:r>
          </w:p>
        </w:tc>
        <w:tc>
          <w:tcPr>
            <w:tcW w:w="1032"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846707" w:rsidRDefault="00A01AD9" w:rsidP="00A01AD9">
            <w:pPr>
              <w:overflowPunct/>
              <w:autoSpaceDE/>
              <w:autoSpaceDN/>
              <w:adjustRightInd/>
              <w:jc w:val="right"/>
              <w:textAlignment w:val="auto"/>
              <w:rPr>
                <w:rFonts w:cs="Arial"/>
                <w:sz w:val="14"/>
                <w:szCs w:val="14"/>
                <w:lang w:val="ru-RU" w:eastAsia="ru-RU"/>
              </w:rPr>
            </w:pPr>
            <w:r w:rsidRPr="00846707">
              <w:rPr>
                <w:rFonts w:cs="Arial"/>
                <w:sz w:val="14"/>
                <w:szCs w:val="14"/>
                <w:lang w:val="ru-RU" w:eastAsia="ru-RU"/>
              </w:rPr>
              <w:t>(18 421)</w:t>
            </w:r>
          </w:p>
        </w:tc>
        <w:tc>
          <w:tcPr>
            <w:tcW w:w="1251" w:type="dxa"/>
            <w:tcBorders>
              <w:top w:val="nil"/>
              <w:left w:val="nil"/>
              <w:bottom w:val="nil"/>
              <w:right w:val="nil"/>
            </w:tcBorders>
            <w:shd w:val="clear" w:color="auto" w:fill="auto"/>
            <w:noWrap/>
            <w:vAlign w:val="bottom"/>
          </w:tcPr>
          <w:p w:rsidR="00A01AD9" w:rsidRPr="00846707" w:rsidRDefault="00A01AD9" w:rsidP="00A01AD9">
            <w:pPr>
              <w:overflowPunct/>
              <w:autoSpaceDE/>
              <w:autoSpaceDN/>
              <w:adjustRightInd/>
              <w:jc w:val="right"/>
              <w:textAlignment w:val="auto"/>
              <w:rPr>
                <w:rFonts w:cs="Arial"/>
                <w:sz w:val="14"/>
                <w:szCs w:val="14"/>
                <w:lang w:val="ru-RU" w:eastAsia="ru-RU"/>
              </w:rPr>
            </w:pPr>
            <w:r w:rsidRPr="00846707">
              <w:rPr>
                <w:rFonts w:cs="Arial"/>
                <w:sz w:val="14"/>
                <w:szCs w:val="14"/>
                <w:lang w:val="ru-RU" w:eastAsia="ru-RU"/>
              </w:rPr>
              <w:t>293</w:t>
            </w:r>
          </w:p>
        </w:tc>
      </w:tr>
      <w:tr w:rsidR="00A01AD9" w:rsidRPr="00846707"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прочим операциям</w:t>
            </w:r>
          </w:p>
        </w:tc>
        <w:tc>
          <w:tcPr>
            <w:tcW w:w="966"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5 651</w:t>
            </w:r>
          </w:p>
        </w:tc>
        <w:tc>
          <w:tcPr>
            <w:tcW w:w="873"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30</w:t>
            </w:r>
          </w:p>
        </w:tc>
        <w:tc>
          <w:tcPr>
            <w:tcW w:w="1074"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5 681</w:t>
            </w:r>
          </w:p>
        </w:tc>
        <w:tc>
          <w:tcPr>
            <w:tcW w:w="1032" w:type="dxa"/>
            <w:tcBorders>
              <w:top w:val="nil"/>
              <w:left w:val="nil"/>
              <w:bottom w:val="nil"/>
              <w:right w:val="nil"/>
            </w:tcBorders>
            <w:shd w:val="clear" w:color="auto" w:fill="auto"/>
            <w:noWrap/>
            <w:vAlign w:val="bottom"/>
          </w:tcPr>
          <w:p w:rsidR="00A01AD9" w:rsidRPr="003760FE" w:rsidRDefault="00A01AD9" w:rsidP="00A01AD9">
            <w:pPr>
              <w:overflowPunct/>
              <w:autoSpaceDE/>
              <w:autoSpaceDN/>
              <w:adjustRightInd/>
              <w:jc w:val="right"/>
              <w:textAlignment w:val="auto"/>
              <w:rPr>
                <w:rFonts w:cs="Arial"/>
                <w:sz w:val="14"/>
                <w:szCs w:val="14"/>
                <w:lang w:val="ru-RU" w:eastAsia="ru-RU"/>
              </w:rPr>
            </w:pPr>
            <w:r w:rsidRPr="003760FE">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846707" w:rsidRDefault="00A01AD9" w:rsidP="00A01AD9">
            <w:pPr>
              <w:overflowPunct/>
              <w:autoSpaceDE/>
              <w:autoSpaceDN/>
              <w:adjustRightInd/>
              <w:jc w:val="right"/>
              <w:textAlignment w:val="auto"/>
              <w:rPr>
                <w:rFonts w:cs="Arial"/>
                <w:sz w:val="14"/>
                <w:szCs w:val="14"/>
                <w:lang w:val="ru-RU" w:eastAsia="ru-RU"/>
              </w:rPr>
            </w:pPr>
            <w:r w:rsidRPr="00846707">
              <w:rPr>
                <w:rFonts w:cs="Arial"/>
                <w:sz w:val="14"/>
                <w:szCs w:val="14"/>
                <w:lang w:val="ru-RU" w:eastAsia="ru-RU"/>
              </w:rPr>
              <w:t>(5 675)</w:t>
            </w:r>
          </w:p>
        </w:tc>
        <w:tc>
          <w:tcPr>
            <w:tcW w:w="1251" w:type="dxa"/>
            <w:tcBorders>
              <w:top w:val="nil"/>
              <w:left w:val="nil"/>
              <w:bottom w:val="nil"/>
              <w:right w:val="nil"/>
            </w:tcBorders>
            <w:shd w:val="clear" w:color="auto" w:fill="auto"/>
            <w:noWrap/>
            <w:vAlign w:val="bottom"/>
          </w:tcPr>
          <w:p w:rsidR="00A01AD9" w:rsidRPr="00846707" w:rsidRDefault="00A01AD9" w:rsidP="00A01AD9">
            <w:pPr>
              <w:overflowPunct/>
              <w:autoSpaceDE/>
              <w:autoSpaceDN/>
              <w:adjustRightInd/>
              <w:jc w:val="right"/>
              <w:textAlignment w:val="auto"/>
              <w:rPr>
                <w:rFonts w:cs="Arial"/>
                <w:sz w:val="14"/>
                <w:szCs w:val="14"/>
                <w:lang w:val="ru-RU" w:eastAsia="ru-RU"/>
              </w:rPr>
            </w:pPr>
            <w:r w:rsidRPr="00846707">
              <w:rPr>
                <w:rFonts w:cs="Arial"/>
                <w:sz w:val="14"/>
                <w:szCs w:val="14"/>
                <w:lang w:val="ru-RU" w:eastAsia="ru-RU"/>
              </w:rPr>
              <w:t>6</w:t>
            </w:r>
          </w:p>
        </w:tc>
      </w:tr>
      <w:tr w:rsidR="00A01AD9" w:rsidRPr="00D01079" w:rsidTr="00BE27CD">
        <w:trPr>
          <w:trHeight w:val="84"/>
        </w:trPr>
        <w:tc>
          <w:tcPr>
            <w:tcW w:w="2567" w:type="dxa"/>
            <w:tcBorders>
              <w:top w:val="nil"/>
              <w:left w:val="nil"/>
              <w:bottom w:val="nil"/>
              <w:right w:val="nil"/>
            </w:tcBorders>
            <w:shd w:val="clear" w:color="auto" w:fill="auto"/>
            <w:vAlign w:val="bottom"/>
            <w:hideMark/>
          </w:tcPr>
          <w:p w:rsidR="00A01AD9" w:rsidRPr="00EA3B01" w:rsidRDefault="00A01AD9" w:rsidP="00A01AD9">
            <w:pPr>
              <w:overflowPunct/>
              <w:autoSpaceDE/>
              <w:autoSpaceDN/>
              <w:adjustRightInd/>
              <w:textAlignment w:val="auto"/>
              <w:rPr>
                <w:rFonts w:cs="Arial"/>
                <w:sz w:val="14"/>
                <w:szCs w:val="14"/>
                <w:lang w:val="ru-RU" w:eastAsia="ru-RU"/>
              </w:rPr>
            </w:pPr>
            <w:r w:rsidRPr="00EA3B01">
              <w:rPr>
                <w:rFonts w:cs="Arial"/>
                <w:sz w:val="14"/>
                <w:szCs w:val="14"/>
                <w:lang w:val="ru-RU" w:eastAsia="ru-RU"/>
              </w:rPr>
              <w:t>- по получению процентов</w:t>
            </w:r>
          </w:p>
        </w:tc>
        <w:tc>
          <w:tcPr>
            <w:tcW w:w="966"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47 051</w:t>
            </w:r>
          </w:p>
        </w:tc>
        <w:tc>
          <w:tcPr>
            <w:tcW w:w="873"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1</w:t>
            </w:r>
          </w:p>
        </w:tc>
        <w:tc>
          <w:tcPr>
            <w:tcW w:w="1074"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47 052</w:t>
            </w:r>
          </w:p>
        </w:tc>
        <w:tc>
          <w:tcPr>
            <w:tcW w:w="1032"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(6 202)</w:t>
            </w:r>
          </w:p>
        </w:tc>
        <w:tc>
          <w:tcPr>
            <w:tcW w:w="1251" w:type="dxa"/>
            <w:tcBorders>
              <w:top w:val="nil"/>
              <w:left w:val="nil"/>
              <w:bottom w:val="nil"/>
              <w:right w:val="nil"/>
            </w:tcBorders>
            <w:shd w:val="clear" w:color="auto" w:fill="auto"/>
            <w:noWrap/>
            <w:vAlign w:val="bottom"/>
          </w:tcPr>
          <w:p w:rsidR="00A01AD9" w:rsidRPr="00EA3B01" w:rsidRDefault="00A01AD9" w:rsidP="00A01AD9">
            <w:pPr>
              <w:overflowPunct/>
              <w:autoSpaceDE/>
              <w:autoSpaceDN/>
              <w:adjustRightInd/>
              <w:jc w:val="right"/>
              <w:textAlignment w:val="auto"/>
              <w:rPr>
                <w:rFonts w:cs="Arial"/>
                <w:sz w:val="14"/>
                <w:szCs w:val="14"/>
                <w:lang w:val="ru-RU" w:eastAsia="ru-RU"/>
              </w:rPr>
            </w:pPr>
            <w:r w:rsidRPr="00EA3B01">
              <w:rPr>
                <w:rFonts w:cs="Arial"/>
                <w:sz w:val="14"/>
                <w:szCs w:val="14"/>
                <w:lang w:val="ru-RU" w:eastAsia="ru-RU"/>
              </w:rPr>
              <w:t>40 850</w:t>
            </w:r>
          </w:p>
        </w:tc>
      </w:tr>
      <w:tr w:rsidR="00A01AD9" w:rsidRPr="00FB6FB3" w:rsidTr="00BE27CD">
        <w:trPr>
          <w:trHeight w:val="255"/>
        </w:trPr>
        <w:tc>
          <w:tcPr>
            <w:tcW w:w="2567" w:type="dxa"/>
            <w:tcBorders>
              <w:top w:val="nil"/>
              <w:left w:val="nil"/>
              <w:bottom w:val="nil"/>
              <w:right w:val="nil"/>
            </w:tcBorders>
            <w:shd w:val="clear" w:color="auto" w:fill="auto"/>
            <w:vAlign w:val="bottom"/>
          </w:tcPr>
          <w:p w:rsidR="00A01AD9" w:rsidRPr="00D01079" w:rsidRDefault="00A01AD9" w:rsidP="00A01AD9">
            <w:pPr>
              <w:overflowPunct/>
              <w:autoSpaceDE/>
              <w:autoSpaceDN/>
              <w:adjustRightInd/>
              <w:textAlignment w:val="auto"/>
              <w:rPr>
                <w:rFonts w:cs="Arial"/>
                <w:sz w:val="14"/>
                <w:szCs w:val="14"/>
                <w:lang w:val="ru-RU" w:eastAsia="ru-RU"/>
              </w:rPr>
            </w:pPr>
            <w:r>
              <w:rPr>
                <w:rFonts w:cs="Arial"/>
                <w:sz w:val="14"/>
                <w:szCs w:val="14"/>
                <w:lang w:val="ru-RU" w:eastAsia="ru-RU"/>
              </w:rPr>
              <w:t>-</w:t>
            </w:r>
            <w:r w:rsidRPr="00FB6FB3">
              <w:rPr>
                <w:lang w:val="ru-RU"/>
              </w:rPr>
              <w:t xml:space="preserve"> </w:t>
            </w:r>
            <w:r w:rsidRPr="00FB6FB3">
              <w:rPr>
                <w:sz w:val="14"/>
                <w:szCs w:val="14"/>
                <w:lang w:val="ru-RU"/>
              </w:rPr>
              <w:t>п</w:t>
            </w:r>
            <w:r w:rsidRPr="00FB6FB3">
              <w:rPr>
                <w:rFonts w:cs="Arial"/>
                <w:sz w:val="14"/>
                <w:szCs w:val="14"/>
                <w:lang w:val="ru-RU" w:eastAsia="ru-RU"/>
              </w:rPr>
              <w:t>ереоценка требований и обязательств по поставке финансовых активов (кроме ценных бумаг)</w:t>
            </w:r>
          </w:p>
        </w:tc>
        <w:tc>
          <w:tcPr>
            <w:tcW w:w="966"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78</w:t>
            </w:r>
          </w:p>
        </w:tc>
        <w:tc>
          <w:tcPr>
            <w:tcW w:w="873"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en-US" w:eastAsia="ru-RU"/>
              </w:rPr>
            </w:pPr>
            <w:r>
              <w:rPr>
                <w:rFonts w:cs="Arial"/>
                <w:sz w:val="14"/>
                <w:szCs w:val="14"/>
                <w:lang w:val="en-US" w:eastAsia="ru-RU"/>
              </w:rPr>
              <w:t>-</w:t>
            </w:r>
          </w:p>
        </w:tc>
        <w:tc>
          <w:tcPr>
            <w:tcW w:w="1074"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78</w:t>
            </w:r>
          </w:p>
        </w:tc>
        <w:tc>
          <w:tcPr>
            <w:tcW w:w="1032"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FB6FB3"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78</w:t>
            </w:r>
          </w:p>
        </w:tc>
      </w:tr>
      <w:tr w:rsidR="00A01AD9" w:rsidRPr="00D01079" w:rsidTr="00BE27CD">
        <w:trPr>
          <w:trHeight w:val="25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с дебиторами:</w:t>
            </w:r>
          </w:p>
        </w:tc>
        <w:tc>
          <w:tcPr>
            <w:tcW w:w="966"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873"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867"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1074"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1032"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1128"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c>
          <w:tcPr>
            <w:tcW w:w="1251"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en-US" w:eastAsia="ru-RU"/>
              </w:rPr>
            </w:pP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налогам</w:t>
            </w:r>
          </w:p>
        </w:tc>
        <w:tc>
          <w:tcPr>
            <w:tcW w:w="966"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3 868</w:t>
            </w:r>
          </w:p>
        </w:tc>
        <w:tc>
          <w:tcPr>
            <w:tcW w:w="873"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3 868</w:t>
            </w:r>
          </w:p>
        </w:tc>
        <w:tc>
          <w:tcPr>
            <w:tcW w:w="1032"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3 868</w:t>
            </w:r>
          </w:p>
        </w:tc>
      </w:tr>
      <w:tr w:rsidR="00A01AD9" w:rsidRPr="00D01079" w:rsidTr="00BE27CD">
        <w:trPr>
          <w:trHeight w:val="80"/>
        </w:trPr>
        <w:tc>
          <w:tcPr>
            <w:tcW w:w="2567" w:type="dxa"/>
            <w:tcBorders>
              <w:top w:val="nil"/>
              <w:left w:val="nil"/>
              <w:bottom w:val="nil"/>
              <w:right w:val="nil"/>
            </w:tcBorders>
            <w:shd w:val="clear" w:color="auto" w:fill="auto"/>
            <w:vAlign w:val="bottom"/>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страховым взносам</w:t>
            </w:r>
          </w:p>
        </w:tc>
        <w:tc>
          <w:tcPr>
            <w:tcW w:w="966"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3 017</w:t>
            </w:r>
          </w:p>
        </w:tc>
        <w:tc>
          <w:tcPr>
            <w:tcW w:w="873"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3 017</w:t>
            </w:r>
          </w:p>
        </w:tc>
        <w:tc>
          <w:tcPr>
            <w:tcW w:w="1032"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3 017</w:t>
            </w:r>
          </w:p>
        </w:tc>
      </w:tr>
      <w:tr w:rsidR="00A01AD9" w:rsidRPr="00D01079" w:rsidTr="00BE27CD">
        <w:trPr>
          <w:trHeight w:val="243"/>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с работниками по оплате труда и подотчетным суммам</w:t>
            </w:r>
          </w:p>
        </w:tc>
        <w:tc>
          <w:tcPr>
            <w:tcW w:w="966"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15 242</w:t>
            </w:r>
          </w:p>
        </w:tc>
        <w:tc>
          <w:tcPr>
            <w:tcW w:w="873"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15 242</w:t>
            </w:r>
          </w:p>
        </w:tc>
        <w:tc>
          <w:tcPr>
            <w:tcW w:w="1032"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sidRPr="00A7524B">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(3 271)</w:t>
            </w:r>
          </w:p>
        </w:tc>
        <w:tc>
          <w:tcPr>
            <w:tcW w:w="1251" w:type="dxa"/>
            <w:tcBorders>
              <w:top w:val="nil"/>
              <w:left w:val="nil"/>
              <w:bottom w:val="nil"/>
              <w:right w:val="nil"/>
            </w:tcBorders>
            <w:shd w:val="clear" w:color="auto" w:fill="auto"/>
            <w:noWrap/>
            <w:vAlign w:val="bottom"/>
          </w:tcPr>
          <w:p w:rsidR="00A01AD9" w:rsidRPr="00A7524B"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11 971</w:t>
            </w:r>
          </w:p>
        </w:tc>
      </w:tr>
      <w:tr w:rsidR="00A01AD9" w:rsidRPr="00D01079" w:rsidTr="00BE27CD">
        <w:trPr>
          <w:trHeight w:val="23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расчетам с поставщиками, подрядчиками</w:t>
            </w:r>
          </w:p>
        </w:tc>
        <w:tc>
          <w:tcPr>
            <w:tcW w:w="966"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20 894</w:t>
            </w:r>
          </w:p>
        </w:tc>
        <w:tc>
          <w:tcPr>
            <w:tcW w:w="873"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8</w:t>
            </w:r>
          </w:p>
        </w:tc>
        <w:tc>
          <w:tcPr>
            <w:tcW w:w="1074"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20 902</w:t>
            </w:r>
          </w:p>
        </w:tc>
        <w:tc>
          <w:tcPr>
            <w:tcW w:w="1032"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r>
              <w:rPr>
                <w:rFonts w:cs="Arial"/>
                <w:sz w:val="14"/>
                <w:szCs w:val="14"/>
                <w:lang w:val="ru-RU" w:eastAsia="ru-RU"/>
              </w:rPr>
              <w:t>2 504</w:t>
            </w:r>
            <w:r w:rsidRPr="001348B1">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6377CE" w:rsidRDefault="00A01AD9" w:rsidP="00A01AD9">
            <w:pPr>
              <w:overflowPunct/>
              <w:autoSpaceDE/>
              <w:autoSpaceDN/>
              <w:adjustRightInd/>
              <w:jc w:val="right"/>
              <w:textAlignment w:val="auto"/>
              <w:rPr>
                <w:rFonts w:cs="Arial"/>
                <w:sz w:val="14"/>
                <w:szCs w:val="14"/>
                <w:lang w:val="en-US" w:eastAsia="ru-RU"/>
              </w:rPr>
            </w:pPr>
            <w:r>
              <w:rPr>
                <w:rFonts w:cs="Arial"/>
                <w:sz w:val="14"/>
                <w:szCs w:val="14"/>
                <w:lang w:val="ru-RU" w:eastAsia="ru-RU"/>
              </w:rPr>
              <w:t>18 398</w:t>
            </w: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с прочими дебиторами</w:t>
            </w:r>
          </w:p>
        </w:tc>
        <w:tc>
          <w:tcPr>
            <w:tcW w:w="966"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1 410</w:t>
            </w:r>
          </w:p>
        </w:tc>
        <w:tc>
          <w:tcPr>
            <w:tcW w:w="873"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1 410</w:t>
            </w:r>
          </w:p>
        </w:tc>
        <w:tc>
          <w:tcPr>
            <w:tcW w:w="1032"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sidRPr="001348B1">
              <w:rPr>
                <w:rFonts w:cs="Arial"/>
                <w:sz w:val="14"/>
                <w:szCs w:val="14"/>
                <w:lang w:val="ru-RU" w:eastAsia="ru-RU"/>
              </w:rPr>
              <w:t>(1 020)</w:t>
            </w:r>
          </w:p>
        </w:tc>
        <w:tc>
          <w:tcPr>
            <w:tcW w:w="1251" w:type="dxa"/>
            <w:tcBorders>
              <w:top w:val="nil"/>
              <w:left w:val="nil"/>
              <w:bottom w:val="nil"/>
              <w:right w:val="nil"/>
            </w:tcBorders>
            <w:shd w:val="clear" w:color="auto" w:fill="auto"/>
            <w:noWrap/>
            <w:vAlign w:val="bottom"/>
          </w:tcPr>
          <w:p w:rsidR="00A01AD9" w:rsidRPr="001348B1" w:rsidRDefault="00A01AD9" w:rsidP="00A01AD9">
            <w:pPr>
              <w:overflowPunct/>
              <w:autoSpaceDE/>
              <w:autoSpaceDN/>
              <w:adjustRightInd/>
              <w:jc w:val="right"/>
              <w:textAlignment w:val="auto"/>
              <w:rPr>
                <w:rFonts w:cs="Arial"/>
                <w:sz w:val="14"/>
                <w:szCs w:val="14"/>
                <w:lang w:val="ru-RU" w:eastAsia="ru-RU"/>
              </w:rPr>
            </w:pPr>
            <w:r>
              <w:rPr>
                <w:rFonts w:cs="Arial"/>
                <w:sz w:val="14"/>
                <w:szCs w:val="14"/>
                <w:lang w:val="ru-RU" w:eastAsia="ru-RU"/>
              </w:rPr>
              <w:t>390</w:t>
            </w:r>
          </w:p>
        </w:tc>
      </w:tr>
      <w:tr w:rsidR="00A01AD9" w:rsidRPr="00D01079" w:rsidTr="00BE27CD">
        <w:trPr>
          <w:trHeight w:val="272"/>
        </w:trPr>
        <w:tc>
          <w:tcPr>
            <w:tcW w:w="25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lastRenderedPageBreak/>
              <w:t>Расходы будущих периодов</w:t>
            </w:r>
          </w:p>
        </w:tc>
        <w:tc>
          <w:tcPr>
            <w:tcW w:w="966"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ru-RU" w:eastAsia="ru-RU"/>
              </w:rPr>
            </w:pPr>
            <w:r w:rsidRPr="005F13AE">
              <w:rPr>
                <w:rFonts w:cs="Arial"/>
                <w:sz w:val="14"/>
                <w:szCs w:val="14"/>
                <w:lang w:val="ru-RU" w:eastAsia="ru-RU"/>
              </w:rPr>
              <w:t>12 413</w:t>
            </w:r>
          </w:p>
        </w:tc>
        <w:tc>
          <w:tcPr>
            <w:tcW w:w="873"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ru-RU" w:eastAsia="ru-RU"/>
              </w:rPr>
            </w:pPr>
            <w:r w:rsidRPr="005F13AE">
              <w:rPr>
                <w:rFonts w:cs="Arial"/>
                <w:sz w:val="14"/>
                <w:szCs w:val="14"/>
                <w:lang w:val="ru-RU" w:eastAsia="ru-RU"/>
              </w:rPr>
              <w:t>-</w:t>
            </w:r>
          </w:p>
        </w:tc>
        <w:tc>
          <w:tcPr>
            <w:tcW w:w="867"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ru-RU" w:eastAsia="ru-RU"/>
              </w:rPr>
            </w:pPr>
            <w:r w:rsidRPr="005F13AE">
              <w:rPr>
                <w:rFonts w:cs="Arial"/>
                <w:sz w:val="14"/>
                <w:szCs w:val="14"/>
                <w:lang w:val="ru-RU" w:eastAsia="ru-RU"/>
              </w:rPr>
              <w:t>-</w:t>
            </w:r>
          </w:p>
        </w:tc>
        <w:tc>
          <w:tcPr>
            <w:tcW w:w="1074"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en-US" w:eastAsia="ru-RU"/>
              </w:rPr>
            </w:pPr>
            <w:r w:rsidRPr="005F13AE">
              <w:rPr>
                <w:rFonts w:cs="Arial"/>
                <w:sz w:val="14"/>
                <w:szCs w:val="14"/>
                <w:lang w:val="en-US" w:eastAsia="ru-RU"/>
              </w:rPr>
              <w:t>11 884</w:t>
            </w:r>
          </w:p>
        </w:tc>
        <w:tc>
          <w:tcPr>
            <w:tcW w:w="1032"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en-US" w:eastAsia="ru-RU"/>
              </w:rPr>
            </w:pPr>
            <w:r w:rsidRPr="005F13AE">
              <w:rPr>
                <w:rFonts w:cs="Arial"/>
                <w:sz w:val="14"/>
                <w:szCs w:val="14"/>
                <w:lang w:val="en-US" w:eastAsia="ru-RU"/>
              </w:rPr>
              <w:t>529</w:t>
            </w:r>
          </w:p>
        </w:tc>
        <w:tc>
          <w:tcPr>
            <w:tcW w:w="1128"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ru-RU" w:eastAsia="ru-RU"/>
              </w:rPr>
            </w:pPr>
            <w:r w:rsidRPr="005F13AE">
              <w:rPr>
                <w:rFonts w:cs="Arial"/>
                <w:sz w:val="14"/>
                <w:szCs w:val="14"/>
                <w:lang w:val="ru-RU" w:eastAsia="ru-RU"/>
              </w:rPr>
              <w:t>-</w:t>
            </w:r>
          </w:p>
        </w:tc>
        <w:tc>
          <w:tcPr>
            <w:tcW w:w="1251" w:type="dxa"/>
            <w:tcBorders>
              <w:top w:val="nil"/>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sz w:val="14"/>
                <w:szCs w:val="14"/>
                <w:lang w:val="ru-RU" w:eastAsia="ru-RU"/>
              </w:rPr>
            </w:pPr>
            <w:r w:rsidRPr="005F13AE">
              <w:rPr>
                <w:rFonts w:cs="Arial"/>
                <w:sz w:val="14"/>
                <w:szCs w:val="14"/>
                <w:lang w:val="ru-RU" w:eastAsia="ru-RU"/>
              </w:rPr>
              <w:t>12 413</w:t>
            </w:r>
          </w:p>
        </w:tc>
      </w:tr>
      <w:tr w:rsidR="00A01AD9" w:rsidRPr="00D01079" w:rsidTr="00BE27CD">
        <w:trPr>
          <w:trHeight w:val="150"/>
        </w:trPr>
        <w:tc>
          <w:tcPr>
            <w:tcW w:w="2567" w:type="dxa"/>
            <w:tcBorders>
              <w:top w:val="single" w:sz="4" w:space="0" w:color="auto"/>
              <w:left w:val="nil"/>
              <w:bottom w:val="single" w:sz="4" w:space="0" w:color="auto"/>
              <w:right w:val="nil"/>
            </w:tcBorders>
            <w:shd w:val="clear" w:color="auto" w:fill="auto"/>
            <w:vAlign w:val="bottom"/>
            <w:hideMark/>
          </w:tcPr>
          <w:p w:rsidR="00A01AD9" w:rsidRPr="005F13AE" w:rsidRDefault="00A01AD9" w:rsidP="00A01AD9">
            <w:pPr>
              <w:overflowPunct/>
              <w:autoSpaceDE/>
              <w:autoSpaceDN/>
              <w:adjustRightInd/>
              <w:textAlignment w:val="auto"/>
              <w:rPr>
                <w:rFonts w:cs="Arial"/>
                <w:b/>
                <w:bCs/>
                <w:sz w:val="14"/>
                <w:szCs w:val="14"/>
                <w:lang w:val="ru-RU" w:eastAsia="ru-RU"/>
              </w:rPr>
            </w:pPr>
          </w:p>
          <w:p w:rsidR="00A01AD9" w:rsidRPr="005F13AE" w:rsidRDefault="00A01AD9" w:rsidP="00A01AD9">
            <w:pPr>
              <w:overflowPunct/>
              <w:autoSpaceDE/>
              <w:autoSpaceDN/>
              <w:adjustRightInd/>
              <w:textAlignment w:val="auto"/>
              <w:rPr>
                <w:rFonts w:cs="Arial"/>
                <w:b/>
                <w:bCs/>
                <w:sz w:val="14"/>
                <w:szCs w:val="14"/>
                <w:lang w:val="ru-RU" w:eastAsia="ru-RU"/>
              </w:rPr>
            </w:pPr>
            <w:r w:rsidRPr="005F13AE">
              <w:rPr>
                <w:rFonts w:cs="Arial"/>
                <w:b/>
                <w:bCs/>
                <w:sz w:val="14"/>
                <w:szCs w:val="14"/>
                <w:lang w:val="ru-RU" w:eastAsia="ru-RU"/>
              </w:rPr>
              <w:t>Итого активы</w:t>
            </w:r>
          </w:p>
        </w:tc>
        <w:tc>
          <w:tcPr>
            <w:tcW w:w="966"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154 131</w:t>
            </w:r>
          </w:p>
        </w:tc>
        <w:tc>
          <w:tcPr>
            <w:tcW w:w="873"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80</w:t>
            </w:r>
          </w:p>
        </w:tc>
        <w:tc>
          <w:tcPr>
            <w:tcW w:w="867"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74</w:t>
            </w:r>
          </w:p>
        </w:tc>
        <w:tc>
          <w:tcPr>
            <w:tcW w:w="1074"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153 756</w:t>
            </w:r>
          </w:p>
        </w:tc>
        <w:tc>
          <w:tcPr>
            <w:tcW w:w="1032"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529</w:t>
            </w:r>
          </w:p>
        </w:tc>
        <w:tc>
          <w:tcPr>
            <w:tcW w:w="1128"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ru-RU" w:eastAsia="ru-RU"/>
              </w:rPr>
            </w:pPr>
            <w:r w:rsidRPr="005F13AE">
              <w:rPr>
                <w:rFonts w:cs="Arial"/>
                <w:b/>
                <w:bCs/>
                <w:sz w:val="14"/>
                <w:szCs w:val="14"/>
                <w:lang w:val="ru-RU" w:eastAsia="ru-RU"/>
              </w:rPr>
              <w:t>(</w:t>
            </w:r>
            <w:r w:rsidRPr="005F13AE">
              <w:rPr>
                <w:rFonts w:cs="Arial"/>
                <w:b/>
                <w:bCs/>
                <w:sz w:val="14"/>
                <w:szCs w:val="14"/>
                <w:lang w:val="en-US" w:eastAsia="ru-RU"/>
              </w:rPr>
              <w:t>51 641</w:t>
            </w:r>
            <w:r w:rsidRPr="005F13AE">
              <w:rPr>
                <w:rFonts w:cs="Arial"/>
                <w:b/>
                <w:bCs/>
                <w:sz w:val="14"/>
                <w:szCs w:val="14"/>
                <w:lang w:val="ru-RU" w:eastAsia="ru-RU"/>
              </w:rPr>
              <w:t>)</w:t>
            </w:r>
          </w:p>
        </w:tc>
        <w:tc>
          <w:tcPr>
            <w:tcW w:w="1251" w:type="dxa"/>
            <w:tcBorders>
              <w:top w:val="single" w:sz="4" w:space="0" w:color="auto"/>
              <w:left w:val="nil"/>
              <w:bottom w:val="sing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en-US" w:eastAsia="ru-RU"/>
              </w:rPr>
            </w:pPr>
            <w:r w:rsidRPr="005F13AE">
              <w:rPr>
                <w:rFonts w:cs="Arial"/>
                <w:b/>
                <w:bCs/>
                <w:sz w:val="14"/>
                <w:szCs w:val="14"/>
                <w:lang w:val="en-US" w:eastAsia="ru-RU"/>
              </w:rPr>
              <w:t>102 644</w:t>
            </w:r>
          </w:p>
        </w:tc>
      </w:tr>
      <w:tr w:rsidR="00A01AD9" w:rsidRPr="005F13AE" w:rsidTr="00BE27CD">
        <w:trPr>
          <w:trHeight w:val="150"/>
        </w:trPr>
        <w:tc>
          <w:tcPr>
            <w:tcW w:w="2567" w:type="dxa"/>
            <w:tcBorders>
              <w:top w:val="single" w:sz="4" w:space="0" w:color="auto"/>
              <w:left w:val="nil"/>
              <w:bottom w:val="double" w:sz="4" w:space="0" w:color="auto"/>
              <w:right w:val="nil"/>
            </w:tcBorders>
            <w:shd w:val="clear" w:color="auto" w:fill="auto"/>
            <w:vAlign w:val="bottom"/>
          </w:tcPr>
          <w:p w:rsidR="00A01AD9" w:rsidRPr="00D01079" w:rsidRDefault="00A01AD9" w:rsidP="00A01AD9">
            <w:pPr>
              <w:overflowPunct/>
              <w:autoSpaceDE/>
              <w:autoSpaceDN/>
              <w:adjustRightInd/>
              <w:textAlignment w:val="auto"/>
              <w:rPr>
                <w:rFonts w:cs="Arial"/>
                <w:b/>
                <w:bCs/>
                <w:sz w:val="14"/>
                <w:szCs w:val="14"/>
                <w:lang w:val="ru-RU" w:eastAsia="ru-RU"/>
              </w:rPr>
            </w:pPr>
          </w:p>
          <w:p w:rsidR="00A01AD9" w:rsidRPr="00D01079" w:rsidRDefault="00A01AD9" w:rsidP="00A01AD9">
            <w:pPr>
              <w:overflowPunct/>
              <w:autoSpaceDE/>
              <w:autoSpaceDN/>
              <w:adjustRightInd/>
              <w:textAlignment w:val="auto"/>
              <w:rPr>
                <w:rFonts w:cs="Arial"/>
                <w:b/>
                <w:bCs/>
                <w:sz w:val="14"/>
                <w:szCs w:val="14"/>
                <w:lang w:val="ru-RU" w:eastAsia="ru-RU"/>
              </w:rPr>
            </w:pPr>
            <w:r>
              <w:rPr>
                <w:rFonts w:cs="Arial"/>
                <w:b/>
                <w:bCs/>
                <w:sz w:val="14"/>
                <w:szCs w:val="14"/>
                <w:lang w:val="ru-RU" w:eastAsia="ru-RU"/>
              </w:rPr>
              <w:t>в  т.</w:t>
            </w:r>
            <w:r w:rsidR="00B73CE7">
              <w:rPr>
                <w:rFonts w:cs="Arial"/>
                <w:b/>
                <w:bCs/>
                <w:sz w:val="14"/>
                <w:szCs w:val="14"/>
                <w:lang w:val="ru-RU" w:eastAsia="ru-RU"/>
              </w:rPr>
              <w:t xml:space="preserve"> </w:t>
            </w:r>
            <w:r>
              <w:rPr>
                <w:rFonts w:cs="Arial"/>
                <w:b/>
                <w:bCs/>
                <w:sz w:val="14"/>
                <w:szCs w:val="14"/>
                <w:lang w:val="ru-RU" w:eastAsia="ru-RU"/>
              </w:rPr>
              <w:t>ч.</w:t>
            </w:r>
            <w:r w:rsidRPr="00D01079">
              <w:rPr>
                <w:rFonts w:cs="Arial"/>
                <w:b/>
                <w:bCs/>
                <w:sz w:val="14"/>
                <w:szCs w:val="14"/>
                <w:lang w:val="ru-RU" w:eastAsia="ru-RU"/>
              </w:rPr>
              <w:t xml:space="preserve"> нефинансовые активы</w:t>
            </w:r>
          </w:p>
        </w:tc>
        <w:tc>
          <w:tcPr>
            <w:tcW w:w="966" w:type="dxa"/>
            <w:tcBorders>
              <w:top w:val="single" w:sz="4" w:space="0" w:color="auto"/>
              <w:left w:val="nil"/>
              <w:bottom w:val="doub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ru-RU" w:eastAsia="ru-RU"/>
              </w:rPr>
            </w:pPr>
            <w:r w:rsidRPr="005F13AE">
              <w:rPr>
                <w:rFonts w:cs="Arial"/>
                <w:b/>
                <w:bCs/>
                <w:sz w:val="14"/>
                <w:szCs w:val="14"/>
                <w:lang w:val="ru-RU" w:eastAsia="ru-RU"/>
              </w:rPr>
              <w:t>56 844</w:t>
            </w:r>
          </w:p>
        </w:tc>
        <w:tc>
          <w:tcPr>
            <w:tcW w:w="873" w:type="dxa"/>
            <w:tcBorders>
              <w:top w:val="single" w:sz="4" w:space="0" w:color="auto"/>
              <w:left w:val="nil"/>
              <w:bottom w:val="doub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ru-RU" w:eastAsia="ru-RU"/>
              </w:rPr>
            </w:pPr>
            <w:r w:rsidRPr="005F13AE">
              <w:rPr>
                <w:rFonts w:cs="Arial"/>
                <w:b/>
                <w:bCs/>
                <w:sz w:val="14"/>
                <w:szCs w:val="14"/>
                <w:lang w:val="ru-RU" w:eastAsia="ru-RU"/>
              </w:rPr>
              <w:t>-</w:t>
            </w:r>
          </w:p>
        </w:tc>
        <w:tc>
          <w:tcPr>
            <w:tcW w:w="867" w:type="dxa"/>
            <w:tcBorders>
              <w:top w:val="single" w:sz="4" w:space="0" w:color="auto"/>
              <w:left w:val="nil"/>
              <w:bottom w:val="double" w:sz="4" w:space="0" w:color="auto"/>
              <w:right w:val="nil"/>
            </w:tcBorders>
            <w:shd w:val="clear" w:color="auto" w:fill="auto"/>
            <w:noWrap/>
            <w:vAlign w:val="bottom"/>
          </w:tcPr>
          <w:p w:rsidR="00A01AD9" w:rsidRPr="005F13AE" w:rsidRDefault="00A01AD9" w:rsidP="00A01AD9">
            <w:pPr>
              <w:overflowPunct/>
              <w:autoSpaceDE/>
              <w:autoSpaceDN/>
              <w:adjustRightInd/>
              <w:jc w:val="right"/>
              <w:textAlignment w:val="auto"/>
              <w:rPr>
                <w:rFonts w:cs="Arial"/>
                <w:b/>
                <w:bCs/>
                <w:sz w:val="14"/>
                <w:szCs w:val="14"/>
                <w:lang w:val="ru-RU" w:eastAsia="ru-RU"/>
              </w:rPr>
            </w:pPr>
            <w:r w:rsidRPr="005F13AE">
              <w:rPr>
                <w:rFonts w:cs="Arial"/>
                <w:b/>
                <w:bCs/>
                <w:sz w:val="14"/>
                <w:szCs w:val="14"/>
                <w:lang w:val="ru-RU" w:eastAsia="ru-RU"/>
              </w:rPr>
              <w:t>8</w:t>
            </w:r>
          </w:p>
        </w:tc>
        <w:tc>
          <w:tcPr>
            <w:tcW w:w="1074" w:type="dxa"/>
            <w:tcBorders>
              <w:top w:val="single" w:sz="4" w:space="0" w:color="auto"/>
              <w:left w:val="nil"/>
              <w:bottom w:val="double" w:sz="4" w:space="0" w:color="auto"/>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b/>
                <w:bCs/>
                <w:sz w:val="14"/>
                <w:szCs w:val="14"/>
                <w:highlight w:val="yellow"/>
                <w:lang w:val="ru-RU" w:eastAsia="ru-RU"/>
              </w:rPr>
            </w:pPr>
            <w:r w:rsidRPr="005F13AE">
              <w:rPr>
                <w:rFonts w:cs="Arial"/>
                <w:b/>
                <w:bCs/>
                <w:sz w:val="14"/>
                <w:szCs w:val="14"/>
                <w:lang w:val="ru-RU" w:eastAsia="ru-RU"/>
              </w:rPr>
              <w:t>56 323</w:t>
            </w:r>
          </w:p>
        </w:tc>
        <w:tc>
          <w:tcPr>
            <w:tcW w:w="1032" w:type="dxa"/>
            <w:tcBorders>
              <w:top w:val="single" w:sz="4" w:space="0" w:color="auto"/>
              <w:left w:val="nil"/>
              <w:bottom w:val="double" w:sz="4" w:space="0" w:color="auto"/>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b/>
                <w:bCs/>
                <w:sz w:val="14"/>
                <w:szCs w:val="14"/>
                <w:highlight w:val="yellow"/>
                <w:lang w:val="ru-RU" w:eastAsia="ru-RU"/>
              </w:rPr>
            </w:pPr>
            <w:r w:rsidRPr="005F13AE">
              <w:rPr>
                <w:rFonts w:cs="Arial"/>
                <w:b/>
                <w:bCs/>
                <w:sz w:val="14"/>
                <w:szCs w:val="14"/>
                <w:lang w:val="ru-RU" w:eastAsia="ru-RU"/>
              </w:rPr>
              <w:t>529</w:t>
            </w:r>
          </w:p>
        </w:tc>
        <w:tc>
          <w:tcPr>
            <w:tcW w:w="1128" w:type="dxa"/>
            <w:tcBorders>
              <w:top w:val="single" w:sz="4" w:space="0" w:color="auto"/>
              <w:left w:val="nil"/>
              <w:bottom w:val="double" w:sz="4" w:space="0" w:color="auto"/>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b/>
                <w:bCs/>
                <w:sz w:val="14"/>
                <w:szCs w:val="14"/>
                <w:highlight w:val="yellow"/>
                <w:lang w:val="ru-RU" w:eastAsia="ru-RU"/>
              </w:rPr>
            </w:pPr>
            <w:r w:rsidRPr="005F13AE">
              <w:rPr>
                <w:rFonts w:cs="Arial"/>
                <w:b/>
                <w:bCs/>
                <w:sz w:val="14"/>
                <w:szCs w:val="14"/>
                <w:lang w:val="ru-RU" w:eastAsia="ru-RU"/>
              </w:rPr>
              <w:t>(6 795)</w:t>
            </w:r>
          </w:p>
        </w:tc>
        <w:tc>
          <w:tcPr>
            <w:tcW w:w="1251" w:type="dxa"/>
            <w:tcBorders>
              <w:top w:val="single" w:sz="4" w:space="0" w:color="auto"/>
              <w:left w:val="nil"/>
              <w:bottom w:val="double" w:sz="4" w:space="0" w:color="auto"/>
              <w:right w:val="nil"/>
            </w:tcBorders>
            <w:shd w:val="clear" w:color="auto" w:fill="auto"/>
            <w:noWrap/>
            <w:vAlign w:val="bottom"/>
          </w:tcPr>
          <w:p w:rsidR="00A01AD9" w:rsidRPr="000012A0" w:rsidRDefault="00A01AD9" w:rsidP="00A01AD9">
            <w:pPr>
              <w:overflowPunct/>
              <w:autoSpaceDE/>
              <w:autoSpaceDN/>
              <w:adjustRightInd/>
              <w:jc w:val="right"/>
              <w:textAlignment w:val="auto"/>
              <w:rPr>
                <w:rFonts w:cs="Arial"/>
                <w:b/>
                <w:bCs/>
                <w:sz w:val="14"/>
                <w:szCs w:val="14"/>
                <w:highlight w:val="yellow"/>
                <w:lang w:val="ru-RU" w:eastAsia="ru-RU"/>
              </w:rPr>
            </w:pPr>
            <w:r w:rsidRPr="000C2360">
              <w:rPr>
                <w:rFonts w:cs="Arial"/>
                <w:b/>
                <w:bCs/>
                <w:sz w:val="14"/>
                <w:szCs w:val="14"/>
                <w:lang w:val="ru-RU" w:eastAsia="ru-RU"/>
              </w:rPr>
              <w:t>50 057</w:t>
            </w:r>
          </w:p>
        </w:tc>
      </w:tr>
      <w:tr w:rsidR="00A01AD9" w:rsidRPr="006C0DB6" w:rsidTr="00BE27CD">
        <w:trPr>
          <w:trHeight w:val="255"/>
        </w:trPr>
        <w:tc>
          <w:tcPr>
            <w:tcW w:w="9758" w:type="dxa"/>
            <w:gridSpan w:val="8"/>
            <w:tcBorders>
              <w:top w:val="nil"/>
              <w:left w:val="nil"/>
              <w:bottom w:val="nil"/>
              <w:right w:val="nil"/>
            </w:tcBorders>
            <w:shd w:val="clear" w:color="auto" w:fill="auto"/>
            <w:noWrap/>
            <w:vAlign w:val="bottom"/>
          </w:tcPr>
          <w:p w:rsidR="00A01AD9" w:rsidRDefault="00A01AD9" w:rsidP="00A01AD9">
            <w:pPr>
              <w:overflowPunct/>
              <w:autoSpaceDE/>
              <w:autoSpaceDN/>
              <w:adjustRightInd/>
              <w:jc w:val="both"/>
              <w:textAlignment w:val="auto"/>
              <w:rPr>
                <w:rFonts w:cs="Arial"/>
                <w:sz w:val="20"/>
                <w:szCs w:val="20"/>
                <w:lang w:val="ru-RU"/>
              </w:rPr>
            </w:pPr>
          </w:p>
          <w:p w:rsidR="00A01AD9" w:rsidRPr="00D01079" w:rsidRDefault="00A01AD9" w:rsidP="00A01AD9">
            <w:pPr>
              <w:overflowPunct/>
              <w:autoSpaceDE/>
              <w:autoSpaceDN/>
              <w:adjustRightInd/>
              <w:jc w:val="both"/>
              <w:textAlignment w:val="auto"/>
              <w:rPr>
                <w:rFonts w:cs="Arial"/>
                <w:sz w:val="20"/>
                <w:szCs w:val="20"/>
                <w:lang w:val="ru-RU"/>
              </w:rPr>
            </w:pPr>
            <w:r>
              <w:rPr>
                <w:rFonts w:cs="Arial"/>
                <w:sz w:val="20"/>
                <w:szCs w:val="20"/>
                <w:lang w:val="ru-RU"/>
              </w:rPr>
              <w:t>З</w:t>
            </w:r>
            <w:r w:rsidRPr="00D01079">
              <w:rPr>
                <w:rFonts w:cs="Arial"/>
                <w:sz w:val="20"/>
                <w:szCs w:val="20"/>
                <w:lang w:val="ru-RU"/>
              </w:rPr>
              <w:t>а 31 декабря 201</w:t>
            </w:r>
            <w:r>
              <w:rPr>
                <w:rFonts w:cs="Arial"/>
                <w:sz w:val="20"/>
                <w:szCs w:val="20"/>
                <w:lang w:val="ru-RU"/>
              </w:rPr>
              <w:t>8</w:t>
            </w:r>
            <w:r w:rsidRPr="00D01079">
              <w:rPr>
                <w:rFonts w:cs="Arial"/>
                <w:sz w:val="20"/>
                <w:szCs w:val="20"/>
                <w:lang w:val="ru-RU"/>
              </w:rPr>
              <w:t xml:space="preserve"> долгосрочной дебиторской задолженности, погашение или оплата которой ожидается в период, превышающий 12 месяцев от отчетной даты в Банке нет.</w:t>
            </w:r>
          </w:p>
          <w:p w:rsidR="00A01AD9" w:rsidRDefault="00A01AD9" w:rsidP="00A01AD9">
            <w:pPr>
              <w:overflowPunct/>
              <w:autoSpaceDE/>
              <w:autoSpaceDN/>
              <w:adjustRightInd/>
              <w:jc w:val="both"/>
              <w:textAlignment w:val="auto"/>
              <w:rPr>
                <w:rFonts w:cs="Arial"/>
                <w:sz w:val="20"/>
                <w:szCs w:val="20"/>
                <w:lang w:val="ru-RU"/>
              </w:rPr>
            </w:pPr>
          </w:p>
          <w:p w:rsidR="00A01AD9" w:rsidRDefault="00A01AD9" w:rsidP="00B73CE7">
            <w:pPr>
              <w:overflowPunct/>
              <w:autoSpaceDE/>
              <w:autoSpaceDN/>
              <w:adjustRightInd/>
              <w:jc w:val="both"/>
              <w:textAlignment w:val="auto"/>
              <w:rPr>
                <w:rFonts w:cs="Arial"/>
                <w:b/>
                <w:bCs/>
                <w:sz w:val="20"/>
                <w:szCs w:val="20"/>
                <w:lang w:val="ru-RU" w:eastAsia="ru-RU"/>
              </w:rPr>
            </w:pPr>
            <w:r w:rsidRPr="00366CDE">
              <w:rPr>
                <w:rFonts w:cs="Arial"/>
                <w:b/>
                <w:bCs/>
                <w:sz w:val="20"/>
                <w:szCs w:val="20"/>
                <w:lang w:val="ru-RU" w:eastAsia="ru-RU"/>
              </w:rPr>
              <w:t xml:space="preserve">Информация об объеме, о структуре и об изменении стоимости прочих активов </w:t>
            </w:r>
            <w:r w:rsidR="00B73CE7">
              <w:rPr>
                <w:rFonts w:cs="Arial"/>
                <w:b/>
                <w:bCs/>
                <w:sz w:val="20"/>
                <w:szCs w:val="20"/>
                <w:lang w:val="ru-RU" w:eastAsia="ru-RU"/>
              </w:rPr>
              <w:t>(продолжение):</w:t>
            </w:r>
          </w:p>
          <w:p w:rsidR="00B73CE7" w:rsidRPr="00D01079" w:rsidRDefault="00B73CE7" w:rsidP="00B73CE7">
            <w:pPr>
              <w:overflowPunct/>
              <w:autoSpaceDE/>
              <w:autoSpaceDN/>
              <w:adjustRightInd/>
              <w:jc w:val="both"/>
              <w:textAlignment w:val="auto"/>
              <w:rPr>
                <w:rFonts w:cs="Arial"/>
                <w:b/>
                <w:bCs/>
                <w:sz w:val="20"/>
                <w:szCs w:val="20"/>
                <w:lang w:val="ru-RU" w:eastAsia="ru-RU"/>
              </w:rPr>
            </w:pPr>
          </w:p>
        </w:tc>
      </w:tr>
      <w:tr w:rsidR="00A01AD9" w:rsidRPr="00D01079" w:rsidTr="00BE27CD">
        <w:trPr>
          <w:trHeight w:val="198"/>
        </w:trPr>
        <w:tc>
          <w:tcPr>
            <w:tcW w:w="2567" w:type="dxa"/>
            <w:tcBorders>
              <w:top w:val="single" w:sz="4" w:space="0" w:color="auto"/>
              <w:left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 </w:t>
            </w:r>
          </w:p>
        </w:tc>
        <w:tc>
          <w:tcPr>
            <w:tcW w:w="7191" w:type="dxa"/>
            <w:gridSpan w:val="7"/>
            <w:tcBorders>
              <w:top w:val="single" w:sz="4" w:space="0" w:color="auto"/>
              <w:left w:val="nil"/>
              <w:bottom w:val="single" w:sz="8" w:space="0" w:color="auto"/>
              <w:right w:val="nil"/>
            </w:tcBorders>
            <w:shd w:val="clear" w:color="auto" w:fill="auto"/>
            <w:noWrap/>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31.12.2017</w:t>
            </w:r>
          </w:p>
        </w:tc>
      </w:tr>
      <w:tr w:rsidR="00A01AD9" w:rsidRPr="00D01079" w:rsidTr="00BE27CD">
        <w:trPr>
          <w:trHeight w:val="152"/>
        </w:trPr>
        <w:tc>
          <w:tcPr>
            <w:tcW w:w="2567" w:type="dxa"/>
            <w:tcBorders>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c>
          <w:tcPr>
            <w:tcW w:w="2706" w:type="dxa"/>
            <w:gridSpan w:val="3"/>
            <w:tcBorders>
              <w:top w:val="nil"/>
              <w:left w:val="nil"/>
              <w:bottom w:val="single" w:sz="4" w:space="0" w:color="auto"/>
              <w:right w:val="nil"/>
            </w:tcBorders>
            <w:shd w:val="clear" w:color="auto" w:fill="auto"/>
            <w:noWrap/>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сумма актива</w:t>
            </w:r>
          </w:p>
        </w:tc>
        <w:tc>
          <w:tcPr>
            <w:tcW w:w="2106" w:type="dxa"/>
            <w:gridSpan w:val="2"/>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center"/>
              <w:textAlignment w:val="auto"/>
              <w:rPr>
                <w:rFonts w:cs="Arial"/>
                <w:b/>
                <w:bCs/>
                <w:sz w:val="14"/>
                <w:szCs w:val="14"/>
                <w:lang w:val="ru-RU" w:eastAsia="ru-RU"/>
              </w:rPr>
            </w:pPr>
            <w:r w:rsidRPr="00D01079">
              <w:rPr>
                <w:rFonts w:cs="Arial"/>
                <w:b/>
                <w:bCs/>
                <w:sz w:val="14"/>
                <w:szCs w:val="14"/>
                <w:lang w:val="ru-RU" w:eastAsia="ru-RU"/>
              </w:rPr>
              <w:t>по срокам погашения</w:t>
            </w:r>
          </w:p>
        </w:tc>
        <w:tc>
          <w:tcPr>
            <w:tcW w:w="1128" w:type="dxa"/>
            <w:tcBorders>
              <w:top w:val="nil"/>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c>
          <w:tcPr>
            <w:tcW w:w="1251" w:type="dxa"/>
            <w:tcBorders>
              <w:top w:val="nil"/>
              <w:left w:val="nil"/>
              <w:bottom w:val="nil"/>
              <w:right w:val="nil"/>
            </w:tcBorders>
            <w:shd w:val="clear" w:color="auto" w:fill="auto"/>
            <w:noWrap/>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tc>
      </w:tr>
      <w:tr w:rsidR="00A01AD9" w:rsidRPr="00D01079" w:rsidTr="00BE27CD">
        <w:trPr>
          <w:trHeight w:val="300"/>
        </w:trPr>
        <w:tc>
          <w:tcPr>
            <w:tcW w:w="25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прочие активы</w:t>
            </w:r>
          </w:p>
        </w:tc>
        <w:tc>
          <w:tcPr>
            <w:tcW w:w="966"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рубль РФ</w:t>
            </w:r>
          </w:p>
        </w:tc>
        <w:tc>
          <w:tcPr>
            <w:tcW w:w="873"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доллар США</w:t>
            </w:r>
          </w:p>
        </w:tc>
        <w:tc>
          <w:tcPr>
            <w:tcW w:w="8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евро</w:t>
            </w:r>
          </w:p>
        </w:tc>
        <w:tc>
          <w:tcPr>
            <w:tcW w:w="1074"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в течение 1 года</w:t>
            </w:r>
          </w:p>
        </w:tc>
        <w:tc>
          <w:tcPr>
            <w:tcW w:w="1032"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более 1 года</w:t>
            </w:r>
          </w:p>
        </w:tc>
        <w:tc>
          <w:tcPr>
            <w:tcW w:w="1128"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резерв</w:t>
            </w:r>
          </w:p>
        </w:tc>
        <w:tc>
          <w:tcPr>
            <w:tcW w:w="1251"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стоимость актива</w:t>
            </w:r>
          </w:p>
        </w:tc>
      </w:tr>
      <w:tr w:rsidR="00A01AD9" w:rsidRPr="00D01079" w:rsidTr="00BE27CD">
        <w:trPr>
          <w:trHeight w:val="40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Незавершенные переводы и расчеты с операторами услуг платежной инфраструктуры</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(1 125)</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(1 125)</w:t>
            </w:r>
          </w:p>
        </w:tc>
      </w:tr>
      <w:tr w:rsidR="00A01AD9" w:rsidRPr="00D01079" w:rsidTr="00BE27CD">
        <w:trPr>
          <w:trHeight w:val="776"/>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по брокерским операциям с ценными бумагами и другими финансовыми активами</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142 014</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142 014</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142 014</w:t>
            </w:r>
          </w:p>
        </w:tc>
      </w:tr>
      <w:tr w:rsidR="00A01AD9" w:rsidRPr="00D01079" w:rsidTr="00BE27CD">
        <w:trPr>
          <w:trHeight w:val="703"/>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Просроченные проценты по предоставленным кредитам и прочим размещенным средствам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18 501</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18 501</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(16 979)</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1 522</w:t>
            </w:r>
          </w:p>
        </w:tc>
      </w:tr>
      <w:tr w:rsidR="00A01AD9" w:rsidRPr="00D01079" w:rsidTr="00BE27CD">
        <w:trPr>
          <w:trHeight w:val="45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по отдельным операциям: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комиссиям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24 803</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85</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32</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24 920</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(24 495)</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425</w:t>
            </w: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прочим операциям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5 970</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87</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25</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6 082</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(6 082)</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r>
      <w:tr w:rsidR="00A01AD9" w:rsidRPr="00D01079" w:rsidTr="00BE27CD">
        <w:trPr>
          <w:trHeight w:val="84"/>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получению процентов</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42 821</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ru-RU" w:eastAsia="ru-RU"/>
              </w:rPr>
              <w:t>42 822</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(5 402)</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ru-RU" w:eastAsia="ru-RU"/>
              </w:rPr>
              <w:t>37 420</w:t>
            </w:r>
          </w:p>
        </w:tc>
      </w:tr>
      <w:tr w:rsidR="00A01AD9" w:rsidRPr="00D01079" w:rsidTr="00BE27CD">
        <w:trPr>
          <w:trHeight w:val="25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Расчеты с дебиторами:</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налогам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12 039</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12 039</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12 039</w:t>
            </w:r>
          </w:p>
        </w:tc>
      </w:tr>
      <w:tr w:rsidR="00A01AD9" w:rsidRPr="00D01079" w:rsidTr="00BE27CD">
        <w:trPr>
          <w:trHeight w:val="80"/>
        </w:trPr>
        <w:tc>
          <w:tcPr>
            <w:tcW w:w="2567" w:type="dxa"/>
            <w:tcBorders>
              <w:top w:val="nil"/>
              <w:left w:val="nil"/>
              <w:bottom w:val="nil"/>
              <w:right w:val="nil"/>
            </w:tcBorders>
            <w:shd w:val="clear" w:color="auto" w:fill="auto"/>
            <w:vAlign w:val="bottom"/>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страховым взносам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5 150</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5 150</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5 150</w:t>
            </w:r>
          </w:p>
        </w:tc>
      </w:tr>
      <w:tr w:rsidR="00A01AD9" w:rsidRPr="00D01079" w:rsidTr="00BE27CD">
        <w:trPr>
          <w:trHeight w:val="243"/>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с работниками по оплате труда и подотчетным суммам</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11 311</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11 311</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11 311</w:t>
            </w:r>
          </w:p>
        </w:tc>
      </w:tr>
      <w:tr w:rsidR="00A01AD9" w:rsidRPr="00D01079" w:rsidTr="00BE27CD">
        <w:trPr>
          <w:trHeight w:val="235"/>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по расчетам с поставщиками, подрядчиками</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20 715</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en-US" w:eastAsia="ru-RU"/>
              </w:rPr>
              <w:t>13</w:t>
            </w:r>
            <w:r w:rsidRPr="00D01079">
              <w:rPr>
                <w:rFonts w:cs="Arial"/>
                <w:sz w:val="14"/>
                <w:szCs w:val="14"/>
                <w:lang w:val="ru-RU" w:eastAsia="ru-RU"/>
              </w:rPr>
              <w:t>5</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20 850</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(10 470)</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10 380</w:t>
            </w:r>
          </w:p>
        </w:tc>
      </w:tr>
      <w:tr w:rsidR="00A01AD9" w:rsidRPr="00D01079" w:rsidTr="00BE27CD">
        <w:trPr>
          <w:trHeight w:val="80"/>
        </w:trPr>
        <w:tc>
          <w:tcPr>
            <w:tcW w:w="2567" w:type="dxa"/>
            <w:tcBorders>
              <w:top w:val="nil"/>
              <w:left w:val="nil"/>
              <w:bottom w:val="nil"/>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 с прочими дебиторами</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62</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62</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61</w:t>
            </w:r>
          </w:p>
        </w:tc>
      </w:tr>
      <w:tr w:rsidR="00A01AD9" w:rsidRPr="00D01079" w:rsidTr="00BE27CD">
        <w:trPr>
          <w:trHeight w:val="80"/>
        </w:trPr>
        <w:tc>
          <w:tcPr>
            <w:tcW w:w="2567" w:type="dxa"/>
            <w:tcBorders>
              <w:top w:val="nil"/>
              <w:left w:val="nil"/>
              <w:bottom w:val="nil"/>
              <w:right w:val="nil"/>
            </w:tcBorders>
            <w:shd w:val="clear" w:color="auto" w:fill="auto"/>
            <w:vAlign w:val="bottom"/>
          </w:tcPr>
          <w:p w:rsidR="00A01AD9" w:rsidRPr="00D01079" w:rsidRDefault="00A01AD9" w:rsidP="00A01AD9">
            <w:pPr>
              <w:overflowPunct/>
              <w:autoSpaceDE/>
              <w:autoSpaceDN/>
              <w:adjustRightInd/>
              <w:textAlignment w:val="auto"/>
              <w:rPr>
                <w:rFonts w:cs="Arial"/>
                <w:sz w:val="14"/>
                <w:szCs w:val="14"/>
                <w:lang w:val="ru-RU" w:eastAsia="ru-RU"/>
              </w:rPr>
            </w:pP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p>
        </w:tc>
      </w:tr>
      <w:tr w:rsidR="00A01AD9" w:rsidRPr="00D01079" w:rsidTr="00BE27CD">
        <w:trPr>
          <w:trHeight w:val="80"/>
        </w:trPr>
        <w:tc>
          <w:tcPr>
            <w:tcW w:w="2567" w:type="dxa"/>
            <w:tcBorders>
              <w:top w:val="nil"/>
              <w:left w:val="nil"/>
              <w:bottom w:val="nil"/>
              <w:right w:val="nil"/>
            </w:tcBorders>
            <w:shd w:val="clear" w:color="auto" w:fill="auto"/>
            <w:vAlign w:val="bottom"/>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Средства труда и предметы труда, полученные по договорам отступного, залога</w:t>
            </w:r>
          </w:p>
        </w:tc>
        <w:tc>
          <w:tcPr>
            <w:tcW w:w="966"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2</w:t>
            </w:r>
          </w:p>
        </w:tc>
        <w:tc>
          <w:tcPr>
            <w:tcW w:w="873"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2</w:t>
            </w:r>
          </w:p>
        </w:tc>
        <w:tc>
          <w:tcPr>
            <w:tcW w:w="1032"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128"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w:t>
            </w:r>
          </w:p>
        </w:tc>
        <w:tc>
          <w:tcPr>
            <w:tcW w:w="1251" w:type="dxa"/>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en-US" w:eastAsia="ru-RU"/>
              </w:rPr>
              <w:t>-</w:t>
            </w:r>
          </w:p>
        </w:tc>
      </w:tr>
      <w:tr w:rsidR="00A01AD9" w:rsidRPr="00D01079" w:rsidTr="00BE27CD">
        <w:trPr>
          <w:trHeight w:val="272"/>
        </w:trPr>
        <w:tc>
          <w:tcPr>
            <w:tcW w:w="2567" w:type="dxa"/>
            <w:tcBorders>
              <w:top w:val="nil"/>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textAlignment w:val="auto"/>
              <w:rPr>
                <w:rFonts w:cs="Arial"/>
                <w:sz w:val="14"/>
                <w:szCs w:val="14"/>
                <w:lang w:val="ru-RU" w:eastAsia="ru-RU"/>
              </w:rPr>
            </w:pPr>
            <w:r w:rsidRPr="00D01079">
              <w:rPr>
                <w:rFonts w:cs="Arial"/>
                <w:sz w:val="14"/>
                <w:szCs w:val="14"/>
                <w:lang w:val="ru-RU" w:eastAsia="ru-RU"/>
              </w:rPr>
              <w:t>Расходы будущих периодов</w:t>
            </w:r>
          </w:p>
        </w:tc>
        <w:tc>
          <w:tcPr>
            <w:tcW w:w="966"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ru-RU" w:eastAsia="ru-RU"/>
              </w:rPr>
              <w:t>1 9</w:t>
            </w:r>
            <w:r w:rsidRPr="00D01079">
              <w:rPr>
                <w:rFonts w:cs="Arial"/>
                <w:sz w:val="14"/>
                <w:szCs w:val="14"/>
                <w:lang w:val="en-US" w:eastAsia="ru-RU"/>
              </w:rPr>
              <w:t>19</w:t>
            </w:r>
          </w:p>
        </w:tc>
        <w:tc>
          <w:tcPr>
            <w:tcW w:w="873"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867"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074"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1 645</w:t>
            </w:r>
          </w:p>
        </w:tc>
        <w:tc>
          <w:tcPr>
            <w:tcW w:w="1032"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274</w:t>
            </w:r>
          </w:p>
        </w:tc>
        <w:tc>
          <w:tcPr>
            <w:tcW w:w="1128"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ru-RU" w:eastAsia="ru-RU"/>
              </w:rPr>
            </w:pPr>
            <w:r w:rsidRPr="00D01079">
              <w:rPr>
                <w:rFonts w:cs="Arial"/>
                <w:sz w:val="14"/>
                <w:szCs w:val="14"/>
                <w:lang w:val="ru-RU" w:eastAsia="ru-RU"/>
              </w:rPr>
              <w:t>-</w:t>
            </w:r>
          </w:p>
        </w:tc>
        <w:tc>
          <w:tcPr>
            <w:tcW w:w="1251" w:type="dxa"/>
            <w:tcBorders>
              <w:top w:val="nil"/>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sz w:val="14"/>
                <w:szCs w:val="14"/>
                <w:lang w:val="en-US" w:eastAsia="ru-RU"/>
              </w:rPr>
            </w:pPr>
            <w:r w:rsidRPr="00D01079">
              <w:rPr>
                <w:rFonts w:cs="Arial"/>
                <w:sz w:val="14"/>
                <w:szCs w:val="14"/>
                <w:lang w:val="ru-RU" w:eastAsia="ru-RU"/>
              </w:rPr>
              <w:t>1 9</w:t>
            </w:r>
            <w:r w:rsidRPr="00D01079">
              <w:rPr>
                <w:rFonts w:cs="Arial"/>
                <w:sz w:val="14"/>
                <w:szCs w:val="14"/>
                <w:lang w:val="en-US" w:eastAsia="ru-RU"/>
              </w:rPr>
              <w:t>19</w:t>
            </w:r>
          </w:p>
        </w:tc>
      </w:tr>
      <w:tr w:rsidR="00A01AD9" w:rsidRPr="00D01079" w:rsidTr="00BE27CD">
        <w:trPr>
          <w:trHeight w:val="150"/>
        </w:trPr>
        <w:tc>
          <w:tcPr>
            <w:tcW w:w="2567" w:type="dxa"/>
            <w:tcBorders>
              <w:top w:val="single" w:sz="4" w:space="0" w:color="auto"/>
              <w:left w:val="nil"/>
              <w:bottom w:val="single" w:sz="4" w:space="0" w:color="auto"/>
              <w:right w:val="nil"/>
            </w:tcBorders>
            <w:shd w:val="clear" w:color="auto" w:fill="auto"/>
            <w:vAlign w:val="bottom"/>
            <w:hideMark/>
          </w:tcPr>
          <w:p w:rsidR="00A01AD9" w:rsidRPr="00D01079" w:rsidRDefault="00A01AD9" w:rsidP="00A01AD9">
            <w:pPr>
              <w:overflowPunct/>
              <w:autoSpaceDE/>
              <w:autoSpaceDN/>
              <w:adjustRightInd/>
              <w:textAlignment w:val="auto"/>
              <w:rPr>
                <w:rFonts w:cs="Arial"/>
                <w:b/>
                <w:bCs/>
                <w:sz w:val="14"/>
                <w:szCs w:val="14"/>
                <w:lang w:val="ru-RU" w:eastAsia="ru-RU"/>
              </w:rPr>
            </w:pPr>
          </w:p>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Итого активы</w:t>
            </w:r>
          </w:p>
        </w:tc>
        <w:tc>
          <w:tcPr>
            <w:tcW w:w="966" w:type="dxa"/>
            <w:tcBorders>
              <w:top w:val="single" w:sz="4" w:space="0" w:color="auto"/>
              <w:left w:val="nil"/>
              <w:bottom w:val="single" w:sz="4" w:space="0" w:color="auto"/>
              <w:right w:val="nil"/>
            </w:tcBorders>
            <w:shd w:val="clear" w:color="auto" w:fill="auto"/>
            <w:noWrap/>
            <w:vAlign w:val="bottom"/>
          </w:tcPr>
          <w:p w:rsidR="00A01AD9" w:rsidRPr="00D01079" w:rsidRDefault="00A01AD9" w:rsidP="003627AE">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285 30</w:t>
            </w:r>
            <w:r w:rsidR="003627AE">
              <w:rPr>
                <w:rFonts w:cs="Arial"/>
                <w:b/>
                <w:bCs/>
                <w:sz w:val="14"/>
                <w:szCs w:val="14"/>
                <w:lang w:val="ru-RU" w:eastAsia="ru-RU"/>
              </w:rPr>
              <w:t>7</w:t>
            </w:r>
          </w:p>
        </w:tc>
        <w:tc>
          <w:tcPr>
            <w:tcW w:w="873"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308</w:t>
            </w:r>
          </w:p>
        </w:tc>
        <w:tc>
          <w:tcPr>
            <w:tcW w:w="867"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57</w:t>
            </w:r>
          </w:p>
        </w:tc>
        <w:tc>
          <w:tcPr>
            <w:tcW w:w="1074"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285 398</w:t>
            </w:r>
          </w:p>
        </w:tc>
        <w:tc>
          <w:tcPr>
            <w:tcW w:w="1032"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274</w:t>
            </w:r>
          </w:p>
        </w:tc>
        <w:tc>
          <w:tcPr>
            <w:tcW w:w="1128"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(64 556)</w:t>
            </w:r>
          </w:p>
        </w:tc>
        <w:tc>
          <w:tcPr>
            <w:tcW w:w="1251" w:type="dxa"/>
            <w:tcBorders>
              <w:top w:val="single" w:sz="4" w:space="0" w:color="auto"/>
              <w:left w:val="nil"/>
              <w:bottom w:val="sing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221 116</w:t>
            </w:r>
          </w:p>
        </w:tc>
      </w:tr>
      <w:tr w:rsidR="00A01AD9" w:rsidRPr="00D01079" w:rsidTr="00BE27CD">
        <w:trPr>
          <w:trHeight w:val="150"/>
        </w:trPr>
        <w:tc>
          <w:tcPr>
            <w:tcW w:w="2567" w:type="dxa"/>
            <w:tcBorders>
              <w:top w:val="single" w:sz="4" w:space="0" w:color="auto"/>
              <w:left w:val="nil"/>
              <w:bottom w:val="double" w:sz="4" w:space="0" w:color="auto"/>
              <w:right w:val="nil"/>
            </w:tcBorders>
            <w:shd w:val="clear" w:color="auto" w:fill="auto"/>
            <w:vAlign w:val="bottom"/>
          </w:tcPr>
          <w:p w:rsidR="00A01AD9" w:rsidRPr="00D01079" w:rsidRDefault="00A01AD9" w:rsidP="00A01AD9">
            <w:pPr>
              <w:overflowPunct/>
              <w:autoSpaceDE/>
              <w:autoSpaceDN/>
              <w:adjustRightInd/>
              <w:textAlignment w:val="auto"/>
              <w:rPr>
                <w:rFonts w:cs="Arial"/>
                <w:b/>
                <w:bCs/>
                <w:sz w:val="14"/>
                <w:szCs w:val="14"/>
                <w:lang w:val="ru-RU" w:eastAsia="ru-RU"/>
              </w:rPr>
            </w:pPr>
          </w:p>
          <w:p w:rsidR="00A01AD9" w:rsidRPr="00D01079" w:rsidRDefault="00A01AD9" w:rsidP="00A01AD9">
            <w:pPr>
              <w:overflowPunct/>
              <w:autoSpaceDE/>
              <w:autoSpaceDN/>
              <w:adjustRightInd/>
              <w:textAlignment w:val="auto"/>
              <w:rPr>
                <w:rFonts w:cs="Arial"/>
                <w:b/>
                <w:bCs/>
                <w:sz w:val="14"/>
                <w:szCs w:val="14"/>
                <w:lang w:val="ru-RU" w:eastAsia="ru-RU"/>
              </w:rPr>
            </w:pPr>
            <w:r w:rsidRPr="00D01079">
              <w:rPr>
                <w:rFonts w:cs="Arial"/>
                <w:b/>
                <w:bCs/>
                <w:sz w:val="14"/>
                <w:szCs w:val="14"/>
                <w:lang w:val="ru-RU" w:eastAsia="ru-RU"/>
              </w:rPr>
              <w:t>в т. ч. нефинансовые активы</w:t>
            </w:r>
          </w:p>
        </w:tc>
        <w:tc>
          <w:tcPr>
            <w:tcW w:w="966"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51 198</w:t>
            </w:r>
          </w:p>
        </w:tc>
        <w:tc>
          <w:tcPr>
            <w:tcW w:w="873"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135</w:t>
            </w:r>
          </w:p>
        </w:tc>
        <w:tc>
          <w:tcPr>
            <w:tcW w:w="867"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w:t>
            </w:r>
          </w:p>
        </w:tc>
        <w:tc>
          <w:tcPr>
            <w:tcW w:w="1074"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51 059</w:t>
            </w:r>
          </w:p>
        </w:tc>
        <w:tc>
          <w:tcPr>
            <w:tcW w:w="1032"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274</w:t>
            </w:r>
          </w:p>
        </w:tc>
        <w:tc>
          <w:tcPr>
            <w:tcW w:w="1128"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(10 473)</w:t>
            </w:r>
          </w:p>
        </w:tc>
        <w:tc>
          <w:tcPr>
            <w:tcW w:w="1251" w:type="dxa"/>
            <w:tcBorders>
              <w:top w:val="single" w:sz="4" w:space="0" w:color="auto"/>
              <w:left w:val="nil"/>
              <w:bottom w:val="double" w:sz="4" w:space="0" w:color="auto"/>
              <w:right w:val="nil"/>
            </w:tcBorders>
            <w:shd w:val="clear" w:color="auto" w:fill="auto"/>
            <w:noWrap/>
            <w:vAlign w:val="bottom"/>
          </w:tcPr>
          <w:p w:rsidR="00A01AD9" w:rsidRPr="00D01079" w:rsidRDefault="00A01AD9" w:rsidP="00A01AD9">
            <w:pPr>
              <w:overflowPunct/>
              <w:autoSpaceDE/>
              <w:autoSpaceDN/>
              <w:adjustRightInd/>
              <w:jc w:val="right"/>
              <w:textAlignment w:val="auto"/>
              <w:rPr>
                <w:rFonts w:cs="Arial"/>
                <w:b/>
                <w:bCs/>
                <w:sz w:val="14"/>
                <w:szCs w:val="14"/>
                <w:lang w:val="ru-RU" w:eastAsia="ru-RU"/>
              </w:rPr>
            </w:pPr>
            <w:r w:rsidRPr="00D01079">
              <w:rPr>
                <w:rFonts w:cs="Arial"/>
                <w:b/>
                <w:bCs/>
                <w:sz w:val="14"/>
                <w:szCs w:val="14"/>
                <w:lang w:val="ru-RU" w:eastAsia="ru-RU"/>
              </w:rPr>
              <w:t>40 860</w:t>
            </w:r>
          </w:p>
        </w:tc>
      </w:tr>
      <w:tr w:rsidR="00A01AD9" w:rsidRPr="00A01AD9" w:rsidTr="00BE27CD">
        <w:trPr>
          <w:trHeight w:val="255"/>
        </w:trPr>
        <w:tc>
          <w:tcPr>
            <w:tcW w:w="9758" w:type="dxa"/>
            <w:gridSpan w:val="8"/>
            <w:tcBorders>
              <w:top w:val="nil"/>
              <w:left w:val="nil"/>
              <w:bottom w:val="nil"/>
              <w:right w:val="nil"/>
            </w:tcBorders>
            <w:shd w:val="clear" w:color="auto" w:fill="auto"/>
            <w:noWrap/>
            <w:vAlign w:val="bottom"/>
          </w:tcPr>
          <w:p w:rsidR="00A01AD9" w:rsidRPr="00D01079" w:rsidRDefault="00A01AD9" w:rsidP="00A01AD9">
            <w:pPr>
              <w:overflowPunct/>
              <w:autoSpaceDE/>
              <w:autoSpaceDN/>
              <w:adjustRightInd/>
              <w:textAlignment w:val="auto"/>
              <w:rPr>
                <w:rFonts w:cs="Arial"/>
                <w:b/>
                <w:bCs/>
                <w:sz w:val="20"/>
                <w:szCs w:val="20"/>
                <w:lang w:val="ru-RU" w:eastAsia="ru-RU"/>
              </w:rPr>
            </w:pPr>
          </w:p>
          <w:p w:rsidR="00A01AD9" w:rsidRPr="00D01079" w:rsidRDefault="00A01AD9" w:rsidP="00B73CE7">
            <w:pPr>
              <w:overflowPunct/>
              <w:autoSpaceDE/>
              <w:autoSpaceDN/>
              <w:adjustRightInd/>
              <w:jc w:val="both"/>
              <w:textAlignment w:val="auto"/>
              <w:rPr>
                <w:rFonts w:cs="Arial"/>
                <w:sz w:val="20"/>
                <w:szCs w:val="20"/>
                <w:lang w:val="ru-RU"/>
              </w:rPr>
            </w:pPr>
            <w:r w:rsidRPr="00D01079">
              <w:rPr>
                <w:rFonts w:cs="Arial"/>
                <w:sz w:val="20"/>
                <w:szCs w:val="20"/>
                <w:lang w:val="ru-RU"/>
              </w:rPr>
              <w:t xml:space="preserve">За 31 декабря 2017 долгосрочной дебиторской задолженности, погашение или оплата которой ожидается в период, превышающий 12 месяцев от отчетной даты в Банке нет. </w:t>
            </w:r>
          </w:p>
          <w:p w:rsidR="00A01AD9" w:rsidRDefault="00A01AD9" w:rsidP="00A01AD9">
            <w:pPr>
              <w:overflowPunct/>
              <w:autoSpaceDE/>
              <w:autoSpaceDN/>
              <w:adjustRightInd/>
              <w:textAlignment w:val="auto"/>
              <w:rPr>
                <w:rFonts w:cs="Arial"/>
                <w:b/>
                <w:bCs/>
                <w:sz w:val="20"/>
                <w:szCs w:val="20"/>
                <w:lang w:val="ru-RU" w:eastAsia="ru-RU"/>
              </w:rPr>
            </w:pPr>
          </w:p>
          <w:p w:rsidR="00A01AD9" w:rsidRPr="009140D9" w:rsidRDefault="00A01AD9" w:rsidP="00A01AD9">
            <w:pPr>
              <w:jc w:val="both"/>
              <w:rPr>
                <w:rFonts w:cs="Arial"/>
                <w:b/>
                <w:sz w:val="20"/>
                <w:szCs w:val="20"/>
                <w:lang w:val="ru-RU"/>
              </w:rPr>
            </w:pPr>
            <w:r>
              <w:rPr>
                <w:rFonts w:cs="Arial"/>
                <w:b/>
                <w:sz w:val="20"/>
                <w:szCs w:val="20"/>
                <w:lang w:val="ru-RU"/>
              </w:rPr>
              <w:t>6</w:t>
            </w:r>
            <w:r w:rsidRPr="009140D9">
              <w:rPr>
                <w:rFonts w:cs="Arial"/>
                <w:b/>
                <w:sz w:val="20"/>
                <w:szCs w:val="20"/>
                <w:lang w:val="ru-RU"/>
              </w:rPr>
              <w:t>.1.</w:t>
            </w:r>
            <w:r>
              <w:rPr>
                <w:rFonts w:cs="Arial"/>
                <w:b/>
                <w:sz w:val="20"/>
                <w:szCs w:val="20"/>
                <w:lang w:val="ru-RU"/>
              </w:rPr>
              <w:t>19</w:t>
            </w:r>
            <w:r w:rsidRPr="009140D9">
              <w:rPr>
                <w:rFonts w:cs="Arial"/>
                <w:b/>
                <w:sz w:val="20"/>
                <w:szCs w:val="20"/>
                <w:lang w:val="ru-RU"/>
              </w:rPr>
              <w:t xml:space="preserve">. </w:t>
            </w:r>
            <w:r>
              <w:rPr>
                <w:rFonts w:cs="Arial"/>
                <w:b/>
                <w:sz w:val="20"/>
                <w:szCs w:val="20"/>
                <w:lang w:val="ru-RU"/>
              </w:rPr>
              <w:t>Информация об остатках средств</w:t>
            </w:r>
            <w:r w:rsidRPr="009140D9">
              <w:rPr>
                <w:rFonts w:cs="Arial"/>
                <w:b/>
                <w:sz w:val="20"/>
                <w:szCs w:val="20"/>
                <w:lang w:val="ru-RU"/>
              </w:rPr>
              <w:t xml:space="preserve"> на счетах кредитных организаций в разрезе отдельных видов счетов</w:t>
            </w:r>
          </w:p>
          <w:p w:rsidR="00A01AD9" w:rsidRPr="00367D3E" w:rsidRDefault="00A01AD9" w:rsidP="00A01AD9">
            <w:pPr>
              <w:jc w:val="both"/>
              <w:rPr>
                <w:rFonts w:cs="Arial"/>
                <w:b/>
                <w:sz w:val="20"/>
                <w:szCs w:val="20"/>
                <w:highlight w:val="yellow"/>
                <w:lang w:val="ru-RU"/>
              </w:rPr>
            </w:pPr>
          </w:p>
          <w:tbl>
            <w:tblPr>
              <w:tblW w:w="9513" w:type="dxa"/>
              <w:tblInd w:w="93" w:type="dxa"/>
              <w:tblLook w:val="04A0" w:firstRow="1" w:lastRow="0" w:firstColumn="1" w:lastColumn="0" w:noHBand="0" w:noVBand="1"/>
            </w:tblPr>
            <w:tblGrid>
              <w:gridCol w:w="2992"/>
              <w:gridCol w:w="3544"/>
              <w:gridCol w:w="2977"/>
            </w:tblGrid>
            <w:tr w:rsidR="00A01AD9" w:rsidRPr="006C0DB6" w:rsidTr="00A01AD9">
              <w:trPr>
                <w:trHeight w:val="179"/>
              </w:trPr>
              <w:tc>
                <w:tcPr>
                  <w:tcW w:w="2992" w:type="dxa"/>
                  <w:tcBorders>
                    <w:top w:val="single" w:sz="4" w:space="0" w:color="auto"/>
                    <w:left w:val="nil"/>
                    <w:right w:val="nil"/>
                  </w:tcBorders>
                  <w:shd w:val="clear" w:color="auto" w:fill="auto"/>
                  <w:noWrap/>
                  <w:vAlign w:val="bottom"/>
                  <w:hideMark/>
                </w:tcPr>
                <w:p w:rsidR="00A01AD9" w:rsidRPr="009140D9" w:rsidRDefault="00A01AD9" w:rsidP="00A01AD9">
                  <w:pPr>
                    <w:overflowPunct/>
                    <w:autoSpaceDE/>
                    <w:autoSpaceDN/>
                    <w:adjustRightInd/>
                    <w:textAlignment w:val="auto"/>
                    <w:rPr>
                      <w:rFonts w:cs="Arial"/>
                      <w:b/>
                      <w:bCs/>
                      <w:sz w:val="16"/>
                      <w:szCs w:val="16"/>
                      <w:lang w:val="ru-RU" w:eastAsia="ru-RU"/>
                    </w:rPr>
                  </w:pPr>
                  <w:r w:rsidRPr="009140D9">
                    <w:rPr>
                      <w:rFonts w:cs="Arial"/>
                      <w:b/>
                      <w:bCs/>
                      <w:sz w:val="16"/>
                      <w:szCs w:val="16"/>
                      <w:lang w:val="ru-RU" w:eastAsia="ru-RU"/>
                    </w:rPr>
                    <w:t> </w:t>
                  </w:r>
                </w:p>
              </w:tc>
              <w:tc>
                <w:tcPr>
                  <w:tcW w:w="3544" w:type="dxa"/>
                  <w:tcBorders>
                    <w:top w:val="single" w:sz="4" w:space="0" w:color="auto"/>
                    <w:left w:val="nil"/>
                    <w:bottom w:val="single" w:sz="8" w:space="0" w:color="auto"/>
                    <w:right w:val="nil"/>
                  </w:tcBorders>
                  <w:shd w:val="clear" w:color="auto" w:fill="auto"/>
                  <w:noWrap/>
                  <w:vAlign w:val="bottom"/>
                  <w:hideMark/>
                </w:tcPr>
                <w:p w:rsidR="00A01AD9" w:rsidRPr="009140D9" w:rsidRDefault="00A01AD9" w:rsidP="00A01AD9">
                  <w:pPr>
                    <w:overflowPunct/>
                    <w:autoSpaceDE/>
                    <w:autoSpaceDN/>
                    <w:adjustRightInd/>
                    <w:jc w:val="center"/>
                    <w:textAlignment w:val="auto"/>
                    <w:rPr>
                      <w:rFonts w:cs="Arial"/>
                      <w:b/>
                      <w:bCs/>
                      <w:sz w:val="16"/>
                      <w:szCs w:val="16"/>
                      <w:lang w:val="ru-RU" w:eastAsia="ru-RU"/>
                    </w:rPr>
                  </w:pPr>
                </w:p>
                <w:p w:rsidR="00A01AD9" w:rsidRPr="009140D9" w:rsidRDefault="00A01AD9" w:rsidP="00A01AD9">
                  <w:pPr>
                    <w:overflowPunct/>
                    <w:autoSpaceDE/>
                    <w:autoSpaceDN/>
                    <w:adjustRightInd/>
                    <w:jc w:val="center"/>
                    <w:textAlignment w:val="auto"/>
                    <w:rPr>
                      <w:rFonts w:cs="Arial"/>
                      <w:b/>
                      <w:bCs/>
                      <w:sz w:val="16"/>
                      <w:szCs w:val="16"/>
                      <w:lang w:val="ru-RU" w:eastAsia="ru-RU"/>
                    </w:rPr>
                  </w:pPr>
                  <w:r w:rsidRPr="009140D9">
                    <w:rPr>
                      <w:rFonts w:cs="Arial"/>
                      <w:b/>
                      <w:bCs/>
                      <w:sz w:val="16"/>
                      <w:szCs w:val="16"/>
                      <w:lang w:val="ru-RU" w:eastAsia="ru-RU"/>
                    </w:rPr>
                    <w:t>31.12.201</w:t>
                  </w:r>
                  <w:r>
                    <w:rPr>
                      <w:rFonts w:cs="Arial"/>
                      <w:b/>
                      <w:bCs/>
                      <w:sz w:val="16"/>
                      <w:szCs w:val="16"/>
                      <w:lang w:val="ru-RU" w:eastAsia="ru-RU"/>
                    </w:rPr>
                    <w:t>8</w:t>
                  </w:r>
                </w:p>
              </w:tc>
              <w:tc>
                <w:tcPr>
                  <w:tcW w:w="2977" w:type="dxa"/>
                  <w:tcBorders>
                    <w:top w:val="single" w:sz="4" w:space="0" w:color="auto"/>
                    <w:left w:val="nil"/>
                    <w:bottom w:val="single" w:sz="8" w:space="0" w:color="auto"/>
                    <w:right w:val="nil"/>
                  </w:tcBorders>
                  <w:vAlign w:val="bottom"/>
                </w:tcPr>
                <w:p w:rsidR="00A01AD9" w:rsidRPr="009140D9" w:rsidRDefault="00A01AD9" w:rsidP="00A01AD9">
                  <w:pPr>
                    <w:overflowPunct/>
                    <w:autoSpaceDE/>
                    <w:autoSpaceDN/>
                    <w:adjustRightInd/>
                    <w:jc w:val="center"/>
                    <w:textAlignment w:val="auto"/>
                    <w:rPr>
                      <w:rFonts w:cs="Arial"/>
                      <w:b/>
                      <w:bCs/>
                      <w:sz w:val="16"/>
                      <w:szCs w:val="16"/>
                      <w:lang w:val="ru-RU" w:eastAsia="ru-RU"/>
                    </w:rPr>
                  </w:pPr>
                </w:p>
                <w:p w:rsidR="00A01AD9" w:rsidRPr="009140D9" w:rsidRDefault="00A01AD9" w:rsidP="00A01AD9">
                  <w:pPr>
                    <w:overflowPunct/>
                    <w:autoSpaceDE/>
                    <w:autoSpaceDN/>
                    <w:adjustRightInd/>
                    <w:jc w:val="center"/>
                    <w:textAlignment w:val="auto"/>
                    <w:rPr>
                      <w:rFonts w:cs="Arial"/>
                      <w:b/>
                      <w:bCs/>
                      <w:sz w:val="16"/>
                      <w:szCs w:val="16"/>
                      <w:lang w:val="ru-RU" w:eastAsia="ru-RU"/>
                    </w:rPr>
                  </w:pPr>
                  <w:r w:rsidRPr="009140D9">
                    <w:rPr>
                      <w:rFonts w:cs="Arial"/>
                      <w:b/>
                      <w:bCs/>
                      <w:sz w:val="16"/>
                      <w:szCs w:val="16"/>
                      <w:lang w:val="ru-RU" w:eastAsia="ru-RU"/>
                    </w:rPr>
                    <w:t>31.12.2017</w:t>
                  </w:r>
                </w:p>
              </w:tc>
            </w:tr>
            <w:tr w:rsidR="00A01AD9" w:rsidRPr="006C0DB6" w:rsidTr="00A01AD9">
              <w:trPr>
                <w:trHeight w:val="225"/>
              </w:trPr>
              <w:tc>
                <w:tcPr>
                  <w:tcW w:w="2992" w:type="dxa"/>
                  <w:tcBorders>
                    <w:left w:val="nil"/>
                    <w:bottom w:val="nil"/>
                    <w:right w:val="nil"/>
                  </w:tcBorders>
                  <w:shd w:val="clear" w:color="auto" w:fill="auto"/>
                  <w:noWrap/>
                  <w:vAlign w:val="bottom"/>
                  <w:hideMark/>
                </w:tcPr>
                <w:p w:rsidR="00A01AD9" w:rsidRPr="009140D9" w:rsidRDefault="00A01AD9" w:rsidP="00A01AD9">
                  <w:pPr>
                    <w:overflowPunct/>
                    <w:autoSpaceDE/>
                    <w:autoSpaceDN/>
                    <w:adjustRightInd/>
                    <w:textAlignment w:val="auto"/>
                    <w:rPr>
                      <w:rFonts w:cs="Arial"/>
                      <w:sz w:val="16"/>
                      <w:szCs w:val="16"/>
                      <w:lang w:val="ru-RU" w:eastAsia="ru-RU"/>
                    </w:rPr>
                  </w:pPr>
                  <w:r w:rsidRPr="009140D9">
                    <w:rPr>
                      <w:rFonts w:cs="Arial"/>
                      <w:sz w:val="16"/>
                      <w:szCs w:val="16"/>
                      <w:lang w:val="ru-RU" w:eastAsia="ru-RU"/>
                    </w:rPr>
                    <w:t>Корреспондентские счета банков</w:t>
                  </w:r>
                </w:p>
              </w:tc>
              <w:tc>
                <w:tcPr>
                  <w:tcW w:w="3544" w:type="dxa"/>
                  <w:tcBorders>
                    <w:top w:val="nil"/>
                    <w:left w:val="nil"/>
                    <w:bottom w:val="nil"/>
                    <w:right w:val="nil"/>
                  </w:tcBorders>
                  <w:shd w:val="clear" w:color="auto" w:fill="auto"/>
                  <w:noWrap/>
                  <w:vAlign w:val="bottom"/>
                  <w:hideMark/>
                </w:tcPr>
                <w:p w:rsidR="00A01AD9" w:rsidRPr="009140D9"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7</w:t>
                  </w:r>
                </w:p>
              </w:tc>
              <w:tc>
                <w:tcPr>
                  <w:tcW w:w="2977" w:type="dxa"/>
                  <w:tcBorders>
                    <w:top w:val="nil"/>
                    <w:left w:val="nil"/>
                    <w:bottom w:val="nil"/>
                    <w:right w:val="nil"/>
                  </w:tcBorders>
                  <w:vAlign w:val="bottom"/>
                </w:tcPr>
                <w:p w:rsidR="00A01AD9" w:rsidRPr="009140D9" w:rsidRDefault="00A01AD9" w:rsidP="00A01AD9">
                  <w:pPr>
                    <w:overflowPunct/>
                    <w:autoSpaceDE/>
                    <w:autoSpaceDN/>
                    <w:adjustRightInd/>
                    <w:jc w:val="center"/>
                    <w:textAlignment w:val="auto"/>
                    <w:rPr>
                      <w:rFonts w:cs="Arial"/>
                      <w:sz w:val="16"/>
                      <w:szCs w:val="16"/>
                      <w:lang w:val="ru-RU" w:eastAsia="ru-RU"/>
                    </w:rPr>
                  </w:pPr>
                  <w:r w:rsidRPr="009140D9">
                    <w:rPr>
                      <w:rFonts w:cs="Arial"/>
                      <w:sz w:val="16"/>
                      <w:szCs w:val="16"/>
                      <w:lang w:val="ru-RU" w:eastAsia="ru-RU"/>
                    </w:rPr>
                    <w:t>21</w:t>
                  </w:r>
                </w:p>
              </w:tc>
            </w:tr>
            <w:tr w:rsidR="00A01AD9" w:rsidRPr="006C0DB6" w:rsidTr="00A01AD9">
              <w:trPr>
                <w:trHeight w:val="240"/>
              </w:trPr>
              <w:tc>
                <w:tcPr>
                  <w:tcW w:w="2992" w:type="dxa"/>
                  <w:tcBorders>
                    <w:top w:val="nil"/>
                    <w:left w:val="nil"/>
                    <w:bottom w:val="single" w:sz="4" w:space="0" w:color="auto"/>
                    <w:right w:val="nil"/>
                  </w:tcBorders>
                  <w:shd w:val="clear" w:color="auto" w:fill="auto"/>
                  <w:noWrap/>
                  <w:vAlign w:val="bottom"/>
                  <w:hideMark/>
                </w:tcPr>
                <w:p w:rsidR="00A01AD9" w:rsidRPr="009140D9" w:rsidRDefault="00A01AD9" w:rsidP="00A01AD9">
                  <w:pPr>
                    <w:overflowPunct/>
                    <w:autoSpaceDE/>
                    <w:autoSpaceDN/>
                    <w:adjustRightInd/>
                    <w:textAlignment w:val="auto"/>
                    <w:rPr>
                      <w:rFonts w:cs="Arial"/>
                      <w:sz w:val="16"/>
                      <w:szCs w:val="16"/>
                      <w:lang w:val="ru-RU" w:eastAsia="ru-RU"/>
                    </w:rPr>
                  </w:pPr>
                  <w:r w:rsidRPr="009140D9">
                    <w:rPr>
                      <w:rFonts w:cs="Arial"/>
                      <w:sz w:val="16"/>
                      <w:szCs w:val="16"/>
                      <w:lang w:val="ru-RU" w:eastAsia="ru-RU"/>
                    </w:rPr>
                    <w:t>Кредиты, депозиты банков</w:t>
                  </w:r>
                </w:p>
              </w:tc>
              <w:tc>
                <w:tcPr>
                  <w:tcW w:w="3544" w:type="dxa"/>
                  <w:tcBorders>
                    <w:top w:val="nil"/>
                    <w:left w:val="nil"/>
                    <w:bottom w:val="single" w:sz="4" w:space="0" w:color="auto"/>
                    <w:right w:val="nil"/>
                  </w:tcBorders>
                  <w:shd w:val="clear" w:color="auto" w:fill="auto"/>
                  <w:noWrap/>
                  <w:vAlign w:val="bottom"/>
                  <w:hideMark/>
                </w:tcPr>
                <w:p w:rsidR="00A01AD9" w:rsidRPr="009140D9"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2977" w:type="dxa"/>
                  <w:tcBorders>
                    <w:top w:val="nil"/>
                    <w:left w:val="nil"/>
                    <w:bottom w:val="single" w:sz="4" w:space="0" w:color="auto"/>
                    <w:right w:val="nil"/>
                  </w:tcBorders>
                  <w:vAlign w:val="bottom"/>
                </w:tcPr>
                <w:p w:rsidR="00A01AD9" w:rsidRPr="009140D9" w:rsidRDefault="00A01AD9" w:rsidP="00A01AD9">
                  <w:pPr>
                    <w:overflowPunct/>
                    <w:autoSpaceDE/>
                    <w:autoSpaceDN/>
                    <w:adjustRightInd/>
                    <w:jc w:val="center"/>
                    <w:textAlignment w:val="auto"/>
                    <w:rPr>
                      <w:rFonts w:cs="Arial"/>
                      <w:sz w:val="16"/>
                      <w:szCs w:val="16"/>
                      <w:lang w:val="ru-RU" w:eastAsia="ru-RU"/>
                    </w:rPr>
                  </w:pPr>
                  <w:r w:rsidRPr="009140D9">
                    <w:rPr>
                      <w:rFonts w:cs="Arial"/>
                      <w:sz w:val="16"/>
                      <w:szCs w:val="16"/>
                      <w:lang w:val="ru-RU" w:eastAsia="ru-RU"/>
                    </w:rPr>
                    <w:t>51 526</w:t>
                  </w:r>
                </w:p>
              </w:tc>
            </w:tr>
            <w:tr w:rsidR="00A01AD9" w:rsidRPr="006C0DB6" w:rsidTr="00A01AD9">
              <w:trPr>
                <w:trHeight w:val="255"/>
              </w:trPr>
              <w:tc>
                <w:tcPr>
                  <w:tcW w:w="2992" w:type="dxa"/>
                  <w:tcBorders>
                    <w:top w:val="single" w:sz="4" w:space="0" w:color="auto"/>
                    <w:left w:val="nil"/>
                    <w:bottom w:val="double" w:sz="4" w:space="0" w:color="auto"/>
                    <w:right w:val="nil"/>
                  </w:tcBorders>
                  <w:shd w:val="clear" w:color="auto" w:fill="auto"/>
                  <w:noWrap/>
                  <w:vAlign w:val="bottom"/>
                  <w:hideMark/>
                </w:tcPr>
                <w:p w:rsidR="00A01AD9" w:rsidRPr="009140D9" w:rsidRDefault="00A01AD9" w:rsidP="00A01AD9">
                  <w:pPr>
                    <w:overflowPunct/>
                    <w:autoSpaceDE/>
                    <w:autoSpaceDN/>
                    <w:adjustRightInd/>
                    <w:textAlignment w:val="auto"/>
                    <w:rPr>
                      <w:rFonts w:cs="Arial"/>
                      <w:b/>
                      <w:bCs/>
                      <w:sz w:val="16"/>
                      <w:szCs w:val="16"/>
                      <w:lang w:val="ru-RU" w:eastAsia="ru-RU"/>
                    </w:rPr>
                  </w:pPr>
                  <w:r w:rsidRPr="009140D9">
                    <w:rPr>
                      <w:rFonts w:cs="Arial"/>
                      <w:b/>
                      <w:bCs/>
                      <w:sz w:val="16"/>
                      <w:szCs w:val="16"/>
                      <w:lang w:val="ru-RU" w:eastAsia="ru-RU"/>
                    </w:rPr>
                    <w:t>Итого</w:t>
                  </w:r>
                </w:p>
              </w:tc>
              <w:tc>
                <w:tcPr>
                  <w:tcW w:w="3544" w:type="dxa"/>
                  <w:tcBorders>
                    <w:top w:val="single" w:sz="4" w:space="0" w:color="auto"/>
                    <w:left w:val="nil"/>
                    <w:bottom w:val="double" w:sz="4" w:space="0" w:color="auto"/>
                    <w:right w:val="nil"/>
                  </w:tcBorders>
                  <w:shd w:val="clear" w:color="auto" w:fill="auto"/>
                  <w:noWrap/>
                  <w:vAlign w:val="bottom"/>
                  <w:hideMark/>
                </w:tcPr>
                <w:p w:rsidR="00A01AD9" w:rsidRPr="009140D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w:t>
                  </w:r>
                </w:p>
              </w:tc>
              <w:tc>
                <w:tcPr>
                  <w:tcW w:w="2977" w:type="dxa"/>
                  <w:tcBorders>
                    <w:top w:val="single" w:sz="4" w:space="0" w:color="auto"/>
                    <w:left w:val="nil"/>
                    <w:bottom w:val="double" w:sz="4" w:space="0" w:color="auto"/>
                    <w:right w:val="nil"/>
                  </w:tcBorders>
                  <w:vAlign w:val="bottom"/>
                </w:tcPr>
                <w:p w:rsidR="00A01AD9" w:rsidRPr="009140D9" w:rsidRDefault="00A01AD9" w:rsidP="00A01AD9">
                  <w:pPr>
                    <w:overflowPunct/>
                    <w:autoSpaceDE/>
                    <w:autoSpaceDN/>
                    <w:adjustRightInd/>
                    <w:jc w:val="center"/>
                    <w:textAlignment w:val="auto"/>
                    <w:rPr>
                      <w:rFonts w:cs="Arial"/>
                      <w:b/>
                      <w:bCs/>
                      <w:sz w:val="16"/>
                      <w:szCs w:val="16"/>
                      <w:lang w:val="ru-RU" w:eastAsia="ru-RU"/>
                    </w:rPr>
                  </w:pPr>
                  <w:r w:rsidRPr="009140D9">
                    <w:rPr>
                      <w:rFonts w:cs="Arial"/>
                      <w:b/>
                      <w:bCs/>
                      <w:sz w:val="16"/>
                      <w:szCs w:val="16"/>
                      <w:lang w:val="ru-RU" w:eastAsia="ru-RU"/>
                    </w:rPr>
                    <w:t>51 547</w:t>
                  </w:r>
                </w:p>
              </w:tc>
            </w:tr>
          </w:tbl>
          <w:p w:rsidR="00A01AD9" w:rsidRDefault="00A01AD9" w:rsidP="00A01AD9">
            <w:pPr>
              <w:jc w:val="both"/>
              <w:rPr>
                <w:rFonts w:cs="Arial"/>
                <w:sz w:val="20"/>
                <w:szCs w:val="20"/>
                <w:lang w:val="ru-RU"/>
              </w:rPr>
            </w:pPr>
          </w:p>
          <w:p w:rsidR="00A01AD9" w:rsidRPr="00E551D8" w:rsidRDefault="00A01AD9" w:rsidP="00A01AD9">
            <w:pPr>
              <w:jc w:val="both"/>
              <w:rPr>
                <w:rFonts w:cs="Arial"/>
                <w:sz w:val="20"/>
                <w:szCs w:val="20"/>
                <w:lang w:val="ru-RU"/>
              </w:rPr>
            </w:pPr>
            <w:r w:rsidRPr="00E551D8">
              <w:rPr>
                <w:rFonts w:cs="Arial"/>
                <w:sz w:val="20"/>
                <w:szCs w:val="20"/>
                <w:lang w:val="ru-RU"/>
              </w:rPr>
              <w:t>За 31 декабря 201</w:t>
            </w:r>
            <w:r>
              <w:rPr>
                <w:rFonts w:cs="Arial"/>
                <w:sz w:val="20"/>
                <w:szCs w:val="20"/>
                <w:lang w:val="ru-RU"/>
              </w:rPr>
              <w:t>8</w:t>
            </w:r>
            <w:r w:rsidRPr="00E551D8">
              <w:rPr>
                <w:rFonts w:cs="Arial"/>
                <w:sz w:val="20"/>
                <w:szCs w:val="20"/>
                <w:lang w:val="ru-RU"/>
              </w:rPr>
              <w:t xml:space="preserve"> года на корреспондентских счетах банков-корреспондентов отражены остатки в размере </w:t>
            </w:r>
            <w:r>
              <w:rPr>
                <w:rFonts w:cs="Arial"/>
                <w:sz w:val="20"/>
                <w:szCs w:val="20"/>
                <w:lang w:val="ru-RU"/>
              </w:rPr>
              <w:t>7</w:t>
            </w:r>
            <w:r w:rsidRPr="00E551D8">
              <w:rPr>
                <w:rFonts w:cs="Arial"/>
                <w:sz w:val="20"/>
                <w:szCs w:val="20"/>
                <w:lang w:val="ru-RU"/>
              </w:rPr>
              <w:t xml:space="preserve"> тыс. руб. (в 2017 г. – </w:t>
            </w:r>
            <w:r>
              <w:rPr>
                <w:rFonts w:cs="Arial"/>
                <w:sz w:val="20"/>
                <w:szCs w:val="20"/>
                <w:lang w:val="ru-RU"/>
              </w:rPr>
              <w:t>21</w:t>
            </w:r>
            <w:r w:rsidRPr="00E551D8">
              <w:rPr>
                <w:rFonts w:cs="Arial"/>
                <w:sz w:val="20"/>
                <w:szCs w:val="20"/>
                <w:lang w:val="ru-RU"/>
              </w:rPr>
              <w:t xml:space="preserve"> тыс. руб.), за 31 декабря 2017 года на счетах МБК отражен остаток на сумму 51 526 тыс. руб. </w:t>
            </w:r>
          </w:p>
          <w:p w:rsidR="00A01AD9" w:rsidRDefault="00A01AD9" w:rsidP="00A01AD9">
            <w:pPr>
              <w:rPr>
                <w:lang w:val="ru-RU"/>
              </w:rPr>
            </w:pPr>
          </w:p>
          <w:p w:rsidR="00A01AD9" w:rsidRPr="00E551D8" w:rsidRDefault="00A01AD9" w:rsidP="00A01AD9">
            <w:pPr>
              <w:jc w:val="both"/>
              <w:rPr>
                <w:rFonts w:cs="Arial"/>
                <w:b/>
                <w:sz w:val="20"/>
                <w:szCs w:val="20"/>
                <w:lang w:val="ru-RU"/>
              </w:rPr>
            </w:pPr>
            <w:r>
              <w:rPr>
                <w:rFonts w:cs="Arial"/>
                <w:b/>
                <w:sz w:val="20"/>
                <w:szCs w:val="20"/>
                <w:lang w:val="ru-RU"/>
              </w:rPr>
              <w:t>6</w:t>
            </w:r>
            <w:r w:rsidRPr="00E551D8">
              <w:rPr>
                <w:rFonts w:cs="Arial"/>
                <w:b/>
                <w:sz w:val="20"/>
                <w:szCs w:val="20"/>
                <w:lang w:val="ru-RU"/>
              </w:rPr>
              <w:t>.1.2</w:t>
            </w:r>
            <w:r>
              <w:rPr>
                <w:rFonts w:cs="Arial"/>
                <w:b/>
                <w:sz w:val="20"/>
                <w:szCs w:val="20"/>
                <w:lang w:val="ru-RU"/>
              </w:rPr>
              <w:t>0</w:t>
            </w:r>
            <w:r w:rsidRPr="00E551D8">
              <w:rPr>
                <w:rFonts w:cs="Arial"/>
                <w:b/>
                <w:sz w:val="20"/>
                <w:szCs w:val="20"/>
                <w:lang w:val="ru-RU"/>
              </w:rPr>
              <w:t>. Информация об остатках средств на счетах клиентов</w:t>
            </w:r>
          </w:p>
          <w:p w:rsidR="00A01AD9" w:rsidRPr="00367D3E" w:rsidRDefault="00A01AD9" w:rsidP="00A01AD9">
            <w:pPr>
              <w:jc w:val="both"/>
              <w:rPr>
                <w:rFonts w:cs="Arial"/>
                <w:b/>
                <w:sz w:val="20"/>
                <w:szCs w:val="20"/>
                <w:highlight w:val="yellow"/>
                <w:lang w:val="ru-RU"/>
              </w:rPr>
            </w:pPr>
          </w:p>
          <w:tbl>
            <w:tblPr>
              <w:tblW w:w="9640" w:type="dxa"/>
              <w:tblLook w:val="04A0" w:firstRow="1" w:lastRow="0" w:firstColumn="1" w:lastColumn="0" w:noHBand="0" w:noVBand="1"/>
            </w:tblPr>
            <w:tblGrid>
              <w:gridCol w:w="3261"/>
              <w:gridCol w:w="4046"/>
              <w:gridCol w:w="2333"/>
            </w:tblGrid>
            <w:tr w:rsidR="00A01AD9" w:rsidRPr="006C0DB6" w:rsidTr="00BE27CD">
              <w:trPr>
                <w:trHeight w:val="240"/>
              </w:trPr>
              <w:tc>
                <w:tcPr>
                  <w:tcW w:w="3261" w:type="dxa"/>
                  <w:tcBorders>
                    <w:top w:val="single" w:sz="4" w:space="0" w:color="auto"/>
                    <w:left w:val="nil"/>
                    <w:bottom w:val="single" w:sz="8" w:space="0" w:color="auto"/>
                    <w:right w:val="nil"/>
                  </w:tcBorders>
                  <w:shd w:val="clear" w:color="auto" w:fill="auto"/>
                  <w:noWrap/>
                  <w:vAlign w:val="bottom"/>
                  <w:hideMark/>
                </w:tcPr>
                <w:p w:rsidR="00A01AD9" w:rsidRPr="00E551D8" w:rsidRDefault="00A01AD9" w:rsidP="00A01AD9">
                  <w:pPr>
                    <w:overflowPunct/>
                    <w:autoSpaceDE/>
                    <w:autoSpaceDN/>
                    <w:adjustRightInd/>
                    <w:textAlignment w:val="auto"/>
                    <w:rPr>
                      <w:rFonts w:cs="Arial"/>
                      <w:b/>
                      <w:bCs/>
                      <w:sz w:val="16"/>
                      <w:szCs w:val="16"/>
                      <w:lang w:val="ru-RU" w:eastAsia="ru-RU"/>
                    </w:rPr>
                  </w:pPr>
                </w:p>
                <w:p w:rsidR="00A01AD9" w:rsidRPr="00E551D8" w:rsidRDefault="00A01AD9" w:rsidP="00A01AD9">
                  <w:pPr>
                    <w:overflowPunct/>
                    <w:autoSpaceDE/>
                    <w:autoSpaceDN/>
                    <w:adjustRightInd/>
                    <w:textAlignment w:val="auto"/>
                    <w:rPr>
                      <w:rFonts w:cs="Arial"/>
                      <w:b/>
                      <w:bCs/>
                      <w:sz w:val="16"/>
                      <w:szCs w:val="16"/>
                      <w:lang w:val="ru-RU" w:eastAsia="ru-RU"/>
                    </w:rPr>
                  </w:pPr>
                  <w:r w:rsidRPr="00E551D8">
                    <w:rPr>
                      <w:rFonts w:cs="Arial"/>
                      <w:b/>
                      <w:bCs/>
                      <w:sz w:val="16"/>
                      <w:szCs w:val="16"/>
                      <w:lang w:val="ru-RU" w:eastAsia="ru-RU"/>
                    </w:rPr>
                    <w:t>Виды привлечения</w:t>
                  </w:r>
                </w:p>
              </w:tc>
              <w:tc>
                <w:tcPr>
                  <w:tcW w:w="4046" w:type="dxa"/>
                  <w:tcBorders>
                    <w:top w:val="single" w:sz="4" w:space="0" w:color="auto"/>
                    <w:left w:val="nil"/>
                    <w:bottom w:val="single" w:sz="8" w:space="0" w:color="auto"/>
                    <w:right w:val="nil"/>
                  </w:tcBorders>
                  <w:shd w:val="clear" w:color="auto" w:fill="auto"/>
                  <w:noWrap/>
                  <w:vAlign w:val="bottom"/>
                </w:tcPr>
                <w:p w:rsidR="00A01AD9" w:rsidRPr="00E551D8"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31.12.2018</w:t>
                  </w:r>
                </w:p>
              </w:tc>
              <w:tc>
                <w:tcPr>
                  <w:tcW w:w="2333" w:type="dxa"/>
                  <w:tcBorders>
                    <w:top w:val="single" w:sz="4" w:space="0" w:color="auto"/>
                    <w:left w:val="nil"/>
                    <w:bottom w:val="single" w:sz="8" w:space="0" w:color="auto"/>
                    <w:right w:val="nil"/>
                  </w:tcBorders>
                  <w:vAlign w:val="bottom"/>
                </w:tcPr>
                <w:p w:rsidR="00A01AD9" w:rsidRPr="00E551D8" w:rsidRDefault="00A01AD9" w:rsidP="00A01AD9">
                  <w:pPr>
                    <w:overflowPunct/>
                    <w:autoSpaceDE/>
                    <w:autoSpaceDN/>
                    <w:adjustRightInd/>
                    <w:jc w:val="center"/>
                    <w:textAlignment w:val="auto"/>
                    <w:rPr>
                      <w:rFonts w:cs="Arial"/>
                      <w:b/>
                      <w:bCs/>
                      <w:sz w:val="16"/>
                      <w:szCs w:val="16"/>
                      <w:lang w:val="ru-RU" w:eastAsia="ru-RU"/>
                    </w:rPr>
                  </w:pPr>
                  <w:r w:rsidRPr="00E551D8">
                    <w:rPr>
                      <w:rFonts w:cs="Arial"/>
                      <w:b/>
                      <w:bCs/>
                      <w:sz w:val="16"/>
                      <w:szCs w:val="16"/>
                      <w:lang w:val="ru-RU" w:eastAsia="ru-RU"/>
                    </w:rPr>
                    <w:t>31.12.2017</w:t>
                  </w:r>
                </w:p>
              </w:tc>
            </w:tr>
            <w:tr w:rsidR="00A01AD9" w:rsidRPr="006C0DB6" w:rsidTr="00BE27CD">
              <w:trPr>
                <w:trHeight w:val="225"/>
              </w:trPr>
              <w:tc>
                <w:tcPr>
                  <w:tcW w:w="3261" w:type="dxa"/>
                  <w:tcBorders>
                    <w:top w:val="nil"/>
                    <w:left w:val="nil"/>
                    <w:right w:val="nil"/>
                  </w:tcBorders>
                  <w:shd w:val="clear" w:color="auto" w:fill="auto"/>
                  <w:noWrap/>
                  <w:vAlign w:val="bottom"/>
                  <w:hideMark/>
                </w:tcPr>
                <w:p w:rsidR="00A01AD9" w:rsidRPr="00E551D8" w:rsidRDefault="00A01AD9" w:rsidP="00A01AD9">
                  <w:pPr>
                    <w:overflowPunct/>
                    <w:autoSpaceDE/>
                    <w:autoSpaceDN/>
                    <w:adjustRightInd/>
                    <w:textAlignment w:val="auto"/>
                    <w:rPr>
                      <w:rFonts w:cs="Arial"/>
                      <w:sz w:val="16"/>
                      <w:szCs w:val="16"/>
                      <w:lang w:val="ru-RU" w:eastAsia="ru-RU"/>
                    </w:rPr>
                  </w:pPr>
                  <w:r w:rsidRPr="00E551D8">
                    <w:rPr>
                      <w:rFonts w:cs="Arial"/>
                      <w:sz w:val="16"/>
                      <w:szCs w:val="16"/>
                      <w:lang w:val="ru-RU" w:eastAsia="ru-RU"/>
                    </w:rPr>
                    <w:t>Средства на счетах клиентов</w:t>
                  </w:r>
                </w:p>
              </w:tc>
              <w:tc>
                <w:tcPr>
                  <w:tcW w:w="4046" w:type="dxa"/>
                  <w:tcBorders>
                    <w:top w:val="nil"/>
                    <w:left w:val="nil"/>
                    <w:right w:val="nil"/>
                  </w:tcBorders>
                  <w:shd w:val="clear" w:color="auto" w:fill="auto"/>
                  <w:noWrap/>
                  <w:vAlign w:val="bottom"/>
                </w:tcPr>
                <w:p w:rsidR="00A01AD9" w:rsidRPr="00E551D8"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3 257 033</w:t>
                  </w:r>
                </w:p>
              </w:tc>
              <w:tc>
                <w:tcPr>
                  <w:tcW w:w="2333" w:type="dxa"/>
                  <w:tcBorders>
                    <w:top w:val="nil"/>
                    <w:left w:val="nil"/>
                    <w:right w:val="nil"/>
                  </w:tcBorders>
                  <w:vAlign w:val="bottom"/>
                </w:tcPr>
                <w:p w:rsidR="00A01AD9" w:rsidRPr="00E551D8" w:rsidRDefault="00A01AD9" w:rsidP="00A01AD9">
                  <w:pPr>
                    <w:overflowPunct/>
                    <w:autoSpaceDE/>
                    <w:autoSpaceDN/>
                    <w:adjustRightInd/>
                    <w:jc w:val="center"/>
                    <w:textAlignment w:val="auto"/>
                    <w:rPr>
                      <w:rFonts w:cs="Arial"/>
                      <w:sz w:val="16"/>
                      <w:szCs w:val="16"/>
                      <w:lang w:val="ru-RU" w:eastAsia="ru-RU"/>
                    </w:rPr>
                  </w:pPr>
                  <w:r w:rsidRPr="00E551D8">
                    <w:rPr>
                      <w:rFonts w:cs="Arial"/>
                      <w:sz w:val="16"/>
                      <w:szCs w:val="16"/>
                      <w:lang w:val="ru-RU" w:eastAsia="ru-RU"/>
                    </w:rPr>
                    <w:t>2 933 440</w:t>
                  </w:r>
                </w:p>
              </w:tc>
            </w:tr>
            <w:tr w:rsidR="00A01AD9" w:rsidRPr="006C0DB6" w:rsidTr="00BE27CD">
              <w:trPr>
                <w:trHeight w:val="240"/>
              </w:trPr>
              <w:tc>
                <w:tcPr>
                  <w:tcW w:w="3261" w:type="dxa"/>
                  <w:tcBorders>
                    <w:top w:val="nil"/>
                    <w:left w:val="nil"/>
                    <w:bottom w:val="single" w:sz="4" w:space="0" w:color="auto"/>
                    <w:right w:val="nil"/>
                  </w:tcBorders>
                  <w:shd w:val="clear" w:color="auto" w:fill="auto"/>
                  <w:noWrap/>
                  <w:vAlign w:val="bottom"/>
                  <w:hideMark/>
                </w:tcPr>
                <w:p w:rsidR="00A01AD9" w:rsidRPr="00E551D8" w:rsidRDefault="00A01AD9" w:rsidP="00A01AD9">
                  <w:pPr>
                    <w:overflowPunct/>
                    <w:autoSpaceDE/>
                    <w:autoSpaceDN/>
                    <w:adjustRightInd/>
                    <w:textAlignment w:val="auto"/>
                    <w:rPr>
                      <w:rFonts w:cs="Arial"/>
                      <w:sz w:val="16"/>
                      <w:szCs w:val="16"/>
                      <w:lang w:val="ru-RU" w:eastAsia="ru-RU"/>
                    </w:rPr>
                  </w:pPr>
                  <w:r w:rsidRPr="00E551D8">
                    <w:rPr>
                      <w:rFonts w:cs="Arial"/>
                      <w:sz w:val="16"/>
                      <w:szCs w:val="16"/>
                      <w:lang w:val="ru-RU" w:eastAsia="ru-RU"/>
                    </w:rPr>
                    <w:t>срочные депозиты</w:t>
                  </w:r>
                </w:p>
              </w:tc>
              <w:tc>
                <w:tcPr>
                  <w:tcW w:w="4046" w:type="dxa"/>
                  <w:tcBorders>
                    <w:top w:val="nil"/>
                    <w:left w:val="nil"/>
                    <w:bottom w:val="single" w:sz="4" w:space="0" w:color="auto"/>
                    <w:right w:val="nil"/>
                  </w:tcBorders>
                  <w:shd w:val="clear" w:color="auto" w:fill="auto"/>
                  <w:noWrap/>
                  <w:vAlign w:val="bottom"/>
                </w:tcPr>
                <w:p w:rsidR="00A01AD9" w:rsidRPr="00367D3E" w:rsidRDefault="00A01AD9" w:rsidP="00A01AD9">
                  <w:pPr>
                    <w:overflowPunct/>
                    <w:autoSpaceDE/>
                    <w:autoSpaceDN/>
                    <w:adjustRightInd/>
                    <w:jc w:val="center"/>
                    <w:textAlignment w:val="auto"/>
                    <w:rPr>
                      <w:rFonts w:cs="Arial"/>
                      <w:sz w:val="16"/>
                      <w:szCs w:val="16"/>
                      <w:highlight w:val="yellow"/>
                      <w:lang w:val="ru-RU" w:eastAsia="ru-RU"/>
                    </w:rPr>
                  </w:pPr>
                  <w:r w:rsidRPr="00A507D4">
                    <w:rPr>
                      <w:rFonts w:cs="Arial"/>
                      <w:sz w:val="16"/>
                      <w:szCs w:val="16"/>
                      <w:lang w:val="ru-RU" w:eastAsia="ru-RU"/>
                    </w:rPr>
                    <w:t>8 791 059</w:t>
                  </w:r>
                </w:p>
              </w:tc>
              <w:tc>
                <w:tcPr>
                  <w:tcW w:w="2333" w:type="dxa"/>
                  <w:tcBorders>
                    <w:top w:val="nil"/>
                    <w:left w:val="nil"/>
                    <w:bottom w:val="single" w:sz="4" w:space="0" w:color="auto"/>
                    <w:right w:val="nil"/>
                  </w:tcBorders>
                  <w:vAlign w:val="bottom"/>
                </w:tcPr>
                <w:p w:rsidR="00A01AD9" w:rsidRPr="00367D3E" w:rsidRDefault="00A01AD9" w:rsidP="00A01AD9">
                  <w:pPr>
                    <w:overflowPunct/>
                    <w:autoSpaceDE/>
                    <w:autoSpaceDN/>
                    <w:adjustRightInd/>
                    <w:jc w:val="center"/>
                    <w:textAlignment w:val="auto"/>
                    <w:rPr>
                      <w:rFonts w:cs="Arial"/>
                      <w:sz w:val="16"/>
                      <w:szCs w:val="16"/>
                      <w:highlight w:val="yellow"/>
                      <w:lang w:val="ru-RU" w:eastAsia="ru-RU"/>
                    </w:rPr>
                  </w:pPr>
                  <w:r w:rsidRPr="00342C7C">
                    <w:rPr>
                      <w:rFonts w:cs="Arial"/>
                      <w:sz w:val="16"/>
                      <w:szCs w:val="16"/>
                      <w:lang w:val="ru-RU" w:eastAsia="ru-RU"/>
                    </w:rPr>
                    <w:t>8 779 255</w:t>
                  </w:r>
                </w:p>
              </w:tc>
            </w:tr>
            <w:tr w:rsidR="00A01AD9" w:rsidRPr="006C0DB6" w:rsidTr="00BE27CD">
              <w:trPr>
                <w:trHeight w:val="255"/>
              </w:trPr>
              <w:tc>
                <w:tcPr>
                  <w:tcW w:w="3261" w:type="dxa"/>
                  <w:tcBorders>
                    <w:top w:val="single" w:sz="4" w:space="0" w:color="auto"/>
                    <w:left w:val="nil"/>
                    <w:bottom w:val="double" w:sz="4" w:space="0" w:color="auto"/>
                    <w:right w:val="nil"/>
                  </w:tcBorders>
                  <w:shd w:val="clear" w:color="auto" w:fill="auto"/>
                  <w:noWrap/>
                  <w:vAlign w:val="bottom"/>
                  <w:hideMark/>
                </w:tcPr>
                <w:p w:rsidR="00A01AD9" w:rsidRPr="00E551D8" w:rsidRDefault="00A01AD9" w:rsidP="00A01AD9">
                  <w:pPr>
                    <w:overflowPunct/>
                    <w:autoSpaceDE/>
                    <w:autoSpaceDN/>
                    <w:adjustRightInd/>
                    <w:textAlignment w:val="auto"/>
                    <w:rPr>
                      <w:rFonts w:cs="Arial"/>
                      <w:b/>
                      <w:bCs/>
                      <w:sz w:val="16"/>
                      <w:szCs w:val="16"/>
                      <w:lang w:val="ru-RU" w:eastAsia="ru-RU"/>
                    </w:rPr>
                  </w:pPr>
                  <w:r w:rsidRPr="00E551D8">
                    <w:rPr>
                      <w:rFonts w:cs="Arial"/>
                      <w:b/>
                      <w:bCs/>
                      <w:sz w:val="16"/>
                      <w:szCs w:val="16"/>
                      <w:lang w:val="ru-RU" w:eastAsia="ru-RU"/>
                    </w:rPr>
                    <w:t>Итого</w:t>
                  </w:r>
                </w:p>
              </w:tc>
              <w:tc>
                <w:tcPr>
                  <w:tcW w:w="4046" w:type="dxa"/>
                  <w:tcBorders>
                    <w:top w:val="single" w:sz="4" w:space="0" w:color="auto"/>
                    <w:left w:val="nil"/>
                    <w:bottom w:val="double" w:sz="4" w:space="0" w:color="auto"/>
                    <w:right w:val="nil"/>
                  </w:tcBorders>
                  <w:shd w:val="clear" w:color="auto" w:fill="auto"/>
                  <w:noWrap/>
                  <w:vAlign w:val="bottom"/>
                </w:tcPr>
                <w:p w:rsidR="00A01AD9" w:rsidRPr="00367D3E" w:rsidRDefault="00A01AD9" w:rsidP="00A01AD9">
                  <w:pPr>
                    <w:overflowPunct/>
                    <w:autoSpaceDE/>
                    <w:autoSpaceDN/>
                    <w:adjustRightInd/>
                    <w:jc w:val="center"/>
                    <w:textAlignment w:val="auto"/>
                    <w:rPr>
                      <w:rFonts w:cs="Arial"/>
                      <w:b/>
                      <w:bCs/>
                      <w:sz w:val="16"/>
                      <w:szCs w:val="16"/>
                      <w:highlight w:val="yellow"/>
                      <w:lang w:val="ru-RU" w:eastAsia="ru-RU"/>
                    </w:rPr>
                  </w:pPr>
                  <w:r>
                    <w:rPr>
                      <w:rFonts w:cs="Arial"/>
                      <w:b/>
                      <w:bCs/>
                      <w:sz w:val="16"/>
                      <w:szCs w:val="16"/>
                      <w:lang w:val="ru-RU" w:eastAsia="ru-RU"/>
                    </w:rPr>
                    <w:t>12 048 092</w:t>
                  </w:r>
                </w:p>
              </w:tc>
              <w:tc>
                <w:tcPr>
                  <w:tcW w:w="2333" w:type="dxa"/>
                  <w:tcBorders>
                    <w:top w:val="single" w:sz="4" w:space="0" w:color="auto"/>
                    <w:left w:val="nil"/>
                    <w:bottom w:val="double" w:sz="4" w:space="0" w:color="auto"/>
                    <w:right w:val="nil"/>
                  </w:tcBorders>
                  <w:vAlign w:val="bottom"/>
                </w:tcPr>
                <w:p w:rsidR="00A01AD9" w:rsidRPr="00367D3E" w:rsidRDefault="00A01AD9" w:rsidP="00A01AD9">
                  <w:pPr>
                    <w:overflowPunct/>
                    <w:autoSpaceDE/>
                    <w:autoSpaceDN/>
                    <w:adjustRightInd/>
                    <w:jc w:val="center"/>
                    <w:textAlignment w:val="auto"/>
                    <w:rPr>
                      <w:rFonts w:cs="Arial"/>
                      <w:b/>
                      <w:bCs/>
                      <w:sz w:val="16"/>
                      <w:szCs w:val="16"/>
                      <w:highlight w:val="yellow"/>
                      <w:lang w:val="ru-RU" w:eastAsia="ru-RU"/>
                    </w:rPr>
                  </w:pPr>
                  <w:r w:rsidRPr="00342C7C">
                    <w:rPr>
                      <w:rFonts w:cs="Arial"/>
                      <w:b/>
                      <w:bCs/>
                      <w:sz w:val="16"/>
                      <w:szCs w:val="16"/>
                      <w:lang w:val="ru-RU" w:eastAsia="ru-RU"/>
                    </w:rPr>
                    <w:t>11 712 695</w:t>
                  </w:r>
                </w:p>
              </w:tc>
            </w:tr>
          </w:tbl>
          <w:p w:rsidR="00A01AD9" w:rsidRPr="00367D3E" w:rsidRDefault="00A01AD9" w:rsidP="00A01AD9">
            <w:pPr>
              <w:jc w:val="both"/>
              <w:rPr>
                <w:rFonts w:cs="Arial"/>
                <w:b/>
                <w:sz w:val="20"/>
                <w:szCs w:val="20"/>
                <w:highlight w:val="yellow"/>
                <w:lang w:val="ru-RU"/>
              </w:rPr>
            </w:pPr>
          </w:p>
          <w:p w:rsidR="00A01AD9" w:rsidRPr="00304990" w:rsidRDefault="00A01AD9" w:rsidP="00A01AD9">
            <w:pPr>
              <w:jc w:val="both"/>
              <w:rPr>
                <w:rFonts w:cs="Arial"/>
                <w:sz w:val="20"/>
                <w:szCs w:val="20"/>
                <w:lang w:val="ru-RU"/>
              </w:rPr>
            </w:pPr>
            <w:r w:rsidRPr="00304990">
              <w:rPr>
                <w:rFonts w:cs="Arial"/>
                <w:sz w:val="20"/>
                <w:szCs w:val="20"/>
                <w:lang w:val="ru-RU"/>
              </w:rPr>
              <w:t xml:space="preserve">За </w:t>
            </w:r>
            <w:r w:rsidRPr="007F531E">
              <w:rPr>
                <w:rFonts w:cs="Arial"/>
                <w:sz w:val="20"/>
                <w:szCs w:val="20"/>
                <w:lang w:val="ru-RU"/>
              </w:rPr>
              <w:t>31</w:t>
            </w:r>
            <w:r w:rsidRPr="00304990">
              <w:rPr>
                <w:rFonts w:cs="Arial"/>
                <w:sz w:val="20"/>
                <w:szCs w:val="20"/>
                <w:lang w:val="ru-RU"/>
              </w:rPr>
              <w:t xml:space="preserve"> </w:t>
            </w:r>
            <w:r>
              <w:rPr>
                <w:rFonts w:cs="Arial"/>
                <w:sz w:val="20"/>
                <w:szCs w:val="20"/>
                <w:lang w:val="ru-RU"/>
              </w:rPr>
              <w:t>дека</w:t>
            </w:r>
            <w:r w:rsidRPr="00304990">
              <w:rPr>
                <w:rFonts w:cs="Arial"/>
                <w:sz w:val="20"/>
                <w:szCs w:val="20"/>
                <w:lang w:val="ru-RU"/>
              </w:rPr>
              <w:t>бря 201</w:t>
            </w:r>
            <w:r>
              <w:rPr>
                <w:rFonts w:cs="Arial"/>
                <w:sz w:val="20"/>
                <w:szCs w:val="20"/>
                <w:lang w:val="ru-RU"/>
              </w:rPr>
              <w:t>8</w:t>
            </w:r>
            <w:r w:rsidRPr="00304990">
              <w:rPr>
                <w:rFonts w:cs="Arial"/>
                <w:sz w:val="20"/>
                <w:szCs w:val="20"/>
                <w:lang w:val="ru-RU"/>
              </w:rPr>
              <w:t xml:space="preserve"> года средства на счетах клиентов в размере </w:t>
            </w:r>
            <w:r>
              <w:rPr>
                <w:rFonts w:cs="Arial"/>
                <w:sz w:val="20"/>
                <w:szCs w:val="20"/>
                <w:lang w:val="ru-RU"/>
              </w:rPr>
              <w:t>391 944</w:t>
            </w:r>
            <w:r w:rsidRPr="00304990">
              <w:rPr>
                <w:rFonts w:cs="Arial"/>
                <w:sz w:val="20"/>
                <w:szCs w:val="20"/>
                <w:lang w:val="ru-RU"/>
              </w:rPr>
              <w:t xml:space="preserve"> тыс. руб., представляли собой средства десяти крупнейших клиентов, групп связанных кредиторов (вкладчиков), что составляет </w:t>
            </w:r>
            <w:r>
              <w:rPr>
                <w:rFonts w:cs="Arial"/>
                <w:sz w:val="20"/>
                <w:szCs w:val="20"/>
                <w:lang w:val="ru-RU"/>
              </w:rPr>
              <w:t>3,25</w:t>
            </w:r>
            <w:r w:rsidRPr="00304990">
              <w:rPr>
                <w:rFonts w:cs="Arial"/>
                <w:sz w:val="20"/>
                <w:szCs w:val="20"/>
                <w:lang w:val="ru-RU"/>
              </w:rPr>
              <w:t>% от общей суммы (за 31 декабря 201</w:t>
            </w:r>
            <w:r>
              <w:rPr>
                <w:rFonts w:cs="Arial"/>
                <w:sz w:val="20"/>
                <w:szCs w:val="20"/>
                <w:lang w:val="ru-RU"/>
              </w:rPr>
              <w:t>7</w:t>
            </w:r>
            <w:r w:rsidRPr="00304990">
              <w:rPr>
                <w:rFonts w:cs="Arial"/>
                <w:sz w:val="20"/>
                <w:szCs w:val="20"/>
                <w:lang w:val="ru-RU"/>
              </w:rPr>
              <w:t xml:space="preserve"> года соответственно </w:t>
            </w:r>
            <w:r>
              <w:rPr>
                <w:rFonts w:cs="Arial"/>
                <w:sz w:val="20"/>
                <w:szCs w:val="20"/>
                <w:lang w:val="ru-RU"/>
              </w:rPr>
              <w:t>610</w:t>
            </w:r>
            <w:r w:rsidRPr="00304990">
              <w:rPr>
                <w:rFonts w:cs="Arial"/>
                <w:sz w:val="20"/>
                <w:szCs w:val="20"/>
                <w:lang w:val="ru-RU"/>
              </w:rPr>
              <w:t xml:space="preserve"> </w:t>
            </w:r>
            <w:r>
              <w:rPr>
                <w:rFonts w:cs="Arial"/>
                <w:sz w:val="20"/>
                <w:szCs w:val="20"/>
                <w:lang w:val="ru-RU"/>
              </w:rPr>
              <w:t>173</w:t>
            </w:r>
            <w:r w:rsidRPr="00304990">
              <w:rPr>
                <w:rFonts w:cs="Arial"/>
                <w:sz w:val="20"/>
                <w:szCs w:val="20"/>
                <w:lang w:val="ru-RU"/>
              </w:rPr>
              <w:t xml:space="preserve"> тыс. руб., </w:t>
            </w:r>
            <w:r>
              <w:rPr>
                <w:rFonts w:cs="Arial"/>
                <w:sz w:val="20"/>
                <w:szCs w:val="20"/>
                <w:lang w:val="ru-RU"/>
              </w:rPr>
              <w:t>5,2</w:t>
            </w:r>
            <w:r w:rsidRPr="00304990">
              <w:rPr>
                <w:rFonts w:cs="Arial"/>
                <w:sz w:val="20"/>
                <w:szCs w:val="20"/>
                <w:lang w:val="ru-RU"/>
              </w:rPr>
              <w:t>%).</w:t>
            </w:r>
          </w:p>
          <w:p w:rsidR="00A01AD9" w:rsidRPr="00C715ED" w:rsidRDefault="00A01AD9" w:rsidP="00A01AD9">
            <w:pPr>
              <w:jc w:val="both"/>
              <w:rPr>
                <w:rFonts w:cs="Arial"/>
                <w:sz w:val="20"/>
                <w:szCs w:val="20"/>
                <w:lang w:val="ru-RU"/>
              </w:rPr>
            </w:pPr>
            <w:r w:rsidRPr="00C715ED">
              <w:rPr>
                <w:rFonts w:cs="Arial"/>
                <w:sz w:val="20"/>
                <w:szCs w:val="20"/>
                <w:lang w:val="ru-RU"/>
              </w:rPr>
              <w:t xml:space="preserve">За </w:t>
            </w:r>
            <w:r>
              <w:rPr>
                <w:rFonts w:cs="Arial"/>
                <w:sz w:val="20"/>
                <w:szCs w:val="20"/>
                <w:lang w:val="ru-RU"/>
              </w:rPr>
              <w:t>31</w:t>
            </w:r>
            <w:r w:rsidRPr="00C715ED">
              <w:rPr>
                <w:rFonts w:cs="Arial"/>
                <w:sz w:val="20"/>
                <w:szCs w:val="20"/>
                <w:lang w:val="ru-RU"/>
              </w:rPr>
              <w:t xml:space="preserve"> </w:t>
            </w:r>
            <w:r>
              <w:rPr>
                <w:rFonts w:cs="Arial"/>
                <w:sz w:val="20"/>
                <w:szCs w:val="20"/>
                <w:lang w:val="ru-RU"/>
              </w:rPr>
              <w:t>дека</w:t>
            </w:r>
            <w:r w:rsidRPr="00C715ED">
              <w:rPr>
                <w:rFonts w:cs="Arial"/>
                <w:sz w:val="20"/>
                <w:szCs w:val="20"/>
                <w:lang w:val="ru-RU"/>
              </w:rPr>
              <w:t>бря 201</w:t>
            </w:r>
            <w:r>
              <w:rPr>
                <w:rFonts w:cs="Arial"/>
                <w:sz w:val="20"/>
                <w:szCs w:val="20"/>
                <w:lang w:val="ru-RU"/>
              </w:rPr>
              <w:t xml:space="preserve">8 года </w:t>
            </w:r>
            <w:r w:rsidRPr="00C715ED">
              <w:rPr>
                <w:rFonts w:cs="Arial"/>
                <w:sz w:val="20"/>
                <w:szCs w:val="20"/>
                <w:lang w:val="ru-RU"/>
              </w:rPr>
              <w:t>вклады</w:t>
            </w:r>
            <w:r>
              <w:rPr>
                <w:rFonts w:cs="Arial"/>
                <w:sz w:val="20"/>
                <w:szCs w:val="20"/>
                <w:lang w:val="ru-RU"/>
              </w:rPr>
              <w:t xml:space="preserve"> (средства)</w:t>
            </w:r>
            <w:r w:rsidRPr="00C715ED">
              <w:rPr>
                <w:rFonts w:cs="Arial"/>
                <w:sz w:val="20"/>
                <w:szCs w:val="20"/>
                <w:lang w:val="ru-RU"/>
              </w:rPr>
              <w:t xml:space="preserve"> физических л</w:t>
            </w:r>
            <w:r>
              <w:rPr>
                <w:rFonts w:cs="Arial"/>
                <w:sz w:val="20"/>
                <w:szCs w:val="20"/>
                <w:lang w:val="ru-RU"/>
              </w:rPr>
              <w:t xml:space="preserve">иц, в т. </w:t>
            </w:r>
            <w:r w:rsidRPr="00C715ED">
              <w:rPr>
                <w:rFonts w:cs="Arial"/>
                <w:sz w:val="20"/>
                <w:szCs w:val="20"/>
                <w:lang w:val="ru-RU"/>
              </w:rPr>
              <w:t>ч. индивидуальных предпринимателей</w:t>
            </w:r>
            <w:r>
              <w:rPr>
                <w:rFonts w:cs="Arial"/>
                <w:sz w:val="20"/>
                <w:szCs w:val="20"/>
                <w:lang w:val="ru-RU"/>
              </w:rPr>
              <w:t xml:space="preserve"> составляют</w:t>
            </w:r>
            <w:r w:rsidRPr="00C715ED">
              <w:rPr>
                <w:rFonts w:cs="Arial"/>
                <w:sz w:val="20"/>
                <w:szCs w:val="20"/>
                <w:lang w:val="ru-RU"/>
              </w:rPr>
              <w:t xml:space="preserve"> сумму </w:t>
            </w:r>
            <w:r>
              <w:rPr>
                <w:rFonts w:cs="Arial"/>
                <w:sz w:val="20"/>
                <w:szCs w:val="20"/>
                <w:lang w:val="ru-RU"/>
              </w:rPr>
              <w:t xml:space="preserve">10 262 679 </w:t>
            </w:r>
            <w:r w:rsidRPr="00C715ED">
              <w:rPr>
                <w:rFonts w:cs="Arial"/>
                <w:sz w:val="20"/>
                <w:szCs w:val="20"/>
                <w:lang w:val="ru-RU"/>
              </w:rPr>
              <w:t>тыс. руб. (за 31 декабря 201</w:t>
            </w:r>
            <w:r>
              <w:rPr>
                <w:rFonts w:cs="Arial"/>
                <w:sz w:val="20"/>
                <w:szCs w:val="20"/>
                <w:lang w:val="ru-RU"/>
              </w:rPr>
              <w:t>7</w:t>
            </w:r>
            <w:r w:rsidRPr="00C715ED">
              <w:rPr>
                <w:rFonts w:cs="Arial"/>
                <w:sz w:val="20"/>
                <w:szCs w:val="20"/>
                <w:lang w:val="ru-RU"/>
              </w:rPr>
              <w:t xml:space="preserve"> года - </w:t>
            </w:r>
            <w:r>
              <w:rPr>
                <w:rFonts w:cs="Arial"/>
                <w:sz w:val="20"/>
                <w:szCs w:val="20"/>
                <w:lang w:val="ru-RU"/>
              </w:rPr>
              <w:t>9 846 582</w:t>
            </w:r>
            <w:r w:rsidRPr="00C715ED">
              <w:rPr>
                <w:rFonts w:cs="Arial"/>
                <w:sz w:val="20"/>
                <w:szCs w:val="20"/>
                <w:lang w:val="ru-RU"/>
              </w:rPr>
              <w:t xml:space="preserve"> тыс. руб.). В соответствии с Гражданским кодексом РФ, банк обязан выдать сумму вклада физического лица по первому требованию вкладчика. В случаях, когда срочный вклад возвращается вкладчику по его требованию до истечения срока,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 </w:t>
            </w:r>
          </w:p>
          <w:p w:rsidR="00A01AD9" w:rsidRDefault="00A01AD9" w:rsidP="00A01AD9">
            <w:pPr>
              <w:jc w:val="both"/>
              <w:rPr>
                <w:rFonts w:cs="Arial"/>
                <w:sz w:val="20"/>
                <w:szCs w:val="20"/>
                <w:lang w:val="ru-RU"/>
              </w:rPr>
            </w:pPr>
            <w:r w:rsidRPr="00C715ED">
              <w:rPr>
                <w:rFonts w:cs="Arial"/>
                <w:sz w:val="20"/>
                <w:szCs w:val="20"/>
                <w:lang w:val="ru-RU"/>
              </w:rPr>
              <w:t xml:space="preserve">Обязательства по возврату срочных депозитов юридическим лицам у Банка возникают в сроки, указанные в договорах. </w:t>
            </w:r>
          </w:p>
          <w:p w:rsidR="00A01AD9" w:rsidRPr="00C715ED" w:rsidRDefault="00A01AD9" w:rsidP="00A01AD9">
            <w:pPr>
              <w:jc w:val="both"/>
              <w:rPr>
                <w:rFonts w:cs="Arial"/>
                <w:sz w:val="20"/>
                <w:szCs w:val="20"/>
                <w:lang w:val="ru-RU"/>
              </w:rPr>
            </w:pPr>
          </w:p>
          <w:p w:rsidR="00A01AD9" w:rsidRPr="00534E27" w:rsidRDefault="00A01AD9" w:rsidP="00A01AD9">
            <w:pPr>
              <w:jc w:val="both"/>
              <w:rPr>
                <w:rFonts w:cs="Arial"/>
                <w:sz w:val="20"/>
                <w:szCs w:val="20"/>
                <w:lang w:val="ru-RU"/>
              </w:rPr>
            </w:pPr>
            <w:r w:rsidRPr="00534E27">
              <w:rPr>
                <w:rFonts w:cs="Arial"/>
                <w:sz w:val="20"/>
                <w:szCs w:val="20"/>
                <w:lang w:val="ru-RU"/>
              </w:rPr>
              <w:t xml:space="preserve">За 30 </w:t>
            </w:r>
            <w:r>
              <w:rPr>
                <w:rFonts w:cs="Arial"/>
                <w:sz w:val="20"/>
                <w:szCs w:val="20"/>
                <w:lang w:val="ru-RU"/>
              </w:rPr>
              <w:t xml:space="preserve">декабря </w:t>
            </w:r>
            <w:r w:rsidRPr="00534E27">
              <w:rPr>
                <w:rFonts w:cs="Arial"/>
                <w:sz w:val="20"/>
                <w:szCs w:val="20"/>
                <w:lang w:val="ru-RU"/>
              </w:rPr>
              <w:t xml:space="preserve">2018 года и 31 декабря 2017 года субординированных займов (депозитов) нет. </w:t>
            </w:r>
          </w:p>
          <w:p w:rsidR="00A01AD9" w:rsidRPr="00367D3E" w:rsidRDefault="00A01AD9" w:rsidP="00A01AD9">
            <w:pPr>
              <w:jc w:val="both"/>
              <w:rPr>
                <w:rFonts w:cs="Arial"/>
                <w:b/>
                <w:sz w:val="20"/>
                <w:szCs w:val="20"/>
                <w:highlight w:val="yellow"/>
                <w:lang w:val="ru-RU"/>
              </w:rPr>
            </w:pPr>
          </w:p>
          <w:p w:rsidR="00A01AD9" w:rsidRDefault="00A01AD9" w:rsidP="00A01AD9">
            <w:pPr>
              <w:overflowPunct/>
              <w:autoSpaceDE/>
              <w:autoSpaceDN/>
              <w:adjustRightInd/>
              <w:jc w:val="both"/>
              <w:textAlignment w:val="auto"/>
              <w:rPr>
                <w:rFonts w:cs="Arial"/>
                <w:b/>
                <w:sz w:val="20"/>
                <w:szCs w:val="20"/>
                <w:lang w:val="ru-RU" w:eastAsia="ru-RU"/>
              </w:rPr>
            </w:pPr>
            <w:r w:rsidRPr="00EE62C5">
              <w:rPr>
                <w:rFonts w:cs="Arial"/>
                <w:b/>
                <w:sz w:val="20"/>
                <w:szCs w:val="20"/>
                <w:lang w:val="ru-RU" w:eastAsia="ru-RU"/>
              </w:rPr>
              <w:t>Средства на счетах клиентов по секторам экономики:</w:t>
            </w:r>
          </w:p>
          <w:p w:rsidR="00A01AD9" w:rsidRDefault="00A01AD9" w:rsidP="00A01AD9">
            <w:pPr>
              <w:overflowPunct/>
              <w:autoSpaceDE/>
              <w:autoSpaceDN/>
              <w:adjustRightInd/>
              <w:jc w:val="both"/>
              <w:textAlignment w:val="auto"/>
              <w:rPr>
                <w:rFonts w:cs="Arial"/>
                <w:b/>
                <w:sz w:val="20"/>
                <w:szCs w:val="20"/>
                <w:lang w:val="ru-RU" w:eastAsia="ru-RU"/>
              </w:rPr>
            </w:pPr>
          </w:p>
          <w:tbl>
            <w:tblPr>
              <w:tblW w:w="9640" w:type="dxa"/>
              <w:tblLook w:val="04A0" w:firstRow="1" w:lastRow="0" w:firstColumn="1" w:lastColumn="0" w:noHBand="0" w:noVBand="1"/>
            </w:tblPr>
            <w:tblGrid>
              <w:gridCol w:w="3261"/>
              <w:gridCol w:w="4046"/>
              <w:gridCol w:w="2333"/>
            </w:tblGrid>
            <w:tr w:rsidR="00A01AD9" w:rsidRPr="00EE62C5" w:rsidTr="00A01AD9">
              <w:trPr>
                <w:trHeight w:val="240"/>
              </w:trPr>
              <w:tc>
                <w:tcPr>
                  <w:tcW w:w="3261" w:type="dxa"/>
                  <w:tcBorders>
                    <w:top w:val="single" w:sz="4" w:space="0" w:color="auto"/>
                    <w:left w:val="nil"/>
                    <w:bottom w:val="single" w:sz="8" w:space="0" w:color="auto"/>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b/>
                      <w:bCs/>
                      <w:sz w:val="16"/>
                      <w:szCs w:val="16"/>
                      <w:lang w:val="ru-RU" w:eastAsia="ru-RU"/>
                    </w:rPr>
                  </w:pPr>
                </w:p>
                <w:p w:rsidR="00A01AD9" w:rsidRPr="00EE62C5" w:rsidRDefault="00A01AD9" w:rsidP="00A01AD9">
                  <w:pPr>
                    <w:overflowPunct/>
                    <w:autoSpaceDE/>
                    <w:autoSpaceDN/>
                    <w:adjustRightInd/>
                    <w:textAlignment w:val="auto"/>
                    <w:rPr>
                      <w:rFonts w:cs="Arial"/>
                      <w:b/>
                      <w:bCs/>
                      <w:sz w:val="16"/>
                      <w:szCs w:val="16"/>
                      <w:lang w:val="ru-RU" w:eastAsia="ru-RU"/>
                    </w:rPr>
                  </w:pPr>
                  <w:r w:rsidRPr="00EE62C5">
                    <w:rPr>
                      <w:rFonts w:cs="Arial"/>
                      <w:b/>
                      <w:bCs/>
                      <w:sz w:val="16"/>
                      <w:szCs w:val="16"/>
                      <w:lang w:val="ru-RU" w:eastAsia="ru-RU"/>
                    </w:rPr>
                    <w:t>Сектора экономики</w:t>
                  </w:r>
                </w:p>
              </w:tc>
              <w:tc>
                <w:tcPr>
                  <w:tcW w:w="4046" w:type="dxa"/>
                  <w:tcBorders>
                    <w:top w:val="single" w:sz="4" w:space="0" w:color="auto"/>
                    <w:left w:val="nil"/>
                    <w:bottom w:val="single" w:sz="8" w:space="0" w:color="auto"/>
                    <w:right w:val="nil"/>
                  </w:tcBorders>
                  <w:shd w:val="clear" w:color="auto" w:fill="auto"/>
                  <w:noWrap/>
                  <w:vAlign w:val="bottom"/>
                </w:tcPr>
                <w:p w:rsidR="00A01AD9" w:rsidRPr="00EE62C5" w:rsidRDefault="00A01AD9" w:rsidP="00A01AD9">
                  <w:pPr>
                    <w:overflowPunct/>
                    <w:autoSpaceDE/>
                    <w:autoSpaceDN/>
                    <w:adjustRightInd/>
                    <w:jc w:val="center"/>
                    <w:textAlignment w:val="auto"/>
                    <w:rPr>
                      <w:rFonts w:cs="Arial"/>
                      <w:b/>
                      <w:bCs/>
                      <w:sz w:val="16"/>
                      <w:szCs w:val="16"/>
                      <w:lang w:val="ru-RU" w:eastAsia="ru-RU"/>
                    </w:rPr>
                  </w:pPr>
                  <w:r w:rsidRPr="00EE62C5">
                    <w:rPr>
                      <w:rFonts w:cs="Arial"/>
                      <w:b/>
                      <w:bCs/>
                      <w:sz w:val="16"/>
                      <w:szCs w:val="16"/>
                      <w:lang w:val="ru-RU" w:eastAsia="ru-RU"/>
                    </w:rPr>
                    <w:t>3</w:t>
                  </w:r>
                  <w:r>
                    <w:rPr>
                      <w:rFonts w:cs="Arial"/>
                      <w:b/>
                      <w:bCs/>
                      <w:sz w:val="16"/>
                      <w:szCs w:val="16"/>
                      <w:lang w:val="en-US" w:eastAsia="ru-RU"/>
                    </w:rPr>
                    <w:t>1</w:t>
                  </w:r>
                  <w:r w:rsidRPr="00EE62C5">
                    <w:rPr>
                      <w:rFonts w:cs="Arial"/>
                      <w:b/>
                      <w:bCs/>
                      <w:sz w:val="16"/>
                      <w:szCs w:val="16"/>
                      <w:lang w:val="ru-RU" w:eastAsia="ru-RU"/>
                    </w:rPr>
                    <w:t>.</w:t>
                  </w:r>
                  <w:r>
                    <w:rPr>
                      <w:rFonts w:cs="Arial"/>
                      <w:b/>
                      <w:bCs/>
                      <w:sz w:val="16"/>
                      <w:szCs w:val="16"/>
                      <w:lang w:val="en-US" w:eastAsia="ru-RU"/>
                    </w:rPr>
                    <w:t>12</w:t>
                  </w:r>
                  <w:r>
                    <w:rPr>
                      <w:rFonts w:cs="Arial"/>
                      <w:b/>
                      <w:bCs/>
                      <w:sz w:val="16"/>
                      <w:szCs w:val="16"/>
                      <w:lang w:val="ru-RU" w:eastAsia="ru-RU"/>
                    </w:rPr>
                    <w:t>.2018</w:t>
                  </w:r>
                </w:p>
              </w:tc>
              <w:tc>
                <w:tcPr>
                  <w:tcW w:w="2333" w:type="dxa"/>
                  <w:tcBorders>
                    <w:top w:val="single" w:sz="4" w:space="0" w:color="auto"/>
                    <w:left w:val="nil"/>
                    <w:bottom w:val="single" w:sz="8" w:space="0" w:color="auto"/>
                    <w:right w:val="nil"/>
                  </w:tcBorders>
                  <w:vAlign w:val="bottom"/>
                </w:tcPr>
                <w:p w:rsidR="00A01AD9" w:rsidRPr="00EE62C5" w:rsidRDefault="00A01AD9" w:rsidP="00A01AD9">
                  <w:pPr>
                    <w:overflowPunct/>
                    <w:autoSpaceDE/>
                    <w:autoSpaceDN/>
                    <w:adjustRightInd/>
                    <w:jc w:val="center"/>
                    <w:textAlignment w:val="auto"/>
                    <w:rPr>
                      <w:rFonts w:cs="Arial"/>
                      <w:b/>
                      <w:bCs/>
                      <w:sz w:val="16"/>
                      <w:szCs w:val="16"/>
                      <w:lang w:val="ru-RU" w:eastAsia="ru-RU"/>
                    </w:rPr>
                  </w:pPr>
                  <w:r w:rsidRPr="00EE62C5">
                    <w:rPr>
                      <w:rFonts w:cs="Arial"/>
                      <w:b/>
                      <w:bCs/>
                      <w:sz w:val="16"/>
                      <w:szCs w:val="16"/>
                      <w:lang w:val="ru-RU" w:eastAsia="ru-RU"/>
                    </w:rPr>
                    <w:t>3</w:t>
                  </w:r>
                  <w:r>
                    <w:rPr>
                      <w:rFonts w:cs="Arial"/>
                      <w:b/>
                      <w:bCs/>
                      <w:sz w:val="16"/>
                      <w:szCs w:val="16"/>
                      <w:lang w:val="en-US" w:eastAsia="ru-RU"/>
                    </w:rPr>
                    <w:t>1</w:t>
                  </w:r>
                  <w:r w:rsidRPr="00EE62C5">
                    <w:rPr>
                      <w:rFonts w:cs="Arial"/>
                      <w:b/>
                      <w:bCs/>
                      <w:sz w:val="16"/>
                      <w:szCs w:val="16"/>
                      <w:lang w:val="ru-RU" w:eastAsia="ru-RU"/>
                    </w:rPr>
                    <w:t>.</w:t>
                  </w:r>
                  <w:r>
                    <w:rPr>
                      <w:rFonts w:cs="Arial"/>
                      <w:b/>
                      <w:bCs/>
                      <w:sz w:val="16"/>
                      <w:szCs w:val="16"/>
                      <w:lang w:val="en-US" w:eastAsia="ru-RU"/>
                    </w:rPr>
                    <w:t>12</w:t>
                  </w:r>
                  <w:r w:rsidRPr="00EE62C5">
                    <w:rPr>
                      <w:rFonts w:cs="Arial"/>
                      <w:b/>
                      <w:bCs/>
                      <w:sz w:val="16"/>
                      <w:szCs w:val="16"/>
                      <w:lang w:val="ru-RU" w:eastAsia="ru-RU"/>
                    </w:rPr>
                    <w:t>.2017</w:t>
                  </w:r>
                </w:p>
              </w:tc>
            </w:tr>
            <w:tr w:rsidR="00A01AD9" w:rsidRPr="00EE62C5" w:rsidTr="00A01AD9">
              <w:trPr>
                <w:trHeight w:val="225"/>
              </w:trPr>
              <w:tc>
                <w:tcPr>
                  <w:tcW w:w="3261" w:type="dxa"/>
                  <w:tcBorders>
                    <w:top w:val="nil"/>
                    <w:left w:val="nil"/>
                    <w:bottom w:val="nil"/>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sz w:val="16"/>
                      <w:szCs w:val="16"/>
                      <w:lang w:val="ru-RU" w:eastAsia="ru-RU"/>
                    </w:rPr>
                  </w:pPr>
                  <w:r w:rsidRPr="00EE62C5">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tcPr>
                <w:p w:rsidR="00A01AD9" w:rsidRPr="007A1BE5"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10 262 679</w:t>
                  </w:r>
                </w:p>
              </w:tc>
              <w:tc>
                <w:tcPr>
                  <w:tcW w:w="2333" w:type="dxa"/>
                  <w:tcBorders>
                    <w:top w:val="nil"/>
                    <w:left w:val="nil"/>
                    <w:bottom w:val="nil"/>
                    <w:right w:val="nil"/>
                  </w:tcBorders>
                  <w:vAlign w:val="bottom"/>
                </w:tcPr>
                <w:p w:rsidR="00A01AD9" w:rsidRPr="00FB280F" w:rsidRDefault="00A01AD9" w:rsidP="00A01AD9">
                  <w:pPr>
                    <w:overflowPunct/>
                    <w:autoSpaceDE/>
                    <w:autoSpaceDN/>
                    <w:adjustRightInd/>
                    <w:jc w:val="center"/>
                    <w:textAlignment w:val="auto"/>
                    <w:rPr>
                      <w:rFonts w:cs="Arial"/>
                      <w:sz w:val="16"/>
                      <w:szCs w:val="16"/>
                      <w:lang w:val="en-US" w:eastAsia="ru-RU"/>
                    </w:rPr>
                  </w:pPr>
                  <w:r>
                    <w:rPr>
                      <w:rFonts w:cs="Arial"/>
                      <w:sz w:val="16"/>
                      <w:szCs w:val="16"/>
                      <w:lang w:val="en-US" w:eastAsia="ru-RU"/>
                    </w:rPr>
                    <w:t>9 846 582</w:t>
                  </w:r>
                </w:p>
              </w:tc>
            </w:tr>
            <w:tr w:rsidR="00A01AD9" w:rsidRPr="00EE62C5" w:rsidTr="00A01AD9">
              <w:trPr>
                <w:trHeight w:val="225"/>
              </w:trPr>
              <w:tc>
                <w:tcPr>
                  <w:tcW w:w="3261" w:type="dxa"/>
                  <w:tcBorders>
                    <w:top w:val="nil"/>
                    <w:left w:val="nil"/>
                    <w:bottom w:val="nil"/>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sz w:val="16"/>
                      <w:szCs w:val="16"/>
                      <w:lang w:val="ru-RU" w:eastAsia="ru-RU"/>
                    </w:rPr>
                  </w:pPr>
                  <w:r w:rsidRPr="00EE62C5">
                    <w:rPr>
                      <w:rFonts w:cs="Arial"/>
                      <w:sz w:val="16"/>
                      <w:szCs w:val="16"/>
                      <w:lang w:val="ru-RU" w:eastAsia="ru-RU"/>
                    </w:rPr>
                    <w:t>Государственные и бюджетные учреждения</w:t>
                  </w:r>
                </w:p>
              </w:tc>
              <w:tc>
                <w:tcPr>
                  <w:tcW w:w="4046" w:type="dxa"/>
                  <w:tcBorders>
                    <w:top w:val="nil"/>
                    <w:left w:val="nil"/>
                    <w:bottom w:val="nil"/>
                    <w:right w:val="nil"/>
                  </w:tcBorders>
                  <w:shd w:val="clear" w:color="auto" w:fill="auto"/>
                  <w:noWrap/>
                  <w:vAlign w:val="bottom"/>
                </w:tcPr>
                <w:p w:rsidR="00A01AD9" w:rsidRPr="00303724"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15 991</w:t>
                  </w:r>
                </w:p>
              </w:tc>
              <w:tc>
                <w:tcPr>
                  <w:tcW w:w="2333" w:type="dxa"/>
                  <w:tcBorders>
                    <w:top w:val="nil"/>
                    <w:left w:val="nil"/>
                    <w:bottom w:val="nil"/>
                    <w:right w:val="nil"/>
                  </w:tcBorders>
                  <w:vAlign w:val="bottom"/>
                </w:tcPr>
                <w:p w:rsidR="00A01AD9" w:rsidRPr="00153AF2"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en-US" w:eastAsia="ru-RU"/>
                    </w:rPr>
                    <w:t>139 12</w:t>
                  </w:r>
                  <w:r>
                    <w:rPr>
                      <w:rFonts w:cs="Arial"/>
                      <w:sz w:val="16"/>
                      <w:szCs w:val="16"/>
                      <w:lang w:val="ru-RU" w:eastAsia="ru-RU"/>
                    </w:rPr>
                    <w:t>4</w:t>
                  </w:r>
                </w:p>
              </w:tc>
            </w:tr>
            <w:tr w:rsidR="00A01AD9" w:rsidRPr="00BE27CD" w:rsidTr="00A01AD9">
              <w:trPr>
                <w:trHeight w:val="225"/>
              </w:trPr>
              <w:tc>
                <w:tcPr>
                  <w:tcW w:w="3261" w:type="dxa"/>
                  <w:tcBorders>
                    <w:top w:val="nil"/>
                    <w:left w:val="nil"/>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sz w:val="16"/>
                      <w:szCs w:val="16"/>
                      <w:lang w:val="ru-RU" w:eastAsia="ru-RU"/>
                    </w:rPr>
                  </w:pPr>
                  <w:r w:rsidRPr="00EE62C5">
                    <w:rPr>
                      <w:rFonts w:cs="Arial"/>
                      <w:sz w:val="16"/>
                      <w:szCs w:val="16"/>
                      <w:lang w:val="ru-RU" w:eastAsia="ru-RU"/>
                    </w:rPr>
                    <w:t>Предприятия и организации (частные компании)</w:t>
                  </w:r>
                </w:p>
              </w:tc>
              <w:tc>
                <w:tcPr>
                  <w:tcW w:w="4046" w:type="dxa"/>
                  <w:tcBorders>
                    <w:top w:val="nil"/>
                    <w:left w:val="nil"/>
                    <w:right w:val="nil"/>
                  </w:tcBorders>
                  <w:shd w:val="clear" w:color="auto" w:fill="auto"/>
                  <w:noWrap/>
                  <w:vAlign w:val="bottom"/>
                </w:tcPr>
                <w:p w:rsidR="00A01AD9" w:rsidRPr="00303724"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1 769 098</w:t>
                  </w:r>
                </w:p>
              </w:tc>
              <w:tc>
                <w:tcPr>
                  <w:tcW w:w="2333" w:type="dxa"/>
                  <w:tcBorders>
                    <w:top w:val="nil"/>
                    <w:left w:val="nil"/>
                    <w:right w:val="nil"/>
                  </w:tcBorders>
                  <w:vAlign w:val="bottom"/>
                </w:tcPr>
                <w:p w:rsidR="00A01AD9" w:rsidRPr="00A01AD9" w:rsidRDefault="00A01AD9" w:rsidP="00A01AD9">
                  <w:pPr>
                    <w:overflowPunct/>
                    <w:autoSpaceDE/>
                    <w:autoSpaceDN/>
                    <w:adjustRightInd/>
                    <w:jc w:val="center"/>
                    <w:textAlignment w:val="auto"/>
                    <w:rPr>
                      <w:rFonts w:cs="Arial"/>
                      <w:sz w:val="16"/>
                      <w:szCs w:val="16"/>
                      <w:lang w:val="ru-RU" w:eastAsia="ru-RU"/>
                    </w:rPr>
                  </w:pPr>
                  <w:r w:rsidRPr="00A01AD9">
                    <w:rPr>
                      <w:rFonts w:cs="Arial"/>
                      <w:sz w:val="16"/>
                      <w:szCs w:val="16"/>
                      <w:lang w:val="ru-RU" w:eastAsia="ru-RU"/>
                    </w:rPr>
                    <w:t>1</w:t>
                  </w:r>
                  <w:r>
                    <w:rPr>
                      <w:rFonts w:cs="Arial"/>
                      <w:sz w:val="16"/>
                      <w:szCs w:val="16"/>
                      <w:lang w:val="en-US" w:eastAsia="ru-RU"/>
                    </w:rPr>
                    <w:t> </w:t>
                  </w:r>
                  <w:r w:rsidRPr="00A01AD9">
                    <w:rPr>
                      <w:rFonts w:cs="Arial"/>
                      <w:sz w:val="16"/>
                      <w:szCs w:val="16"/>
                      <w:lang w:val="ru-RU" w:eastAsia="ru-RU"/>
                    </w:rPr>
                    <w:t>724 481</w:t>
                  </w:r>
                </w:p>
              </w:tc>
            </w:tr>
            <w:tr w:rsidR="00A01AD9" w:rsidRPr="00BE27CD" w:rsidTr="00A01AD9">
              <w:trPr>
                <w:trHeight w:val="240"/>
              </w:trPr>
              <w:tc>
                <w:tcPr>
                  <w:tcW w:w="3261" w:type="dxa"/>
                  <w:tcBorders>
                    <w:top w:val="nil"/>
                    <w:left w:val="nil"/>
                    <w:bottom w:val="single" w:sz="4" w:space="0" w:color="auto"/>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sz w:val="16"/>
                      <w:szCs w:val="16"/>
                      <w:lang w:val="ru-RU" w:eastAsia="ru-RU"/>
                    </w:rPr>
                  </w:pPr>
                  <w:r w:rsidRPr="00EE62C5">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tcPr>
                <w:p w:rsidR="00A01AD9" w:rsidRPr="00303724"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324</w:t>
                  </w:r>
                </w:p>
              </w:tc>
              <w:tc>
                <w:tcPr>
                  <w:tcW w:w="2333" w:type="dxa"/>
                  <w:tcBorders>
                    <w:top w:val="nil"/>
                    <w:left w:val="nil"/>
                    <w:bottom w:val="single" w:sz="4" w:space="0" w:color="auto"/>
                    <w:right w:val="nil"/>
                  </w:tcBorders>
                  <w:vAlign w:val="bottom"/>
                </w:tcPr>
                <w:p w:rsidR="00A01AD9" w:rsidRPr="00A01AD9" w:rsidRDefault="00A01AD9" w:rsidP="00A01AD9">
                  <w:pPr>
                    <w:overflowPunct/>
                    <w:autoSpaceDE/>
                    <w:autoSpaceDN/>
                    <w:adjustRightInd/>
                    <w:jc w:val="center"/>
                    <w:textAlignment w:val="auto"/>
                    <w:rPr>
                      <w:rFonts w:cs="Arial"/>
                      <w:sz w:val="16"/>
                      <w:szCs w:val="16"/>
                      <w:lang w:val="ru-RU" w:eastAsia="ru-RU"/>
                    </w:rPr>
                  </w:pPr>
                  <w:r w:rsidRPr="00A01AD9">
                    <w:rPr>
                      <w:rFonts w:cs="Arial"/>
                      <w:sz w:val="16"/>
                      <w:szCs w:val="16"/>
                      <w:lang w:val="ru-RU" w:eastAsia="ru-RU"/>
                    </w:rPr>
                    <w:t>2 508</w:t>
                  </w:r>
                </w:p>
              </w:tc>
            </w:tr>
            <w:tr w:rsidR="00A01AD9" w:rsidRPr="00BE27CD" w:rsidTr="00A01AD9">
              <w:trPr>
                <w:trHeight w:val="255"/>
              </w:trPr>
              <w:tc>
                <w:tcPr>
                  <w:tcW w:w="3261" w:type="dxa"/>
                  <w:tcBorders>
                    <w:top w:val="single" w:sz="4" w:space="0" w:color="auto"/>
                    <w:left w:val="nil"/>
                    <w:bottom w:val="double" w:sz="6" w:space="0" w:color="auto"/>
                    <w:right w:val="nil"/>
                  </w:tcBorders>
                  <w:shd w:val="clear" w:color="auto" w:fill="auto"/>
                  <w:noWrap/>
                  <w:vAlign w:val="bottom"/>
                  <w:hideMark/>
                </w:tcPr>
                <w:p w:rsidR="00A01AD9" w:rsidRPr="00EE62C5" w:rsidRDefault="00A01AD9" w:rsidP="00A01AD9">
                  <w:pPr>
                    <w:overflowPunct/>
                    <w:autoSpaceDE/>
                    <w:autoSpaceDN/>
                    <w:adjustRightInd/>
                    <w:textAlignment w:val="auto"/>
                    <w:rPr>
                      <w:rFonts w:cs="Arial"/>
                      <w:b/>
                      <w:bCs/>
                      <w:sz w:val="16"/>
                      <w:szCs w:val="16"/>
                      <w:lang w:val="ru-RU" w:eastAsia="ru-RU"/>
                    </w:rPr>
                  </w:pPr>
                  <w:r w:rsidRPr="00EE62C5">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tcPr>
                <w:p w:rsidR="00A01AD9" w:rsidRPr="00303724"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12 048 092</w:t>
                  </w:r>
                </w:p>
              </w:tc>
              <w:tc>
                <w:tcPr>
                  <w:tcW w:w="2333" w:type="dxa"/>
                  <w:tcBorders>
                    <w:top w:val="single" w:sz="4" w:space="0" w:color="auto"/>
                    <w:left w:val="nil"/>
                    <w:bottom w:val="double" w:sz="6" w:space="0" w:color="auto"/>
                    <w:right w:val="nil"/>
                  </w:tcBorders>
                  <w:vAlign w:val="bottom"/>
                </w:tcPr>
                <w:p w:rsidR="00A01AD9" w:rsidRPr="00A01AD9" w:rsidRDefault="00A01AD9" w:rsidP="00A01AD9">
                  <w:pPr>
                    <w:overflowPunct/>
                    <w:autoSpaceDE/>
                    <w:autoSpaceDN/>
                    <w:adjustRightInd/>
                    <w:jc w:val="center"/>
                    <w:textAlignment w:val="auto"/>
                    <w:rPr>
                      <w:rFonts w:cs="Arial"/>
                      <w:b/>
                      <w:bCs/>
                      <w:sz w:val="16"/>
                      <w:szCs w:val="16"/>
                      <w:lang w:val="ru-RU" w:eastAsia="ru-RU"/>
                    </w:rPr>
                  </w:pPr>
                  <w:r w:rsidRPr="00EE62C5">
                    <w:rPr>
                      <w:rFonts w:cs="Arial"/>
                      <w:b/>
                      <w:bCs/>
                      <w:sz w:val="16"/>
                      <w:szCs w:val="16"/>
                      <w:lang w:val="ru-RU" w:eastAsia="ru-RU"/>
                    </w:rPr>
                    <w:t>11</w:t>
                  </w:r>
                  <w:r>
                    <w:rPr>
                      <w:rFonts w:cs="Arial"/>
                      <w:b/>
                      <w:bCs/>
                      <w:sz w:val="16"/>
                      <w:szCs w:val="16"/>
                      <w:lang w:val="ru-RU" w:eastAsia="ru-RU"/>
                    </w:rPr>
                    <w:t> </w:t>
                  </w:r>
                  <w:r w:rsidRPr="00A01AD9">
                    <w:rPr>
                      <w:rFonts w:cs="Arial"/>
                      <w:b/>
                      <w:bCs/>
                      <w:sz w:val="16"/>
                      <w:szCs w:val="16"/>
                      <w:lang w:val="ru-RU" w:eastAsia="ru-RU"/>
                    </w:rPr>
                    <w:t>712 695</w:t>
                  </w:r>
                </w:p>
              </w:tc>
            </w:tr>
          </w:tbl>
          <w:p w:rsidR="00A01AD9" w:rsidRDefault="00A01AD9" w:rsidP="00A01AD9">
            <w:pPr>
              <w:overflowPunct/>
              <w:autoSpaceDE/>
              <w:autoSpaceDN/>
              <w:adjustRightInd/>
              <w:jc w:val="both"/>
              <w:textAlignment w:val="auto"/>
              <w:rPr>
                <w:rFonts w:cs="Arial"/>
                <w:sz w:val="20"/>
                <w:szCs w:val="20"/>
                <w:lang w:val="ru-RU" w:eastAsia="ru-RU"/>
              </w:rPr>
            </w:pPr>
          </w:p>
          <w:p w:rsidR="00A01AD9" w:rsidRDefault="00A01AD9" w:rsidP="00A01AD9">
            <w:pPr>
              <w:overflowPunct/>
              <w:autoSpaceDE/>
              <w:autoSpaceDN/>
              <w:adjustRightInd/>
              <w:jc w:val="both"/>
              <w:textAlignment w:val="auto"/>
              <w:rPr>
                <w:rFonts w:cs="Arial"/>
                <w:sz w:val="20"/>
                <w:szCs w:val="20"/>
                <w:lang w:val="ru-RU" w:eastAsia="ru-RU"/>
              </w:rPr>
            </w:pPr>
            <w:r w:rsidRPr="00700E6A">
              <w:rPr>
                <w:rFonts w:cs="Arial"/>
                <w:sz w:val="20"/>
                <w:szCs w:val="20"/>
                <w:lang w:val="ru-RU" w:eastAsia="ru-RU"/>
              </w:rPr>
              <w:t>За 3</w:t>
            </w:r>
            <w:r w:rsidRPr="00273CA2">
              <w:rPr>
                <w:rFonts w:cs="Arial"/>
                <w:sz w:val="20"/>
                <w:szCs w:val="20"/>
                <w:lang w:val="ru-RU" w:eastAsia="ru-RU"/>
              </w:rPr>
              <w:t>1</w:t>
            </w:r>
            <w:r w:rsidRPr="00700E6A">
              <w:rPr>
                <w:rFonts w:cs="Arial"/>
                <w:sz w:val="20"/>
                <w:szCs w:val="20"/>
                <w:lang w:val="ru-RU" w:eastAsia="ru-RU"/>
              </w:rPr>
              <w:t xml:space="preserve"> </w:t>
            </w:r>
            <w:r>
              <w:rPr>
                <w:rFonts w:cs="Arial"/>
                <w:sz w:val="20"/>
                <w:szCs w:val="20"/>
                <w:lang w:val="ru-RU" w:eastAsia="ru-RU"/>
              </w:rPr>
              <w:t>декабря 2018 года по статье «</w:t>
            </w:r>
            <w:r w:rsidRPr="00700E6A">
              <w:rPr>
                <w:rFonts w:cs="Arial"/>
                <w:sz w:val="20"/>
                <w:szCs w:val="20"/>
                <w:lang w:val="ru-RU" w:eastAsia="ru-RU"/>
              </w:rPr>
              <w:t>Вклады (средства) физических лиц, в т. ч. индивидуальных предпринимателей</w:t>
            </w:r>
            <w:r>
              <w:rPr>
                <w:rFonts w:cs="Arial"/>
                <w:sz w:val="20"/>
                <w:szCs w:val="20"/>
                <w:lang w:val="ru-RU" w:eastAsia="ru-RU"/>
              </w:rPr>
              <w:t>»</w:t>
            </w:r>
            <w:r w:rsidRPr="00700E6A">
              <w:rPr>
                <w:rFonts w:cs="Arial"/>
                <w:sz w:val="20"/>
                <w:szCs w:val="20"/>
                <w:lang w:val="ru-RU" w:eastAsia="ru-RU"/>
              </w:rPr>
              <w:t xml:space="preserve"> остатки по учету денежных средств физических лиц составляют </w:t>
            </w:r>
            <w:r>
              <w:rPr>
                <w:rFonts w:cs="Arial"/>
                <w:sz w:val="20"/>
                <w:szCs w:val="20"/>
                <w:lang w:val="ru-RU" w:eastAsia="ru-RU"/>
              </w:rPr>
              <w:t>9 627 347</w:t>
            </w:r>
            <w:r w:rsidRPr="00700E6A">
              <w:rPr>
                <w:rFonts w:cs="Arial"/>
                <w:sz w:val="20"/>
                <w:szCs w:val="20"/>
                <w:lang w:val="ru-RU" w:eastAsia="ru-RU"/>
              </w:rPr>
              <w:t xml:space="preserve"> тыс. руб., индивидуальных предпринимателей – </w:t>
            </w:r>
            <w:r>
              <w:rPr>
                <w:rFonts w:cs="Arial"/>
                <w:sz w:val="20"/>
                <w:szCs w:val="20"/>
                <w:lang w:val="ru-RU" w:eastAsia="ru-RU"/>
              </w:rPr>
              <w:t>635 332 тыс. руб. (за 31 декабря 2017</w:t>
            </w:r>
            <w:r w:rsidRPr="00700E6A">
              <w:rPr>
                <w:rFonts w:cs="Arial"/>
                <w:sz w:val="20"/>
                <w:szCs w:val="20"/>
                <w:lang w:val="ru-RU" w:eastAsia="ru-RU"/>
              </w:rPr>
              <w:t xml:space="preserve"> года денежные средства физических лиц -  </w:t>
            </w:r>
            <w:r>
              <w:rPr>
                <w:rFonts w:cs="Arial"/>
                <w:sz w:val="20"/>
                <w:szCs w:val="20"/>
                <w:lang w:val="ru-RU" w:eastAsia="ru-RU"/>
              </w:rPr>
              <w:t>9 352 519</w:t>
            </w:r>
            <w:r w:rsidRPr="00700E6A">
              <w:rPr>
                <w:rFonts w:cs="Arial"/>
                <w:sz w:val="20"/>
                <w:szCs w:val="20"/>
                <w:lang w:val="ru-RU" w:eastAsia="ru-RU"/>
              </w:rPr>
              <w:t xml:space="preserve"> тыс. руб., индивидуальных предприн</w:t>
            </w:r>
            <w:r>
              <w:rPr>
                <w:rFonts w:cs="Arial"/>
                <w:sz w:val="20"/>
                <w:szCs w:val="20"/>
                <w:lang w:val="ru-RU" w:eastAsia="ru-RU"/>
              </w:rPr>
              <w:t xml:space="preserve">имателей - 494 063 тыс. руб.). </w:t>
            </w:r>
          </w:p>
          <w:p w:rsidR="00A01AD9" w:rsidRPr="00877ED4" w:rsidRDefault="00A01AD9" w:rsidP="00A01AD9">
            <w:pPr>
              <w:overflowPunct/>
              <w:autoSpaceDE/>
              <w:autoSpaceDN/>
              <w:adjustRightInd/>
              <w:jc w:val="both"/>
              <w:textAlignment w:val="auto"/>
              <w:rPr>
                <w:rFonts w:cs="Arial"/>
                <w:sz w:val="20"/>
                <w:szCs w:val="20"/>
                <w:lang w:val="ru-RU" w:eastAsia="ru-RU"/>
              </w:rPr>
            </w:pPr>
          </w:p>
          <w:p w:rsidR="00A01AD9" w:rsidRPr="00E4242C" w:rsidRDefault="00A01AD9" w:rsidP="00A01AD9">
            <w:pPr>
              <w:overflowPunct/>
              <w:autoSpaceDE/>
              <w:autoSpaceDN/>
              <w:adjustRightInd/>
              <w:textAlignment w:val="auto"/>
              <w:rPr>
                <w:rFonts w:cs="Arial"/>
                <w:b/>
                <w:sz w:val="20"/>
                <w:szCs w:val="20"/>
                <w:lang w:val="ru-RU" w:eastAsia="ru-RU"/>
              </w:rPr>
            </w:pPr>
            <w:r w:rsidRPr="00E4242C">
              <w:rPr>
                <w:rFonts w:cs="Arial"/>
                <w:b/>
                <w:sz w:val="20"/>
                <w:szCs w:val="20"/>
                <w:lang w:val="ru-RU" w:eastAsia="ru-RU"/>
              </w:rPr>
              <w:t>Средства на счетах клиентов по видам деятельности:</w:t>
            </w:r>
          </w:p>
          <w:p w:rsidR="00A01AD9" w:rsidRDefault="00A01AD9" w:rsidP="00A01AD9">
            <w:pPr>
              <w:jc w:val="both"/>
              <w:rPr>
                <w:rFonts w:cs="Arial"/>
                <w:b/>
                <w:sz w:val="20"/>
                <w:szCs w:val="20"/>
                <w:highlight w:val="yellow"/>
                <w:lang w:val="ru-RU"/>
              </w:rPr>
            </w:pPr>
          </w:p>
          <w:tbl>
            <w:tblPr>
              <w:tblW w:w="9640" w:type="dxa"/>
              <w:tblLook w:val="04A0" w:firstRow="1" w:lastRow="0" w:firstColumn="1" w:lastColumn="0" w:noHBand="0" w:noVBand="1"/>
            </w:tblPr>
            <w:tblGrid>
              <w:gridCol w:w="3261"/>
              <w:gridCol w:w="4046"/>
              <w:gridCol w:w="2333"/>
            </w:tblGrid>
            <w:tr w:rsidR="00A01AD9" w:rsidRPr="00E4242C" w:rsidTr="00A01AD9">
              <w:trPr>
                <w:trHeight w:val="240"/>
                <w:tblHeader/>
              </w:trPr>
              <w:tc>
                <w:tcPr>
                  <w:tcW w:w="3261" w:type="dxa"/>
                  <w:tcBorders>
                    <w:top w:val="single" w:sz="4" w:space="0" w:color="auto"/>
                    <w:left w:val="nil"/>
                    <w:bottom w:val="single" w:sz="8" w:space="0" w:color="auto"/>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b/>
                      <w:bCs/>
                      <w:sz w:val="16"/>
                      <w:szCs w:val="16"/>
                      <w:lang w:val="ru-RU" w:eastAsia="ru-RU"/>
                    </w:rPr>
                  </w:pPr>
                </w:p>
                <w:p w:rsidR="00A01AD9" w:rsidRPr="00E4242C" w:rsidRDefault="00A01AD9" w:rsidP="00A01AD9">
                  <w:pPr>
                    <w:overflowPunct/>
                    <w:autoSpaceDE/>
                    <w:autoSpaceDN/>
                    <w:adjustRightInd/>
                    <w:textAlignment w:val="auto"/>
                    <w:rPr>
                      <w:rFonts w:cs="Arial"/>
                      <w:b/>
                      <w:bCs/>
                      <w:sz w:val="16"/>
                      <w:szCs w:val="16"/>
                      <w:lang w:val="ru-RU" w:eastAsia="ru-RU"/>
                    </w:rPr>
                  </w:pPr>
                  <w:r w:rsidRPr="00E4242C">
                    <w:rPr>
                      <w:rFonts w:cs="Arial"/>
                      <w:b/>
                      <w:bCs/>
                      <w:sz w:val="16"/>
                      <w:szCs w:val="16"/>
                      <w:lang w:val="ru-RU" w:eastAsia="ru-RU"/>
                    </w:rPr>
                    <w:t>Виды экономической деятельности</w:t>
                  </w:r>
                </w:p>
              </w:tc>
              <w:tc>
                <w:tcPr>
                  <w:tcW w:w="4046" w:type="dxa"/>
                  <w:tcBorders>
                    <w:top w:val="single" w:sz="4" w:space="0" w:color="auto"/>
                    <w:left w:val="nil"/>
                    <w:bottom w:val="single" w:sz="8" w:space="0" w:color="auto"/>
                    <w:right w:val="nil"/>
                  </w:tcBorders>
                  <w:shd w:val="clear" w:color="auto" w:fill="auto"/>
                  <w:noWrap/>
                  <w:vAlign w:val="bottom"/>
                  <w:hideMark/>
                </w:tcPr>
                <w:p w:rsidR="00A01AD9" w:rsidRPr="00E4242C" w:rsidRDefault="00A01AD9" w:rsidP="00A01AD9">
                  <w:pPr>
                    <w:overflowPunct/>
                    <w:autoSpaceDE/>
                    <w:autoSpaceDN/>
                    <w:adjustRightInd/>
                    <w:jc w:val="center"/>
                    <w:textAlignment w:val="auto"/>
                    <w:rPr>
                      <w:rFonts w:cs="Arial"/>
                      <w:b/>
                      <w:bCs/>
                      <w:sz w:val="16"/>
                      <w:szCs w:val="16"/>
                      <w:lang w:val="ru-RU" w:eastAsia="ru-RU"/>
                    </w:rPr>
                  </w:pPr>
                  <w:r w:rsidRPr="00E4242C">
                    <w:rPr>
                      <w:rFonts w:cs="Arial"/>
                      <w:b/>
                      <w:sz w:val="16"/>
                      <w:szCs w:val="16"/>
                      <w:lang w:val="ru-RU" w:eastAsia="ru-RU"/>
                    </w:rPr>
                    <w:t>3</w:t>
                  </w:r>
                  <w:r>
                    <w:rPr>
                      <w:rFonts w:cs="Arial"/>
                      <w:b/>
                      <w:sz w:val="16"/>
                      <w:szCs w:val="16"/>
                      <w:lang w:val="ru-RU" w:eastAsia="ru-RU"/>
                    </w:rPr>
                    <w:t>1</w:t>
                  </w:r>
                  <w:r w:rsidRPr="00E4242C">
                    <w:rPr>
                      <w:rFonts w:cs="Arial"/>
                      <w:b/>
                      <w:bCs/>
                      <w:sz w:val="16"/>
                      <w:szCs w:val="16"/>
                      <w:lang w:val="ru-RU" w:eastAsia="ru-RU"/>
                    </w:rPr>
                    <w:t>.</w:t>
                  </w:r>
                  <w:r>
                    <w:rPr>
                      <w:rFonts w:cs="Arial"/>
                      <w:b/>
                      <w:bCs/>
                      <w:sz w:val="16"/>
                      <w:szCs w:val="16"/>
                      <w:lang w:val="ru-RU" w:eastAsia="ru-RU"/>
                    </w:rPr>
                    <w:t>12</w:t>
                  </w:r>
                  <w:r w:rsidRPr="00E4242C">
                    <w:rPr>
                      <w:rFonts w:cs="Arial"/>
                      <w:b/>
                      <w:bCs/>
                      <w:sz w:val="16"/>
                      <w:szCs w:val="16"/>
                      <w:lang w:val="ru-RU" w:eastAsia="ru-RU"/>
                    </w:rPr>
                    <w:t>.201</w:t>
                  </w:r>
                  <w:r>
                    <w:rPr>
                      <w:rFonts w:cs="Arial"/>
                      <w:b/>
                      <w:bCs/>
                      <w:sz w:val="16"/>
                      <w:szCs w:val="16"/>
                      <w:lang w:val="ru-RU" w:eastAsia="ru-RU"/>
                    </w:rPr>
                    <w:t>8</w:t>
                  </w:r>
                </w:p>
              </w:tc>
              <w:tc>
                <w:tcPr>
                  <w:tcW w:w="2333" w:type="dxa"/>
                  <w:tcBorders>
                    <w:top w:val="single" w:sz="4" w:space="0" w:color="auto"/>
                    <w:left w:val="nil"/>
                    <w:bottom w:val="single" w:sz="8" w:space="0" w:color="auto"/>
                    <w:right w:val="nil"/>
                  </w:tcBorders>
                  <w:vAlign w:val="bottom"/>
                </w:tcPr>
                <w:p w:rsidR="00A01AD9" w:rsidRPr="00E4242C" w:rsidRDefault="00A01AD9" w:rsidP="00A01AD9">
                  <w:pPr>
                    <w:overflowPunct/>
                    <w:autoSpaceDE/>
                    <w:autoSpaceDN/>
                    <w:adjustRightInd/>
                    <w:jc w:val="center"/>
                    <w:textAlignment w:val="auto"/>
                    <w:rPr>
                      <w:rFonts w:cs="Arial"/>
                      <w:b/>
                      <w:bCs/>
                      <w:sz w:val="16"/>
                      <w:szCs w:val="16"/>
                      <w:lang w:val="ru-RU" w:eastAsia="ru-RU"/>
                    </w:rPr>
                  </w:pPr>
                  <w:r w:rsidRPr="00E4242C">
                    <w:rPr>
                      <w:rFonts w:cs="Arial"/>
                      <w:b/>
                      <w:sz w:val="16"/>
                      <w:szCs w:val="16"/>
                      <w:lang w:val="ru-RU" w:eastAsia="ru-RU"/>
                    </w:rPr>
                    <w:t>3</w:t>
                  </w:r>
                  <w:r>
                    <w:rPr>
                      <w:rFonts w:cs="Arial"/>
                      <w:b/>
                      <w:sz w:val="16"/>
                      <w:szCs w:val="16"/>
                      <w:lang w:val="ru-RU" w:eastAsia="ru-RU"/>
                    </w:rPr>
                    <w:t>1</w:t>
                  </w:r>
                  <w:r w:rsidRPr="00E4242C">
                    <w:rPr>
                      <w:rFonts w:cs="Arial"/>
                      <w:b/>
                      <w:bCs/>
                      <w:sz w:val="16"/>
                      <w:szCs w:val="16"/>
                      <w:lang w:val="ru-RU" w:eastAsia="ru-RU"/>
                    </w:rPr>
                    <w:t>.</w:t>
                  </w:r>
                  <w:r>
                    <w:rPr>
                      <w:rFonts w:cs="Arial"/>
                      <w:b/>
                      <w:bCs/>
                      <w:sz w:val="16"/>
                      <w:szCs w:val="16"/>
                      <w:lang w:val="ru-RU" w:eastAsia="ru-RU"/>
                    </w:rPr>
                    <w:t>12</w:t>
                  </w:r>
                  <w:r w:rsidRPr="00E4242C">
                    <w:rPr>
                      <w:rFonts w:cs="Arial"/>
                      <w:b/>
                      <w:bCs/>
                      <w:sz w:val="16"/>
                      <w:szCs w:val="16"/>
                      <w:lang w:val="ru-RU" w:eastAsia="ru-RU"/>
                    </w:rPr>
                    <w:t>.2017</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Физические лица</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10 262 679</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sidRPr="00E4242C">
                    <w:rPr>
                      <w:rFonts w:cs="Arial"/>
                      <w:sz w:val="16"/>
                      <w:szCs w:val="16"/>
                      <w:lang w:val="ru-RU" w:eastAsia="ru-RU"/>
                    </w:rPr>
                    <w:t>9</w:t>
                  </w:r>
                  <w:r>
                    <w:rPr>
                      <w:rFonts w:cs="Arial"/>
                      <w:sz w:val="16"/>
                      <w:szCs w:val="16"/>
                      <w:lang w:val="ru-RU" w:eastAsia="ru-RU"/>
                    </w:rPr>
                    <w:t> 846 582</w:t>
                  </w:r>
                </w:p>
              </w:tc>
            </w:tr>
            <w:tr w:rsidR="00A01AD9" w:rsidRPr="00E4242C" w:rsidTr="00A01AD9">
              <w:trPr>
                <w:trHeight w:val="225"/>
              </w:trPr>
              <w:tc>
                <w:tcPr>
                  <w:tcW w:w="3261"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Торговля оптовая и розничная; ремонт автотранспортных средств и мотоциклов</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606 655</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493 115</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Обрабатывающие производства</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191 080</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216 643</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Деятельность по операциям с недвижимым имуществом</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93 593</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106 772</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Деятельность финансовая и страховая</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42 581</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133 395</w:t>
                  </w:r>
                </w:p>
              </w:tc>
            </w:tr>
            <w:tr w:rsidR="00A01AD9" w:rsidRPr="00E4242C" w:rsidTr="00A01AD9">
              <w:trPr>
                <w:trHeight w:val="225"/>
              </w:trPr>
              <w:tc>
                <w:tcPr>
                  <w:tcW w:w="3261"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Деятельность в области информации и связи; транспортировка и хранение</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86 041</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222 446</w:t>
                  </w:r>
                </w:p>
              </w:tc>
            </w:tr>
            <w:tr w:rsidR="00A01AD9" w:rsidRPr="00E4242C" w:rsidTr="00A01AD9">
              <w:trPr>
                <w:trHeight w:val="225"/>
              </w:trPr>
              <w:tc>
                <w:tcPr>
                  <w:tcW w:w="3261"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Деятельность гостиниц и предприятий общественного питания</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15 403</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7 274</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Водоснабжение, водоотведение, организация сбора и утилизации отходов</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17 396</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10 712</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Сельское, лесное хозяйство, охота, рыболовство и рыбоводство</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50 190</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80 582</w:t>
                  </w:r>
                </w:p>
              </w:tc>
            </w:tr>
            <w:tr w:rsidR="00A01AD9" w:rsidRPr="00E4242C" w:rsidTr="00A01AD9">
              <w:trPr>
                <w:trHeight w:val="225"/>
              </w:trPr>
              <w:tc>
                <w:tcPr>
                  <w:tcW w:w="3261"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Строительство</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404 415</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243 976</w:t>
                  </w:r>
                </w:p>
              </w:tc>
            </w:tr>
            <w:tr w:rsidR="00A01AD9" w:rsidRPr="00E4242C" w:rsidTr="00A01AD9">
              <w:trPr>
                <w:trHeight w:val="225"/>
              </w:trPr>
              <w:tc>
                <w:tcPr>
                  <w:tcW w:w="3261" w:type="dxa"/>
                  <w:tcBorders>
                    <w:top w:val="nil"/>
                    <w:left w:val="nil"/>
                    <w:bottom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Деятельность профессиональная, научная и техническая; образование</w:t>
                  </w:r>
                </w:p>
              </w:tc>
              <w:tc>
                <w:tcPr>
                  <w:tcW w:w="4046" w:type="dxa"/>
                  <w:tcBorders>
                    <w:top w:val="nil"/>
                    <w:left w:val="nil"/>
                    <w:bottom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151 087</w:t>
                  </w:r>
                </w:p>
              </w:tc>
              <w:tc>
                <w:tcPr>
                  <w:tcW w:w="2333" w:type="dxa"/>
                  <w:tcBorders>
                    <w:top w:val="nil"/>
                    <w:left w:val="nil"/>
                    <w:bottom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112 945</w:t>
                  </w:r>
                </w:p>
              </w:tc>
            </w:tr>
            <w:tr w:rsidR="00A01AD9" w:rsidRPr="00E4242C" w:rsidTr="00A01AD9">
              <w:trPr>
                <w:trHeight w:val="225"/>
              </w:trPr>
              <w:tc>
                <w:tcPr>
                  <w:tcW w:w="3261" w:type="dxa"/>
                  <w:tcBorders>
                    <w:top w:val="nil"/>
                    <w:left w:val="nil"/>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Обеспечение эл/энергией, газом и паром</w:t>
                  </w:r>
                </w:p>
              </w:tc>
              <w:tc>
                <w:tcPr>
                  <w:tcW w:w="4046" w:type="dxa"/>
                  <w:tcBorders>
                    <w:top w:val="nil"/>
                    <w:left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16 529</w:t>
                  </w:r>
                </w:p>
              </w:tc>
              <w:tc>
                <w:tcPr>
                  <w:tcW w:w="2333" w:type="dxa"/>
                  <w:tcBorders>
                    <w:top w:val="nil"/>
                    <w:left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9 728</w:t>
                  </w:r>
                </w:p>
              </w:tc>
            </w:tr>
            <w:tr w:rsidR="00A01AD9" w:rsidRPr="00E4242C" w:rsidTr="00A01AD9">
              <w:trPr>
                <w:trHeight w:val="240"/>
              </w:trPr>
              <w:tc>
                <w:tcPr>
                  <w:tcW w:w="3261" w:type="dxa"/>
                  <w:tcBorders>
                    <w:top w:val="nil"/>
                    <w:left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Государственное управление и обеспечение военной безопасности</w:t>
                  </w:r>
                </w:p>
              </w:tc>
              <w:tc>
                <w:tcPr>
                  <w:tcW w:w="4046" w:type="dxa"/>
                  <w:tcBorders>
                    <w:top w:val="nil"/>
                    <w:left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43 812</w:t>
                  </w:r>
                </w:p>
              </w:tc>
              <w:tc>
                <w:tcPr>
                  <w:tcW w:w="2333" w:type="dxa"/>
                  <w:tcBorders>
                    <w:top w:val="nil"/>
                    <w:left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48 692</w:t>
                  </w:r>
                </w:p>
              </w:tc>
            </w:tr>
            <w:tr w:rsidR="00A01AD9" w:rsidRPr="00E4242C" w:rsidTr="00A01AD9">
              <w:trPr>
                <w:trHeight w:val="240"/>
              </w:trPr>
              <w:tc>
                <w:tcPr>
                  <w:tcW w:w="3261" w:type="dxa"/>
                  <w:tcBorders>
                    <w:top w:val="nil"/>
                    <w:left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Pr>
                      <w:rFonts w:cs="Arial"/>
                      <w:sz w:val="16"/>
                      <w:szCs w:val="16"/>
                      <w:lang w:val="ru-RU" w:eastAsia="ru-RU"/>
                    </w:rPr>
                    <w:t xml:space="preserve">Деятельность в области </w:t>
                  </w:r>
                  <w:r w:rsidRPr="00E4242C">
                    <w:rPr>
                      <w:rFonts w:cs="Arial"/>
                      <w:sz w:val="16"/>
                      <w:szCs w:val="16"/>
                      <w:lang w:val="ru-RU" w:eastAsia="ru-RU"/>
                    </w:rPr>
                    <w:t>здравоохранения и социальных услуг</w:t>
                  </w:r>
                  <w:r>
                    <w:rPr>
                      <w:rFonts w:cs="Arial"/>
                      <w:sz w:val="16"/>
                      <w:szCs w:val="16"/>
                      <w:lang w:val="ru-RU" w:eastAsia="ru-RU"/>
                    </w:rPr>
                    <w:t>; области культуры, спорта, организации досуга и развлечений</w:t>
                  </w:r>
                </w:p>
              </w:tc>
              <w:tc>
                <w:tcPr>
                  <w:tcW w:w="4046" w:type="dxa"/>
                  <w:tcBorders>
                    <w:top w:val="nil"/>
                    <w:left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19 891</w:t>
                  </w:r>
                </w:p>
              </w:tc>
              <w:tc>
                <w:tcPr>
                  <w:tcW w:w="2333" w:type="dxa"/>
                  <w:tcBorders>
                    <w:top w:val="nil"/>
                    <w:left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21 074</w:t>
                  </w:r>
                </w:p>
              </w:tc>
            </w:tr>
            <w:tr w:rsidR="00A01AD9" w:rsidRPr="00E4242C" w:rsidTr="00A01AD9">
              <w:trPr>
                <w:trHeight w:val="240"/>
              </w:trPr>
              <w:tc>
                <w:tcPr>
                  <w:tcW w:w="3261" w:type="dxa"/>
                  <w:tcBorders>
                    <w:top w:val="nil"/>
                    <w:left w:val="nil"/>
                    <w:right w:val="nil"/>
                  </w:tcBorders>
                  <w:shd w:val="clear" w:color="auto" w:fill="auto"/>
                  <w:noWrap/>
                  <w:vAlign w:val="bottom"/>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Добыча полезных ископаемых</w:t>
                  </w:r>
                </w:p>
              </w:tc>
              <w:tc>
                <w:tcPr>
                  <w:tcW w:w="4046" w:type="dxa"/>
                  <w:tcBorders>
                    <w:top w:val="nil"/>
                    <w:left w:val="nil"/>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15 743</w:t>
                  </w:r>
                </w:p>
              </w:tc>
              <w:tc>
                <w:tcPr>
                  <w:tcW w:w="2333" w:type="dxa"/>
                  <w:tcBorders>
                    <w:top w:val="nil"/>
                    <w:left w:val="nil"/>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32 718</w:t>
                  </w:r>
                </w:p>
              </w:tc>
            </w:tr>
            <w:tr w:rsidR="00A01AD9" w:rsidRPr="00E4242C" w:rsidTr="00A01AD9">
              <w:trPr>
                <w:trHeight w:val="240"/>
              </w:trPr>
              <w:tc>
                <w:tcPr>
                  <w:tcW w:w="3261" w:type="dxa"/>
                  <w:tcBorders>
                    <w:top w:val="nil"/>
                    <w:left w:val="nil"/>
                    <w:bottom w:val="single" w:sz="4" w:space="0" w:color="auto"/>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sz w:val="16"/>
                      <w:szCs w:val="16"/>
                      <w:lang w:val="ru-RU" w:eastAsia="ru-RU"/>
                    </w:rPr>
                  </w:pPr>
                  <w:r w:rsidRPr="00E4242C">
                    <w:rPr>
                      <w:rFonts w:cs="Arial"/>
                      <w:sz w:val="16"/>
                      <w:szCs w:val="16"/>
                      <w:lang w:val="ru-RU" w:eastAsia="ru-RU"/>
                    </w:rPr>
                    <w:t>Прочие</w:t>
                  </w:r>
                </w:p>
              </w:tc>
              <w:tc>
                <w:tcPr>
                  <w:tcW w:w="4046" w:type="dxa"/>
                  <w:tcBorders>
                    <w:top w:val="nil"/>
                    <w:left w:val="nil"/>
                    <w:bottom w:val="single" w:sz="4" w:space="0" w:color="auto"/>
                    <w:right w:val="nil"/>
                  </w:tcBorders>
                  <w:shd w:val="clear" w:color="auto" w:fill="auto"/>
                  <w:noWrap/>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30 997</w:t>
                  </w:r>
                </w:p>
              </w:tc>
              <w:tc>
                <w:tcPr>
                  <w:tcW w:w="2333" w:type="dxa"/>
                  <w:tcBorders>
                    <w:top w:val="nil"/>
                    <w:left w:val="nil"/>
                    <w:bottom w:val="single" w:sz="4" w:space="0" w:color="auto"/>
                    <w:right w:val="nil"/>
                  </w:tcBorders>
                  <w:vAlign w:val="bottom"/>
                </w:tcPr>
                <w:p w:rsidR="00A01AD9" w:rsidRPr="00E424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126 041</w:t>
                  </w:r>
                </w:p>
              </w:tc>
            </w:tr>
            <w:tr w:rsidR="00A01AD9" w:rsidRPr="00E4242C" w:rsidTr="00A01AD9">
              <w:trPr>
                <w:trHeight w:val="255"/>
              </w:trPr>
              <w:tc>
                <w:tcPr>
                  <w:tcW w:w="3261" w:type="dxa"/>
                  <w:tcBorders>
                    <w:top w:val="single" w:sz="4" w:space="0" w:color="auto"/>
                    <w:left w:val="nil"/>
                    <w:bottom w:val="double" w:sz="6" w:space="0" w:color="auto"/>
                    <w:right w:val="nil"/>
                  </w:tcBorders>
                  <w:shd w:val="clear" w:color="auto" w:fill="auto"/>
                  <w:noWrap/>
                  <w:vAlign w:val="bottom"/>
                  <w:hideMark/>
                </w:tcPr>
                <w:p w:rsidR="00A01AD9" w:rsidRPr="00E4242C" w:rsidRDefault="00A01AD9" w:rsidP="00A01AD9">
                  <w:pPr>
                    <w:overflowPunct/>
                    <w:autoSpaceDE/>
                    <w:autoSpaceDN/>
                    <w:adjustRightInd/>
                    <w:textAlignment w:val="auto"/>
                    <w:rPr>
                      <w:rFonts w:cs="Arial"/>
                      <w:b/>
                      <w:bCs/>
                      <w:sz w:val="16"/>
                      <w:szCs w:val="16"/>
                      <w:lang w:val="ru-RU" w:eastAsia="ru-RU"/>
                    </w:rPr>
                  </w:pPr>
                  <w:r w:rsidRPr="00E4242C">
                    <w:rPr>
                      <w:rFonts w:cs="Arial"/>
                      <w:b/>
                      <w:bCs/>
                      <w:sz w:val="16"/>
                      <w:szCs w:val="16"/>
                      <w:lang w:val="ru-RU" w:eastAsia="ru-RU"/>
                    </w:rPr>
                    <w:t>Итого</w:t>
                  </w:r>
                </w:p>
              </w:tc>
              <w:tc>
                <w:tcPr>
                  <w:tcW w:w="4046" w:type="dxa"/>
                  <w:tcBorders>
                    <w:top w:val="single" w:sz="4" w:space="0" w:color="auto"/>
                    <w:left w:val="nil"/>
                    <w:bottom w:val="double" w:sz="6" w:space="0" w:color="auto"/>
                    <w:right w:val="nil"/>
                  </w:tcBorders>
                  <w:shd w:val="clear" w:color="auto" w:fill="auto"/>
                  <w:noWrap/>
                  <w:vAlign w:val="bottom"/>
                  <w:hideMark/>
                </w:tcPr>
                <w:p w:rsidR="00A01AD9" w:rsidRPr="00E4242C"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12 048 092</w:t>
                  </w:r>
                </w:p>
              </w:tc>
              <w:tc>
                <w:tcPr>
                  <w:tcW w:w="2333" w:type="dxa"/>
                  <w:tcBorders>
                    <w:top w:val="single" w:sz="4" w:space="0" w:color="auto"/>
                    <w:left w:val="nil"/>
                    <w:bottom w:val="double" w:sz="6" w:space="0" w:color="auto"/>
                    <w:right w:val="nil"/>
                  </w:tcBorders>
                  <w:vAlign w:val="bottom"/>
                </w:tcPr>
                <w:p w:rsidR="00A01AD9" w:rsidRPr="00E4242C"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11 712 695</w:t>
                  </w:r>
                </w:p>
              </w:tc>
            </w:tr>
          </w:tbl>
          <w:p w:rsidR="00A01AD9" w:rsidRPr="00D01079" w:rsidRDefault="00A01AD9" w:rsidP="00A01AD9">
            <w:pPr>
              <w:overflowPunct/>
              <w:autoSpaceDE/>
              <w:autoSpaceDN/>
              <w:adjustRightInd/>
              <w:textAlignment w:val="auto"/>
              <w:rPr>
                <w:rFonts w:cs="Arial"/>
                <w:b/>
                <w:bCs/>
                <w:sz w:val="20"/>
                <w:szCs w:val="20"/>
                <w:lang w:val="ru-RU" w:eastAsia="ru-RU"/>
              </w:rPr>
            </w:pPr>
          </w:p>
        </w:tc>
      </w:tr>
    </w:tbl>
    <w:p w:rsidR="003D5AC4" w:rsidRDefault="003D5AC4" w:rsidP="00B73CE7">
      <w:pPr>
        <w:jc w:val="both"/>
        <w:rPr>
          <w:rFonts w:eastAsiaTheme="minorHAnsi" w:cs="Arial"/>
          <w:b/>
          <w:bCs/>
          <w:sz w:val="20"/>
          <w:szCs w:val="20"/>
          <w:lang w:val="ru-RU"/>
        </w:rPr>
      </w:pPr>
    </w:p>
    <w:p w:rsidR="00B73CE7" w:rsidRDefault="002C40F1" w:rsidP="00B73CE7">
      <w:pPr>
        <w:jc w:val="both"/>
        <w:rPr>
          <w:rFonts w:cs="Arial"/>
          <w:b/>
          <w:sz w:val="20"/>
          <w:szCs w:val="20"/>
          <w:lang w:val="ru-RU"/>
        </w:rPr>
      </w:pPr>
      <w:r>
        <w:rPr>
          <w:rFonts w:eastAsiaTheme="minorHAnsi" w:cs="Arial"/>
          <w:b/>
          <w:bCs/>
          <w:sz w:val="20"/>
          <w:szCs w:val="20"/>
          <w:lang w:val="ru-RU"/>
        </w:rPr>
        <w:lastRenderedPageBreak/>
        <w:t>6.1.21.</w:t>
      </w:r>
      <w:r w:rsidR="00B73CE7">
        <w:rPr>
          <w:rFonts w:eastAsiaTheme="minorHAnsi" w:cs="Arial"/>
          <w:b/>
          <w:bCs/>
          <w:sz w:val="20"/>
          <w:szCs w:val="20"/>
          <w:lang w:val="ru-RU"/>
        </w:rPr>
        <w:t xml:space="preserve"> </w:t>
      </w:r>
      <w:r w:rsidR="00B73CE7" w:rsidRPr="00E551D8">
        <w:rPr>
          <w:rFonts w:cs="Arial"/>
          <w:b/>
          <w:sz w:val="20"/>
          <w:szCs w:val="20"/>
          <w:lang w:val="ru-RU"/>
        </w:rPr>
        <w:t xml:space="preserve">Информация </w:t>
      </w:r>
      <w:r w:rsidR="00B73CE7">
        <w:rPr>
          <w:rFonts w:cs="Arial"/>
          <w:b/>
          <w:sz w:val="20"/>
          <w:szCs w:val="20"/>
          <w:lang w:val="ru-RU"/>
        </w:rPr>
        <w:t>о государственных субсидиях и других формах государственной помощи</w:t>
      </w:r>
    </w:p>
    <w:p w:rsidR="002C40F1" w:rsidRPr="00B73CE7" w:rsidRDefault="002C40F1" w:rsidP="00B73CE7">
      <w:pPr>
        <w:jc w:val="both"/>
        <w:rPr>
          <w:rFonts w:cs="Arial"/>
          <w:b/>
          <w:sz w:val="20"/>
          <w:szCs w:val="20"/>
          <w:lang w:val="ru-RU"/>
        </w:rPr>
      </w:pPr>
      <w:r w:rsidRPr="001E7814">
        <w:rPr>
          <w:rFonts w:eastAsiaTheme="minorHAnsi" w:cs="Arial"/>
          <w:bCs/>
          <w:sz w:val="20"/>
          <w:szCs w:val="20"/>
          <w:lang w:val="ru-RU"/>
        </w:rPr>
        <w:t>Государственные субсидии и государственную помощь Банк не получает.</w:t>
      </w:r>
    </w:p>
    <w:p w:rsidR="00AF7D29" w:rsidRDefault="00AF7D29" w:rsidP="000C4231">
      <w:pPr>
        <w:jc w:val="both"/>
        <w:rPr>
          <w:sz w:val="20"/>
          <w:szCs w:val="20"/>
          <w:highlight w:val="yellow"/>
          <w:lang w:val="ru-RU"/>
        </w:rPr>
      </w:pPr>
    </w:p>
    <w:p w:rsidR="002C40F1" w:rsidRPr="00400EAB" w:rsidRDefault="002C40F1" w:rsidP="002C40F1">
      <w:pPr>
        <w:overflowPunct/>
        <w:jc w:val="both"/>
        <w:textAlignment w:val="auto"/>
        <w:rPr>
          <w:rFonts w:eastAsiaTheme="minorHAnsi" w:cs="Arial"/>
          <w:sz w:val="20"/>
          <w:szCs w:val="20"/>
          <w:lang w:val="ru-RU"/>
        </w:rPr>
      </w:pPr>
      <w:r w:rsidRPr="00400EAB">
        <w:rPr>
          <w:rFonts w:eastAsiaTheme="minorHAnsi" w:cs="Arial"/>
          <w:b/>
          <w:sz w:val="20"/>
          <w:szCs w:val="20"/>
          <w:lang w:val="ru-RU"/>
        </w:rPr>
        <w:t xml:space="preserve">6.1.22. </w:t>
      </w:r>
      <w:r w:rsidR="00B73CE7">
        <w:rPr>
          <w:rFonts w:eastAsiaTheme="minorHAnsi" w:cs="Arial"/>
          <w:b/>
          <w:sz w:val="20"/>
          <w:szCs w:val="20"/>
          <w:lang w:val="ru-RU"/>
        </w:rPr>
        <w:t>Информация об о</w:t>
      </w:r>
      <w:r w:rsidRPr="00400EAB">
        <w:rPr>
          <w:rFonts w:eastAsiaTheme="minorHAnsi" w:cs="Arial"/>
          <w:b/>
          <w:sz w:val="20"/>
          <w:szCs w:val="20"/>
          <w:lang w:val="ru-RU"/>
        </w:rPr>
        <w:t>бъем</w:t>
      </w:r>
      <w:r w:rsidR="00B73CE7">
        <w:rPr>
          <w:rFonts w:eastAsiaTheme="minorHAnsi" w:cs="Arial"/>
          <w:b/>
          <w:sz w:val="20"/>
          <w:szCs w:val="20"/>
          <w:lang w:val="ru-RU"/>
        </w:rPr>
        <w:t>е</w:t>
      </w:r>
      <w:r w:rsidRPr="00400EAB">
        <w:rPr>
          <w:rFonts w:eastAsiaTheme="minorHAnsi" w:cs="Arial"/>
          <w:b/>
          <w:sz w:val="20"/>
          <w:szCs w:val="20"/>
          <w:lang w:val="ru-RU"/>
        </w:rPr>
        <w:t xml:space="preserve"> и структур</w:t>
      </w:r>
      <w:r w:rsidR="00B73CE7">
        <w:rPr>
          <w:rFonts w:eastAsiaTheme="minorHAnsi" w:cs="Arial"/>
          <w:b/>
          <w:sz w:val="20"/>
          <w:szCs w:val="20"/>
          <w:lang w:val="ru-RU"/>
        </w:rPr>
        <w:t>е</w:t>
      </w:r>
      <w:r w:rsidRPr="00400EAB">
        <w:rPr>
          <w:rFonts w:eastAsiaTheme="minorHAnsi" w:cs="Arial"/>
          <w:b/>
          <w:sz w:val="20"/>
          <w:szCs w:val="20"/>
          <w:lang w:val="ru-RU"/>
        </w:rPr>
        <w:t xml:space="preserve"> выпущенных долговых ценных </w:t>
      </w:r>
      <w:r w:rsidR="00B73CE7">
        <w:rPr>
          <w:rFonts w:eastAsiaTheme="minorHAnsi" w:cs="Arial"/>
          <w:b/>
          <w:sz w:val="20"/>
          <w:szCs w:val="20"/>
          <w:lang w:val="ru-RU"/>
        </w:rPr>
        <w:t>бумаг и отдельных ценных бумаг</w:t>
      </w:r>
    </w:p>
    <w:p w:rsidR="00E362C0" w:rsidRDefault="00E362C0" w:rsidP="00C77E2C">
      <w:pPr>
        <w:jc w:val="both"/>
        <w:rPr>
          <w:sz w:val="20"/>
          <w:szCs w:val="20"/>
          <w:lang w:val="ru-RU"/>
        </w:rPr>
      </w:pPr>
    </w:p>
    <w:tbl>
      <w:tblPr>
        <w:tblW w:w="9371" w:type="dxa"/>
        <w:tblInd w:w="93" w:type="dxa"/>
        <w:tblCellMar>
          <w:left w:w="0" w:type="dxa"/>
          <w:right w:w="0" w:type="dxa"/>
        </w:tblCellMar>
        <w:tblLook w:val="04A0" w:firstRow="1" w:lastRow="0" w:firstColumn="1" w:lastColumn="0" w:noHBand="0" w:noVBand="1"/>
      </w:tblPr>
      <w:tblGrid>
        <w:gridCol w:w="3701"/>
        <w:gridCol w:w="3402"/>
        <w:gridCol w:w="2268"/>
      </w:tblGrid>
      <w:tr w:rsidR="00E362C0" w:rsidTr="00E362C0">
        <w:trPr>
          <w:trHeight w:val="240"/>
        </w:trPr>
        <w:tc>
          <w:tcPr>
            <w:tcW w:w="3701" w:type="dxa"/>
            <w:tcBorders>
              <w:top w:val="single" w:sz="8" w:space="0" w:color="auto"/>
              <w:left w:val="nil"/>
              <w:bottom w:val="single" w:sz="8" w:space="0" w:color="auto"/>
              <w:right w:val="nil"/>
            </w:tcBorders>
            <w:noWrap/>
            <w:tcMar>
              <w:top w:w="0" w:type="dxa"/>
              <w:left w:w="108" w:type="dxa"/>
              <w:bottom w:w="0" w:type="dxa"/>
              <w:right w:w="108" w:type="dxa"/>
            </w:tcMar>
            <w:vAlign w:val="bottom"/>
          </w:tcPr>
          <w:p w:rsidR="00E362C0" w:rsidRPr="00B43158" w:rsidRDefault="00E362C0">
            <w:pPr>
              <w:spacing w:line="276" w:lineRule="auto"/>
              <w:rPr>
                <w:rFonts w:eastAsiaTheme="minorHAnsi" w:cs="Arial"/>
                <w:b/>
                <w:bCs/>
                <w:sz w:val="16"/>
                <w:szCs w:val="16"/>
                <w:lang w:val="ru-RU" w:eastAsia="ru-RU"/>
              </w:rPr>
            </w:pPr>
          </w:p>
          <w:p w:rsidR="00E362C0" w:rsidRDefault="00E362C0">
            <w:pPr>
              <w:spacing w:line="276" w:lineRule="auto"/>
              <w:rPr>
                <w:rFonts w:eastAsiaTheme="minorHAnsi" w:cs="Arial"/>
                <w:b/>
                <w:bCs/>
                <w:sz w:val="16"/>
                <w:szCs w:val="16"/>
                <w:lang w:eastAsia="ru-RU"/>
              </w:rPr>
            </w:pPr>
            <w:r>
              <w:rPr>
                <w:b/>
                <w:bCs/>
                <w:sz w:val="16"/>
                <w:szCs w:val="16"/>
                <w:lang w:eastAsia="ru-RU"/>
              </w:rPr>
              <w:t>Выпущенные долговые обязательства</w:t>
            </w:r>
          </w:p>
        </w:tc>
        <w:tc>
          <w:tcPr>
            <w:tcW w:w="3402"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E362C0" w:rsidRDefault="00E362C0">
            <w:pPr>
              <w:spacing w:line="276" w:lineRule="auto"/>
              <w:jc w:val="center"/>
              <w:rPr>
                <w:rFonts w:eastAsiaTheme="minorHAnsi" w:cs="Arial"/>
                <w:b/>
                <w:bCs/>
                <w:sz w:val="16"/>
                <w:szCs w:val="16"/>
                <w:lang w:eastAsia="ru-RU"/>
              </w:rPr>
            </w:pPr>
            <w:r>
              <w:rPr>
                <w:b/>
                <w:bCs/>
                <w:sz w:val="16"/>
                <w:szCs w:val="16"/>
                <w:lang w:eastAsia="ru-RU"/>
              </w:rPr>
              <w:t>2018</w:t>
            </w:r>
          </w:p>
        </w:tc>
        <w:tc>
          <w:tcPr>
            <w:tcW w:w="2268"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E362C0" w:rsidRDefault="00E362C0">
            <w:pPr>
              <w:spacing w:line="276" w:lineRule="auto"/>
              <w:jc w:val="center"/>
              <w:rPr>
                <w:rFonts w:eastAsiaTheme="minorHAnsi" w:cs="Arial"/>
                <w:b/>
                <w:bCs/>
                <w:sz w:val="16"/>
                <w:szCs w:val="16"/>
                <w:lang w:eastAsia="ru-RU"/>
              </w:rPr>
            </w:pPr>
            <w:r>
              <w:rPr>
                <w:b/>
                <w:bCs/>
                <w:sz w:val="16"/>
                <w:szCs w:val="16"/>
                <w:lang w:eastAsia="ru-RU"/>
              </w:rPr>
              <w:t>2017</w:t>
            </w:r>
          </w:p>
        </w:tc>
      </w:tr>
      <w:tr w:rsidR="00E362C0" w:rsidTr="00E362C0">
        <w:trPr>
          <w:trHeight w:val="480"/>
        </w:trPr>
        <w:tc>
          <w:tcPr>
            <w:tcW w:w="3701" w:type="dxa"/>
            <w:tcBorders>
              <w:top w:val="nil"/>
              <w:left w:val="nil"/>
              <w:bottom w:val="double" w:sz="4" w:space="0" w:color="auto"/>
              <w:right w:val="nil"/>
            </w:tcBorders>
            <w:tcMar>
              <w:top w:w="0" w:type="dxa"/>
              <w:left w:w="108" w:type="dxa"/>
              <w:bottom w:w="0" w:type="dxa"/>
              <w:right w:w="108" w:type="dxa"/>
            </w:tcMar>
            <w:vAlign w:val="center"/>
            <w:hideMark/>
          </w:tcPr>
          <w:p w:rsidR="00E362C0" w:rsidRPr="00E362C0" w:rsidRDefault="00E362C0">
            <w:pPr>
              <w:spacing w:line="276" w:lineRule="auto"/>
              <w:rPr>
                <w:rFonts w:eastAsiaTheme="minorHAnsi" w:cs="Arial"/>
                <w:sz w:val="16"/>
                <w:szCs w:val="16"/>
                <w:lang w:val="ru-RU" w:eastAsia="ru-RU"/>
              </w:rPr>
            </w:pPr>
            <w:r>
              <w:rPr>
                <w:sz w:val="16"/>
                <w:szCs w:val="16"/>
                <w:lang w:eastAsia="ru-RU"/>
              </w:rPr>
              <w:t>Вексел</w:t>
            </w:r>
            <w:r>
              <w:rPr>
                <w:sz w:val="16"/>
                <w:szCs w:val="16"/>
                <w:lang w:val="ru-RU" w:eastAsia="ru-RU"/>
              </w:rPr>
              <w:t>я</w:t>
            </w:r>
          </w:p>
        </w:tc>
        <w:tc>
          <w:tcPr>
            <w:tcW w:w="3402" w:type="dxa"/>
            <w:tcBorders>
              <w:top w:val="nil"/>
              <w:left w:val="nil"/>
              <w:bottom w:val="double" w:sz="4" w:space="0" w:color="auto"/>
              <w:right w:val="nil"/>
            </w:tcBorders>
            <w:noWrap/>
            <w:tcMar>
              <w:top w:w="0" w:type="dxa"/>
              <w:left w:w="108" w:type="dxa"/>
              <w:bottom w:w="0" w:type="dxa"/>
              <w:right w:w="108" w:type="dxa"/>
            </w:tcMar>
            <w:vAlign w:val="center"/>
            <w:hideMark/>
          </w:tcPr>
          <w:p w:rsidR="00E362C0" w:rsidRPr="00E362C0" w:rsidRDefault="00E362C0">
            <w:pPr>
              <w:spacing w:line="276" w:lineRule="auto"/>
              <w:jc w:val="center"/>
              <w:rPr>
                <w:rFonts w:eastAsiaTheme="minorHAnsi" w:cs="Arial"/>
                <w:sz w:val="16"/>
                <w:szCs w:val="16"/>
                <w:lang w:val="ru-RU" w:eastAsia="ru-RU"/>
              </w:rPr>
            </w:pPr>
            <w:r>
              <w:rPr>
                <w:rFonts w:cs="Arial"/>
                <w:sz w:val="16"/>
                <w:szCs w:val="16"/>
                <w:lang w:eastAsia="ru-RU"/>
              </w:rPr>
              <w:t>1 263</w:t>
            </w:r>
          </w:p>
        </w:tc>
        <w:tc>
          <w:tcPr>
            <w:tcW w:w="2268" w:type="dxa"/>
            <w:tcBorders>
              <w:top w:val="nil"/>
              <w:left w:val="nil"/>
              <w:bottom w:val="double" w:sz="4" w:space="0" w:color="auto"/>
              <w:right w:val="nil"/>
            </w:tcBorders>
            <w:noWrap/>
            <w:tcMar>
              <w:top w:w="0" w:type="dxa"/>
              <w:left w:w="108" w:type="dxa"/>
              <w:bottom w:w="0" w:type="dxa"/>
              <w:right w:w="108" w:type="dxa"/>
            </w:tcMar>
            <w:vAlign w:val="center"/>
            <w:hideMark/>
          </w:tcPr>
          <w:p w:rsidR="00E362C0" w:rsidRDefault="00E362C0">
            <w:pPr>
              <w:spacing w:line="276" w:lineRule="auto"/>
              <w:jc w:val="center"/>
              <w:rPr>
                <w:rFonts w:eastAsiaTheme="minorHAnsi" w:cs="Arial"/>
                <w:sz w:val="16"/>
                <w:szCs w:val="16"/>
                <w:lang w:eastAsia="ru-RU"/>
              </w:rPr>
            </w:pPr>
            <w:r>
              <w:rPr>
                <w:sz w:val="16"/>
                <w:szCs w:val="16"/>
                <w:lang w:eastAsia="ru-RU"/>
              </w:rPr>
              <w:t>550</w:t>
            </w:r>
          </w:p>
        </w:tc>
      </w:tr>
    </w:tbl>
    <w:p w:rsidR="00E362C0" w:rsidRDefault="00E362C0" w:rsidP="00E362C0">
      <w:pPr>
        <w:jc w:val="both"/>
        <w:rPr>
          <w:sz w:val="20"/>
          <w:szCs w:val="20"/>
          <w:lang w:val="ru-RU"/>
        </w:rPr>
      </w:pPr>
    </w:p>
    <w:p w:rsidR="00E362C0" w:rsidRDefault="00E362C0" w:rsidP="00E362C0">
      <w:pPr>
        <w:jc w:val="both"/>
        <w:rPr>
          <w:sz w:val="20"/>
          <w:szCs w:val="20"/>
          <w:lang w:val="ru-RU"/>
        </w:rPr>
      </w:pPr>
      <w:r w:rsidRPr="00904CCD">
        <w:rPr>
          <w:sz w:val="20"/>
          <w:szCs w:val="20"/>
          <w:lang w:val="ru-RU"/>
        </w:rPr>
        <w:t>В 201</w:t>
      </w:r>
      <w:r>
        <w:rPr>
          <w:sz w:val="20"/>
          <w:szCs w:val="20"/>
          <w:lang w:val="ru-RU"/>
        </w:rPr>
        <w:t>7</w:t>
      </w:r>
      <w:r w:rsidRPr="00904CCD">
        <w:rPr>
          <w:sz w:val="20"/>
          <w:szCs w:val="20"/>
          <w:lang w:val="ru-RU"/>
        </w:rPr>
        <w:t xml:space="preserve"> году Банком </w:t>
      </w:r>
      <w:r w:rsidR="00400EAB">
        <w:rPr>
          <w:sz w:val="20"/>
          <w:szCs w:val="20"/>
          <w:lang w:val="ru-RU"/>
        </w:rPr>
        <w:t xml:space="preserve">выпущен </w:t>
      </w:r>
      <w:r w:rsidRPr="00904CCD">
        <w:rPr>
          <w:sz w:val="20"/>
          <w:szCs w:val="20"/>
          <w:lang w:val="ru-RU"/>
        </w:rPr>
        <w:t>вексель с датой погашения «по предъявлении»</w:t>
      </w:r>
      <w:r>
        <w:rPr>
          <w:sz w:val="20"/>
          <w:szCs w:val="20"/>
          <w:lang w:val="ru-RU"/>
        </w:rPr>
        <w:t>, п</w:t>
      </w:r>
      <w:r w:rsidRPr="00904CCD">
        <w:rPr>
          <w:sz w:val="20"/>
          <w:szCs w:val="20"/>
          <w:lang w:val="ru-RU"/>
        </w:rPr>
        <w:t xml:space="preserve">роцентная ставка установлена в размере </w:t>
      </w:r>
      <w:r>
        <w:rPr>
          <w:sz w:val="20"/>
          <w:szCs w:val="20"/>
          <w:lang w:val="ru-RU"/>
        </w:rPr>
        <w:t>0</w:t>
      </w:r>
      <w:r w:rsidRPr="00904CCD">
        <w:rPr>
          <w:sz w:val="20"/>
          <w:szCs w:val="20"/>
          <w:lang w:val="ru-RU"/>
        </w:rPr>
        <w:t>%</w:t>
      </w:r>
      <w:r>
        <w:rPr>
          <w:sz w:val="20"/>
          <w:szCs w:val="20"/>
          <w:lang w:val="ru-RU"/>
        </w:rPr>
        <w:t xml:space="preserve">. </w:t>
      </w:r>
    </w:p>
    <w:p w:rsidR="00E362C0" w:rsidRDefault="00E362C0" w:rsidP="00E362C0">
      <w:pPr>
        <w:jc w:val="both"/>
        <w:rPr>
          <w:sz w:val="20"/>
          <w:szCs w:val="20"/>
          <w:lang w:val="ru-RU"/>
        </w:rPr>
      </w:pPr>
      <w:r w:rsidRPr="00904CCD">
        <w:rPr>
          <w:sz w:val="20"/>
          <w:szCs w:val="20"/>
          <w:lang w:val="ru-RU"/>
        </w:rPr>
        <w:t>В 201</w:t>
      </w:r>
      <w:r>
        <w:rPr>
          <w:sz w:val="20"/>
          <w:szCs w:val="20"/>
          <w:lang w:val="ru-RU"/>
        </w:rPr>
        <w:t>8</w:t>
      </w:r>
      <w:r w:rsidRPr="00904CCD">
        <w:rPr>
          <w:sz w:val="20"/>
          <w:szCs w:val="20"/>
          <w:lang w:val="ru-RU"/>
        </w:rPr>
        <w:t xml:space="preserve"> году Банком </w:t>
      </w:r>
      <w:r w:rsidR="00400EAB">
        <w:rPr>
          <w:sz w:val="20"/>
          <w:szCs w:val="20"/>
          <w:lang w:val="ru-RU"/>
        </w:rPr>
        <w:t xml:space="preserve">выпущены </w:t>
      </w:r>
      <w:r w:rsidRPr="00904CCD">
        <w:rPr>
          <w:sz w:val="20"/>
          <w:szCs w:val="20"/>
          <w:lang w:val="ru-RU"/>
        </w:rPr>
        <w:t>вексел</w:t>
      </w:r>
      <w:r w:rsidR="00400EAB">
        <w:rPr>
          <w:sz w:val="20"/>
          <w:szCs w:val="20"/>
          <w:lang w:val="ru-RU"/>
        </w:rPr>
        <w:t>я</w:t>
      </w:r>
      <w:r w:rsidRPr="00904CCD">
        <w:rPr>
          <w:sz w:val="20"/>
          <w:szCs w:val="20"/>
          <w:lang w:val="ru-RU"/>
        </w:rPr>
        <w:t xml:space="preserve"> с датой погашения «по предъявлении»</w:t>
      </w:r>
      <w:r>
        <w:rPr>
          <w:sz w:val="20"/>
          <w:szCs w:val="20"/>
          <w:lang w:val="ru-RU"/>
        </w:rPr>
        <w:t>, п</w:t>
      </w:r>
      <w:r w:rsidRPr="00904CCD">
        <w:rPr>
          <w:sz w:val="20"/>
          <w:szCs w:val="20"/>
          <w:lang w:val="ru-RU"/>
        </w:rPr>
        <w:t xml:space="preserve">роцентная ставка установлена в размере </w:t>
      </w:r>
      <w:r>
        <w:rPr>
          <w:sz w:val="20"/>
          <w:szCs w:val="20"/>
          <w:lang w:val="ru-RU"/>
        </w:rPr>
        <w:t>0</w:t>
      </w:r>
      <w:r w:rsidRPr="00904CCD">
        <w:rPr>
          <w:sz w:val="20"/>
          <w:szCs w:val="20"/>
          <w:lang w:val="ru-RU"/>
        </w:rPr>
        <w:t>%</w:t>
      </w:r>
      <w:r>
        <w:rPr>
          <w:sz w:val="20"/>
          <w:szCs w:val="20"/>
          <w:lang w:val="ru-RU"/>
        </w:rPr>
        <w:t xml:space="preserve">. </w:t>
      </w:r>
    </w:p>
    <w:p w:rsidR="00C77E2C" w:rsidRPr="00B73CE7" w:rsidRDefault="00E362C0" w:rsidP="00B73CE7">
      <w:pPr>
        <w:rPr>
          <w:color w:val="1F497D"/>
          <w:sz w:val="22"/>
          <w:szCs w:val="22"/>
          <w:lang w:val="ru-RU"/>
        </w:rPr>
      </w:pPr>
      <w:r w:rsidRPr="00E362C0">
        <w:rPr>
          <w:sz w:val="20"/>
          <w:szCs w:val="20"/>
          <w:lang w:val="ru-RU"/>
        </w:rPr>
        <w:t xml:space="preserve">По состоянию за 31.12.2018 у Банка отсутствуют обязательства по выпущенным </w:t>
      </w:r>
      <w:r>
        <w:rPr>
          <w:sz w:val="20"/>
          <w:szCs w:val="20"/>
          <w:lang w:val="ru-RU"/>
        </w:rPr>
        <w:t>ценным бумагам.</w:t>
      </w:r>
      <w:r w:rsidR="00400EAB" w:rsidRPr="00400EAB">
        <w:rPr>
          <w:rFonts w:eastAsiaTheme="minorHAnsi" w:cs="Arial"/>
          <w:sz w:val="20"/>
          <w:szCs w:val="20"/>
          <w:lang w:val="ru-RU"/>
        </w:rPr>
        <w:t>Выпущенных финансовых инструментов, содержащих долговой и долевой компонент и имеющих встроенные ПФИ, стоимость которых взаимозависима, у Банка нет.</w:t>
      </w:r>
    </w:p>
    <w:p w:rsidR="00B73CE7" w:rsidRDefault="002C40F1" w:rsidP="002C40F1">
      <w:pPr>
        <w:overflowPunct/>
        <w:spacing w:before="200"/>
        <w:jc w:val="both"/>
        <w:textAlignment w:val="auto"/>
        <w:rPr>
          <w:rFonts w:eastAsiaTheme="minorHAnsi" w:cs="Arial"/>
          <w:sz w:val="20"/>
          <w:szCs w:val="20"/>
          <w:lang w:val="ru-RU"/>
        </w:rPr>
      </w:pPr>
      <w:r w:rsidRPr="00400EAB">
        <w:rPr>
          <w:rFonts w:eastAsiaTheme="minorHAnsi" w:cs="Arial"/>
          <w:b/>
          <w:sz w:val="20"/>
          <w:szCs w:val="20"/>
          <w:lang w:val="ru-RU"/>
        </w:rPr>
        <w:t>6.1.23.</w:t>
      </w:r>
      <w:r w:rsidRPr="00400EAB">
        <w:rPr>
          <w:rFonts w:eastAsiaTheme="minorHAnsi" w:cs="Arial"/>
          <w:sz w:val="20"/>
          <w:szCs w:val="20"/>
          <w:lang w:val="ru-RU"/>
        </w:rPr>
        <w:t xml:space="preserve"> </w:t>
      </w:r>
      <w:r w:rsidR="00B73CE7" w:rsidRPr="00B73CE7">
        <w:rPr>
          <w:rFonts w:eastAsiaTheme="minorHAnsi" w:cs="Arial"/>
          <w:b/>
          <w:sz w:val="20"/>
          <w:szCs w:val="20"/>
          <w:lang w:val="ru-RU"/>
        </w:rPr>
        <w:t>Информация об условиях выпуска ценных бумаг, договоров по привлечению денежных средств</w:t>
      </w:r>
    </w:p>
    <w:p w:rsidR="00400EAB" w:rsidRPr="00400EAB" w:rsidRDefault="00400EAB" w:rsidP="002C40F1">
      <w:pPr>
        <w:overflowPunct/>
        <w:spacing w:before="200"/>
        <w:jc w:val="both"/>
        <w:textAlignment w:val="auto"/>
        <w:rPr>
          <w:rFonts w:eastAsiaTheme="minorHAnsi" w:cs="Arial"/>
          <w:sz w:val="20"/>
          <w:szCs w:val="20"/>
          <w:lang w:val="ru-RU"/>
        </w:rPr>
      </w:pPr>
      <w:r w:rsidRPr="00400EAB">
        <w:rPr>
          <w:rFonts w:eastAsiaTheme="minorHAnsi" w:cs="Arial"/>
          <w:sz w:val="20"/>
          <w:szCs w:val="20"/>
          <w:lang w:val="ru-RU"/>
        </w:rPr>
        <w:t xml:space="preserve">У Банка нет </w:t>
      </w:r>
      <w:r w:rsidR="002C40F1" w:rsidRPr="00400EAB">
        <w:rPr>
          <w:rFonts w:eastAsiaTheme="minorHAnsi" w:cs="Arial"/>
          <w:sz w:val="20"/>
          <w:szCs w:val="20"/>
          <w:lang w:val="ru-RU"/>
        </w:rPr>
        <w:t xml:space="preserve">ценных бумаг, договоров по привлечению денежных средств (облигации, еврооблигации кредитных организаций, депозитарные расписки, депозиты, займы, межбанковские кредиты), содержащих условие (условия) по досрочному исполнению </w:t>
      </w:r>
      <w:r>
        <w:rPr>
          <w:rFonts w:eastAsiaTheme="minorHAnsi" w:cs="Arial"/>
          <w:sz w:val="20"/>
          <w:szCs w:val="20"/>
          <w:lang w:val="ru-RU"/>
        </w:rPr>
        <w:t>Банком</w:t>
      </w:r>
      <w:r w:rsidR="002C40F1" w:rsidRPr="00400EAB">
        <w:rPr>
          <w:rFonts w:eastAsiaTheme="minorHAnsi" w:cs="Arial"/>
          <w:sz w:val="20"/>
          <w:szCs w:val="20"/>
          <w:lang w:val="ru-RU"/>
        </w:rPr>
        <w:t xml:space="preserve"> обязательств по возврату денежных средств (драгоценных металлов), выкупу ценных бумаг по обращению кредитора (инвестора) при наступлении условий, не связанных с исполнением третьими лицами обязательств перед </w:t>
      </w:r>
      <w:r>
        <w:rPr>
          <w:rFonts w:eastAsiaTheme="minorHAnsi" w:cs="Arial"/>
          <w:sz w:val="20"/>
          <w:szCs w:val="20"/>
          <w:lang w:val="ru-RU"/>
        </w:rPr>
        <w:t>Банком</w:t>
      </w:r>
      <w:r w:rsidR="002C40F1" w:rsidRPr="00400EAB">
        <w:rPr>
          <w:rFonts w:eastAsiaTheme="minorHAnsi" w:cs="Arial"/>
          <w:sz w:val="20"/>
          <w:szCs w:val="20"/>
          <w:lang w:val="ru-RU"/>
        </w:rPr>
        <w:t>.</w:t>
      </w:r>
    </w:p>
    <w:p w:rsidR="002C40F1" w:rsidRDefault="002C40F1" w:rsidP="000C4231">
      <w:pPr>
        <w:jc w:val="both"/>
        <w:rPr>
          <w:sz w:val="20"/>
          <w:szCs w:val="20"/>
          <w:lang w:val="ru-RU"/>
        </w:rPr>
      </w:pPr>
    </w:p>
    <w:p w:rsidR="00A01AD9" w:rsidRDefault="00A01AD9" w:rsidP="00A01AD9">
      <w:pPr>
        <w:jc w:val="both"/>
        <w:rPr>
          <w:rFonts w:cs="Arial"/>
          <w:b/>
          <w:sz w:val="20"/>
          <w:szCs w:val="20"/>
          <w:lang w:val="ru-RU"/>
        </w:rPr>
      </w:pPr>
      <w:r>
        <w:rPr>
          <w:rFonts w:cs="Arial"/>
          <w:b/>
          <w:sz w:val="20"/>
          <w:szCs w:val="20"/>
          <w:lang w:val="ru-RU"/>
        </w:rPr>
        <w:t>6</w:t>
      </w:r>
      <w:r w:rsidRPr="00E551D8">
        <w:rPr>
          <w:rFonts w:cs="Arial"/>
          <w:b/>
          <w:sz w:val="20"/>
          <w:szCs w:val="20"/>
          <w:lang w:val="ru-RU"/>
        </w:rPr>
        <w:t>.1.2</w:t>
      </w:r>
      <w:r>
        <w:rPr>
          <w:rFonts w:cs="Arial"/>
          <w:b/>
          <w:sz w:val="20"/>
          <w:szCs w:val="20"/>
          <w:lang w:val="ru-RU"/>
        </w:rPr>
        <w:t>4</w:t>
      </w:r>
      <w:r w:rsidRPr="00E551D8">
        <w:rPr>
          <w:rFonts w:cs="Arial"/>
          <w:b/>
          <w:sz w:val="20"/>
          <w:szCs w:val="20"/>
          <w:lang w:val="ru-RU"/>
        </w:rPr>
        <w:t xml:space="preserve">. Информация </w:t>
      </w:r>
      <w:r>
        <w:rPr>
          <w:rFonts w:cs="Arial"/>
          <w:b/>
          <w:sz w:val="20"/>
          <w:szCs w:val="20"/>
          <w:lang w:val="ru-RU"/>
        </w:rPr>
        <w:t>об объеме, структуре и изменении прочих обязательств</w:t>
      </w:r>
    </w:p>
    <w:p w:rsidR="00A01AD9" w:rsidRDefault="00A01AD9" w:rsidP="00A01AD9">
      <w:pPr>
        <w:rPr>
          <w:lang w:val="ru-RU"/>
        </w:rPr>
      </w:pPr>
    </w:p>
    <w:tbl>
      <w:tblPr>
        <w:tblW w:w="9200" w:type="dxa"/>
        <w:tblInd w:w="93" w:type="dxa"/>
        <w:tblLook w:val="04A0" w:firstRow="1" w:lastRow="0" w:firstColumn="1" w:lastColumn="0" w:noHBand="0" w:noVBand="1"/>
      </w:tblPr>
      <w:tblGrid>
        <w:gridCol w:w="3260"/>
        <w:gridCol w:w="1220"/>
        <w:gridCol w:w="1320"/>
        <w:gridCol w:w="1120"/>
        <w:gridCol w:w="1140"/>
        <w:gridCol w:w="1140"/>
      </w:tblGrid>
      <w:tr w:rsidR="00A01AD9" w:rsidRPr="004F4825" w:rsidTr="00A01AD9">
        <w:trPr>
          <w:trHeight w:val="153"/>
          <w:tblHeader/>
        </w:trPr>
        <w:tc>
          <w:tcPr>
            <w:tcW w:w="3260" w:type="dxa"/>
            <w:tcBorders>
              <w:top w:val="single" w:sz="4" w:space="0" w:color="auto"/>
              <w:left w:val="nil"/>
              <w:right w:val="nil"/>
            </w:tcBorders>
            <w:shd w:val="clear" w:color="auto" w:fill="auto"/>
            <w:noWrap/>
            <w:vAlign w:val="bottom"/>
            <w:hideMark/>
          </w:tcPr>
          <w:p w:rsidR="00A01AD9" w:rsidRPr="004F4825" w:rsidRDefault="00A01AD9" w:rsidP="00A01AD9">
            <w:pPr>
              <w:overflowPunct/>
              <w:autoSpaceDE/>
              <w:autoSpaceDN/>
              <w:adjustRightInd/>
              <w:textAlignment w:val="auto"/>
              <w:rPr>
                <w:rFonts w:cs="Arial"/>
                <w:b/>
                <w:bCs/>
                <w:sz w:val="16"/>
                <w:szCs w:val="16"/>
                <w:lang w:val="ru-RU" w:eastAsia="ru-RU"/>
              </w:rPr>
            </w:pPr>
            <w:r w:rsidRPr="004F4825">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p>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3</w:t>
            </w:r>
            <w:r>
              <w:rPr>
                <w:rFonts w:cs="Arial"/>
                <w:b/>
                <w:bCs/>
                <w:sz w:val="16"/>
                <w:szCs w:val="16"/>
                <w:lang w:val="ru-RU" w:eastAsia="ru-RU"/>
              </w:rPr>
              <w:t>1</w:t>
            </w:r>
            <w:r w:rsidRPr="004F4825">
              <w:rPr>
                <w:rFonts w:cs="Arial"/>
                <w:b/>
                <w:bCs/>
                <w:sz w:val="16"/>
                <w:szCs w:val="16"/>
                <w:lang w:val="ru-RU" w:eastAsia="ru-RU"/>
              </w:rPr>
              <w:t>.</w:t>
            </w:r>
            <w:r>
              <w:rPr>
                <w:rFonts w:cs="Arial"/>
                <w:b/>
                <w:bCs/>
                <w:sz w:val="16"/>
                <w:szCs w:val="16"/>
                <w:lang w:val="ru-RU" w:eastAsia="ru-RU"/>
              </w:rPr>
              <w:t>12</w:t>
            </w:r>
            <w:r w:rsidRPr="004F4825">
              <w:rPr>
                <w:rFonts w:cs="Arial"/>
                <w:b/>
                <w:bCs/>
                <w:sz w:val="16"/>
                <w:szCs w:val="16"/>
                <w:lang w:val="ru-RU" w:eastAsia="ru-RU"/>
              </w:rPr>
              <w:t>.2018</w:t>
            </w:r>
          </w:p>
        </w:tc>
      </w:tr>
      <w:tr w:rsidR="00A01AD9" w:rsidRPr="004F4825" w:rsidTr="00A01AD9">
        <w:trPr>
          <w:trHeight w:val="225"/>
          <w:tblHeader/>
        </w:trPr>
        <w:tc>
          <w:tcPr>
            <w:tcW w:w="3260" w:type="dxa"/>
            <w:tcBorders>
              <w:left w:val="nil"/>
              <w:right w:val="nil"/>
            </w:tcBorders>
            <w:shd w:val="clear" w:color="auto" w:fill="auto"/>
            <w:noWrap/>
            <w:vAlign w:val="bottom"/>
            <w:hideMark/>
          </w:tcPr>
          <w:p w:rsidR="00A01AD9" w:rsidRPr="004F4825" w:rsidRDefault="00A01AD9" w:rsidP="00A01AD9">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сумма обязательств</w:t>
            </w:r>
          </w:p>
        </w:tc>
        <w:tc>
          <w:tcPr>
            <w:tcW w:w="2280" w:type="dxa"/>
            <w:gridSpan w:val="2"/>
            <w:tcBorders>
              <w:top w:val="single" w:sz="8" w:space="0" w:color="auto"/>
              <w:left w:val="nil"/>
              <w:right w:val="nil"/>
            </w:tcBorders>
            <w:shd w:val="clear" w:color="auto" w:fill="auto"/>
            <w:noWrap/>
            <w:vAlign w:val="bottom"/>
            <w:hideMark/>
          </w:tcPr>
          <w:p w:rsidR="00A01AD9" w:rsidRPr="004F4825" w:rsidRDefault="00A01AD9" w:rsidP="00A01AD9">
            <w:pPr>
              <w:overflowPunct/>
              <w:autoSpaceDE/>
              <w:autoSpaceDN/>
              <w:adjustRightInd/>
              <w:textAlignment w:val="auto"/>
              <w:rPr>
                <w:rFonts w:cs="Arial"/>
                <w:b/>
                <w:bCs/>
                <w:sz w:val="16"/>
                <w:szCs w:val="16"/>
                <w:lang w:val="ru-RU" w:eastAsia="ru-RU"/>
              </w:rPr>
            </w:pPr>
            <w:r w:rsidRPr="004F4825">
              <w:rPr>
                <w:rFonts w:cs="Arial"/>
                <w:b/>
                <w:bCs/>
                <w:sz w:val="16"/>
                <w:szCs w:val="16"/>
                <w:lang w:val="ru-RU" w:eastAsia="ru-RU"/>
              </w:rPr>
              <w:t xml:space="preserve">по срокам </w:t>
            </w:r>
            <w:r>
              <w:rPr>
                <w:rFonts w:cs="Arial"/>
                <w:b/>
                <w:bCs/>
                <w:sz w:val="16"/>
                <w:szCs w:val="16"/>
                <w:lang w:val="ru-RU" w:eastAsia="ru-RU"/>
              </w:rPr>
              <w:t xml:space="preserve">      </w:t>
            </w:r>
            <w:r w:rsidRPr="004F4825">
              <w:rPr>
                <w:rFonts w:cs="Arial"/>
                <w:b/>
                <w:bCs/>
                <w:sz w:val="16"/>
                <w:szCs w:val="16"/>
                <w:lang w:val="ru-RU" w:eastAsia="ru-RU"/>
              </w:rPr>
              <w:t>погашения</w:t>
            </w:r>
          </w:p>
        </w:tc>
      </w:tr>
      <w:tr w:rsidR="00A01AD9" w:rsidRPr="004F4825" w:rsidTr="00A01AD9">
        <w:trPr>
          <w:trHeight w:val="329"/>
          <w:tblHeader/>
        </w:trPr>
        <w:tc>
          <w:tcPr>
            <w:tcW w:w="326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textAlignment w:val="auto"/>
              <w:rPr>
                <w:rFonts w:cs="Arial"/>
                <w:b/>
                <w:bCs/>
                <w:sz w:val="16"/>
                <w:szCs w:val="16"/>
                <w:lang w:val="ru-RU" w:eastAsia="ru-RU"/>
              </w:rPr>
            </w:pPr>
            <w:r w:rsidRPr="004F4825">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rsidR="00A01AD9" w:rsidRPr="004F4825" w:rsidRDefault="00A01AD9" w:rsidP="00A01AD9">
            <w:pPr>
              <w:overflowPunct/>
              <w:autoSpaceDE/>
              <w:autoSpaceDN/>
              <w:adjustRightInd/>
              <w:jc w:val="center"/>
              <w:textAlignment w:val="auto"/>
              <w:rPr>
                <w:rFonts w:cs="Arial"/>
                <w:b/>
                <w:bCs/>
                <w:sz w:val="16"/>
                <w:szCs w:val="16"/>
                <w:lang w:val="ru-RU" w:eastAsia="ru-RU"/>
              </w:rPr>
            </w:pPr>
            <w:r w:rsidRPr="004F4825">
              <w:rPr>
                <w:rFonts w:cs="Arial"/>
                <w:b/>
                <w:bCs/>
                <w:sz w:val="16"/>
                <w:szCs w:val="16"/>
                <w:lang w:val="ru-RU" w:eastAsia="ru-RU"/>
              </w:rPr>
              <w:t>более 1 года</w:t>
            </w:r>
          </w:p>
        </w:tc>
      </w:tr>
      <w:tr w:rsidR="00A01AD9" w:rsidRPr="00746846" w:rsidTr="00A01AD9">
        <w:trPr>
          <w:trHeight w:val="499"/>
        </w:trPr>
        <w:tc>
          <w:tcPr>
            <w:tcW w:w="3260" w:type="dxa"/>
            <w:tcBorders>
              <w:left w:val="nil"/>
              <w:bottom w:val="nil"/>
              <w:right w:val="nil"/>
            </w:tcBorders>
            <w:shd w:val="clear" w:color="auto" w:fill="auto"/>
            <w:vAlign w:val="bottom"/>
            <w:hideMark/>
          </w:tcPr>
          <w:p w:rsidR="00A01AD9" w:rsidRPr="004F4825" w:rsidRDefault="00A01AD9" w:rsidP="00A01AD9">
            <w:pPr>
              <w:overflowPunct/>
              <w:autoSpaceDE/>
              <w:autoSpaceDN/>
              <w:adjustRightInd/>
              <w:textAlignment w:val="auto"/>
              <w:rPr>
                <w:rFonts w:cs="Arial"/>
                <w:sz w:val="16"/>
                <w:szCs w:val="16"/>
                <w:lang w:val="ru-RU" w:eastAsia="ru-RU"/>
              </w:rPr>
            </w:pPr>
            <w:r w:rsidRPr="004F4825">
              <w:rPr>
                <w:rFonts w:cs="Arial"/>
                <w:sz w:val="16"/>
                <w:szCs w:val="16"/>
                <w:lang w:val="ru-RU" w:eastAsia="ru-RU"/>
              </w:rPr>
              <w:t>незавершенные расчеты с операторами услуг платежной инфраструктуры</w:t>
            </w:r>
          </w:p>
        </w:tc>
        <w:tc>
          <w:tcPr>
            <w:tcW w:w="1220" w:type="dxa"/>
            <w:tcBorders>
              <w:left w:val="nil"/>
              <w:bottom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42 715</w:t>
            </w:r>
          </w:p>
        </w:tc>
        <w:tc>
          <w:tcPr>
            <w:tcW w:w="1320" w:type="dxa"/>
            <w:tcBorders>
              <w:left w:val="nil"/>
              <w:bottom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(7 277)</w:t>
            </w:r>
          </w:p>
        </w:tc>
        <w:tc>
          <w:tcPr>
            <w:tcW w:w="1120" w:type="dxa"/>
            <w:tcBorders>
              <w:left w:val="nil"/>
              <w:bottom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sz w:val="16"/>
                <w:szCs w:val="16"/>
                <w:lang w:val="ru-RU" w:eastAsia="ru-RU"/>
              </w:rPr>
            </w:pPr>
            <w:r w:rsidRPr="004F4825">
              <w:rPr>
                <w:rFonts w:cs="Arial"/>
                <w:sz w:val="16"/>
                <w:szCs w:val="16"/>
                <w:lang w:val="ru-RU" w:eastAsia="ru-RU"/>
              </w:rPr>
              <w:t>(</w:t>
            </w:r>
            <w:r>
              <w:rPr>
                <w:rFonts w:cs="Arial"/>
                <w:sz w:val="16"/>
                <w:szCs w:val="16"/>
                <w:lang w:val="ru-RU" w:eastAsia="ru-RU"/>
              </w:rPr>
              <w:t>12 080</w:t>
            </w:r>
            <w:r w:rsidRPr="004F4825">
              <w:rPr>
                <w:rFonts w:cs="Arial"/>
                <w:sz w:val="16"/>
                <w:szCs w:val="16"/>
                <w:lang w:val="ru-RU" w:eastAsia="ru-RU"/>
              </w:rPr>
              <w:t>)</w:t>
            </w:r>
          </w:p>
        </w:tc>
        <w:tc>
          <w:tcPr>
            <w:tcW w:w="1140" w:type="dxa"/>
            <w:tcBorders>
              <w:left w:val="nil"/>
              <w:bottom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23 358</w:t>
            </w:r>
          </w:p>
        </w:tc>
        <w:tc>
          <w:tcPr>
            <w:tcW w:w="1140" w:type="dxa"/>
            <w:tcBorders>
              <w:left w:val="nil"/>
              <w:bottom w:val="nil"/>
              <w:right w:val="nil"/>
            </w:tcBorders>
            <w:shd w:val="clear" w:color="auto" w:fill="auto"/>
            <w:noWrap/>
            <w:vAlign w:val="bottom"/>
            <w:hideMark/>
          </w:tcPr>
          <w:p w:rsidR="00A01AD9" w:rsidRPr="004F4825" w:rsidRDefault="00A01AD9" w:rsidP="00A01AD9">
            <w:pPr>
              <w:overflowPunct/>
              <w:autoSpaceDE/>
              <w:autoSpaceDN/>
              <w:adjustRightInd/>
              <w:jc w:val="center"/>
              <w:textAlignment w:val="auto"/>
              <w:rPr>
                <w:rFonts w:cs="Arial"/>
                <w:sz w:val="16"/>
                <w:szCs w:val="16"/>
                <w:lang w:val="ru-RU" w:eastAsia="ru-RU"/>
              </w:rPr>
            </w:pPr>
            <w:r w:rsidRPr="004F4825">
              <w:rPr>
                <w:rFonts w:cs="Arial"/>
                <w:sz w:val="16"/>
                <w:szCs w:val="16"/>
                <w:lang w:val="ru-RU" w:eastAsia="ru-RU"/>
              </w:rPr>
              <w:t>-</w:t>
            </w:r>
          </w:p>
        </w:tc>
      </w:tr>
      <w:tr w:rsidR="00A01AD9" w:rsidRPr="00746846" w:rsidTr="00A01AD9">
        <w:trPr>
          <w:trHeight w:val="689"/>
        </w:trPr>
        <w:tc>
          <w:tcPr>
            <w:tcW w:w="3260" w:type="dxa"/>
            <w:tcBorders>
              <w:top w:val="nil"/>
              <w:left w:val="nil"/>
              <w:bottom w:val="nil"/>
              <w:right w:val="nil"/>
            </w:tcBorders>
            <w:shd w:val="clear" w:color="auto" w:fill="auto"/>
            <w:vAlign w:val="bottom"/>
            <w:hideMark/>
          </w:tcPr>
          <w:p w:rsidR="00A01AD9" w:rsidRPr="00B740EA" w:rsidRDefault="00A01AD9" w:rsidP="00A01AD9">
            <w:pPr>
              <w:overflowPunct/>
              <w:autoSpaceDE/>
              <w:autoSpaceDN/>
              <w:adjustRightInd/>
              <w:textAlignment w:val="auto"/>
              <w:rPr>
                <w:rFonts w:cs="Arial"/>
                <w:sz w:val="16"/>
                <w:szCs w:val="16"/>
                <w:lang w:val="ru-RU" w:eastAsia="ru-RU"/>
              </w:rPr>
            </w:pPr>
            <w:r w:rsidRPr="00B740EA">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90 709</w:t>
            </w:r>
          </w:p>
        </w:tc>
        <w:tc>
          <w:tcPr>
            <w:tcW w:w="13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90 709</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r>
      <w:tr w:rsidR="00A01AD9" w:rsidRPr="00746846" w:rsidTr="00A01AD9">
        <w:trPr>
          <w:trHeight w:val="252"/>
        </w:trPr>
        <w:tc>
          <w:tcPr>
            <w:tcW w:w="3260" w:type="dxa"/>
            <w:tcBorders>
              <w:top w:val="nil"/>
              <w:left w:val="nil"/>
              <w:bottom w:val="nil"/>
              <w:right w:val="nil"/>
            </w:tcBorders>
            <w:shd w:val="clear" w:color="auto" w:fill="auto"/>
            <w:vAlign w:val="bottom"/>
            <w:hideMark/>
          </w:tcPr>
          <w:p w:rsidR="00A01AD9" w:rsidRPr="00B740EA" w:rsidRDefault="00A01AD9" w:rsidP="00A01AD9">
            <w:pPr>
              <w:overflowPunct/>
              <w:autoSpaceDE/>
              <w:autoSpaceDN/>
              <w:adjustRightInd/>
              <w:textAlignment w:val="auto"/>
              <w:rPr>
                <w:rFonts w:cs="Arial"/>
                <w:sz w:val="16"/>
                <w:szCs w:val="16"/>
                <w:lang w:val="ru-RU" w:eastAsia="ru-RU"/>
              </w:rPr>
            </w:pPr>
            <w:r w:rsidRPr="00B740EA">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r>
      <w:tr w:rsidR="00A01AD9" w:rsidRPr="00746846" w:rsidTr="00A01AD9">
        <w:trPr>
          <w:trHeight w:val="80"/>
        </w:trPr>
        <w:tc>
          <w:tcPr>
            <w:tcW w:w="3260" w:type="dxa"/>
            <w:tcBorders>
              <w:top w:val="nil"/>
              <w:left w:val="nil"/>
              <w:bottom w:val="nil"/>
              <w:right w:val="nil"/>
            </w:tcBorders>
            <w:shd w:val="clear" w:color="auto" w:fill="auto"/>
            <w:vAlign w:val="bottom"/>
            <w:hideMark/>
          </w:tcPr>
          <w:p w:rsidR="00A01AD9" w:rsidRPr="00B740EA" w:rsidRDefault="00A01AD9" w:rsidP="00A01AD9">
            <w:pPr>
              <w:overflowPunct/>
              <w:autoSpaceDE/>
              <w:autoSpaceDN/>
              <w:adjustRightInd/>
              <w:textAlignment w:val="auto"/>
              <w:rPr>
                <w:rFonts w:cs="Arial"/>
                <w:sz w:val="16"/>
                <w:szCs w:val="16"/>
                <w:lang w:val="ru-RU" w:eastAsia="ru-RU"/>
              </w:rPr>
            </w:pPr>
            <w:r w:rsidRPr="00B740EA">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680</w:t>
            </w:r>
          </w:p>
        </w:tc>
        <w:tc>
          <w:tcPr>
            <w:tcW w:w="13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680</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r>
      <w:tr w:rsidR="00A01AD9" w:rsidRPr="00746846" w:rsidTr="00A01AD9">
        <w:trPr>
          <w:trHeight w:val="80"/>
        </w:trPr>
        <w:tc>
          <w:tcPr>
            <w:tcW w:w="3260" w:type="dxa"/>
            <w:tcBorders>
              <w:top w:val="nil"/>
              <w:left w:val="nil"/>
              <w:bottom w:val="nil"/>
              <w:right w:val="nil"/>
            </w:tcBorders>
            <w:shd w:val="clear" w:color="auto" w:fill="auto"/>
            <w:vAlign w:val="bottom"/>
            <w:hideMark/>
          </w:tcPr>
          <w:p w:rsidR="00A01AD9" w:rsidRPr="00B740EA" w:rsidRDefault="00A01AD9" w:rsidP="00A01AD9">
            <w:pPr>
              <w:overflowPunct/>
              <w:autoSpaceDE/>
              <w:autoSpaceDN/>
              <w:adjustRightInd/>
              <w:textAlignment w:val="auto"/>
              <w:rPr>
                <w:rFonts w:cs="Arial"/>
                <w:sz w:val="16"/>
                <w:szCs w:val="16"/>
                <w:lang w:val="ru-RU" w:eastAsia="ru-RU"/>
              </w:rPr>
            </w:pPr>
            <w:r w:rsidRPr="00B740EA">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564</w:t>
            </w:r>
          </w:p>
        </w:tc>
        <w:tc>
          <w:tcPr>
            <w:tcW w:w="13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564</w:t>
            </w:r>
          </w:p>
        </w:tc>
        <w:tc>
          <w:tcPr>
            <w:tcW w:w="1140" w:type="dxa"/>
            <w:tcBorders>
              <w:top w:val="nil"/>
              <w:left w:val="nil"/>
              <w:bottom w:val="nil"/>
              <w:right w:val="nil"/>
            </w:tcBorders>
            <w:shd w:val="clear" w:color="auto" w:fill="auto"/>
            <w:noWrap/>
            <w:vAlign w:val="bottom"/>
            <w:hideMark/>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r>
      <w:tr w:rsidR="00A01AD9" w:rsidRPr="00746846" w:rsidTr="00A01AD9">
        <w:trPr>
          <w:trHeight w:val="252"/>
        </w:trPr>
        <w:tc>
          <w:tcPr>
            <w:tcW w:w="3260" w:type="dxa"/>
            <w:tcBorders>
              <w:top w:val="nil"/>
              <w:left w:val="nil"/>
              <w:bottom w:val="nil"/>
              <w:right w:val="nil"/>
            </w:tcBorders>
            <w:shd w:val="clear" w:color="auto" w:fill="auto"/>
            <w:vAlign w:val="bottom"/>
          </w:tcPr>
          <w:p w:rsidR="00A01AD9" w:rsidRPr="00B740EA" w:rsidRDefault="00A01AD9" w:rsidP="00A01AD9">
            <w:pPr>
              <w:overflowPunct/>
              <w:autoSpaceDE/>
              <w:autoSpaceDN/>
              <w:adjustRightInd/>
              <w:textAlignment w:val="auto"/>
              <w:rPr>
                <w:rFonts w:cs="Arial"/>
                <w:sz w:val="16"/>
                <w:szCs w:val="16"/>
                <w:lang w:val="ru-RU" w:eastAsia="ru-RU"/>
              </w:rPr>
            </w:pPr>
            <w:r w:rsidRPr="00B740EA">
              <w:rPr>
                <w:rFonts w:cs="Arial"/>
                <w:sz w:val="16"/>
                <w:szCs w:val="16"/>
                <w:lang w:val="ru-RU" w:eastAsia="ru-RU"/>
              </w:rPr>
              <w:t>- суммы, поступившие на корреспондентские счета, до выяснения</w:t>
            </w:r>
          </w:p>
        </w:tc>
        <w:tc>
          <w:tcPr>
            <w:tcW w:w="1220" w:type="dxa"/>
            <w:tcBorders>
              <w:top w:val="nil"/>
              <w:left w:val="nil"/>
              <w:bottom w:val="nil"/>
              <w:right w:val="nil"/>
            </w:tcBorders>
            <w:shd w:val="clear" w:color="auto" w:fill="auto"/>
            <w:noWrap/>
            <w:vAlign w:val="bottom"/>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204</w:t>
            </w:r>
          </w:p>
        </w:tc>
        <w:tc>
          <w:tcPr>
            <w:tcW w:w="1320" w:type="dxa"/>
            <w:tcBorders>
              <w:top w:val="nil"/>
              <w:left w:val="nil"/>
              <w:bottom w:val="nil"/>
              <w:right w:val="nil"/>
            </w:tcBorders>
            <w:shd w:val="clear" w:color="auto" w:fill="auto"/>
            <w:noWrap/>
            <w:vAlign w:val="bottom"/>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rsidR="00A01AD9" w:rsidRPr="00B740EA"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204</w:t>
            </w:r>
          </w:p>
        </w:tc>
        <w:tc>
          <w:tcPr>
            <w:tcW w:w="1140" w:type="dxa"/>
            <w:tcBorders>
              <w:top w:val="nil"/>
              <w:left w:val="nil"/>
              <w:bottom w:val="nil"/>
              <w:right w:val="nil"/>
            </w:tcBorders>
            <w:shd w:val="clear" w:color="auto" w:fill="auto"/>
            <w:noWrap/>
            <w:vAlign w:val="bottom"/>
          </w:tcPr>
          <w:p w:rsidR="00A01AD9" w:rsidRPr="00B740EA" w:rsidRDefault="00A01AD9" w:rsidP="00A01AD9">
            <w:pPr>
              <w:overflowPunct/>
              <w:autoSpaceDE/>
              <w:autoSpaceDN/>
              <w:adjustRightInd/>
              <w:jc w:val="center"/>
              <w:textAlignment w:val="auto"/>
              <w:rPr>
                <w:rFonts w:cs="Arial"/>
                <w:sz w:val="16"/>
                <w:szCs w:val="16"/>
                <w:lang w:val="ru-RU" w:eastAsia="ru-RU"/>
              </w:rPr>
            </w:pPr>
            <w:r w:rsidRPr="00B740EA">
              <w:rPr>
                <w:rFonts w:cs="Arial"/>
                <w:sz w:val="16"/>
                <w:szCs w:val="16"/>
                <w:lang w:val="ru-RU" w:eastAsia="ru-RU"/>
              </w:rPr>
              <w:t>-</w:t>
            </w:r>
          </w:p>
        </w:tc>
      </w:tr>
      <w:tr w:rsidR="00A01AD9" w:rsidRPr="00746846" w:rsidTr="00A01AD9">
        <w:trPr>
          <w:trHeight w:val="252"/>
        </w:trPr>
        <w:tc>
          <w:tcPr>
            <w:tcW w:w="3260" w:type="dxa"/>
            <w:tcBorders>
              <w:top w:val="nil"/>
              <w:left w:val="nil"/>
              <w:bottom w:val="nil"/>
              <w:right w:val="nil"/>
            </w:tcBorders>
            <w:shd w:val="clear" w:color="auto" w:fill="auto"/>
            <w:vAlign w:val="bottom"/>
            <w:hideMark/>
          </w:tcPr>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p>
        </w:tc>
      </w:tr>
      <w:tr w:rsidR="00A01AD9" w:rsidRPr="00746846" w:rsidTr="00A01AD9">
        <w:trPr>
          <w:trHeight w:val="94"/>
        </w:trPr>
        <w:tc>
          <w:tcPr>
            <w:tcW w:w="3260" w:type="dxa"/>
            <w:tcBorders>
              <w:top w:val="nil"/>
              <w:left w:val="nil"/>
              <w:bottom w:val="nil"/>
              <w:right w:val="nil"/>
            </w:tcBorders>
            <w:shd w:val="clear" w:color="auto" w:fill="auto"/>
            <w:vAlign w:val="bottom"/>
            <w:hideMark/>
          </w:tcPr>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27 411</w:t>
            </w:r>
          </w:p>
        </w:tc>
        <w:tc>
          <w:tcPr>
            <w:tcW w:w="13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27 411</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r>
      <w:tr w:rsidR="00A01AD9" w:rsidRPr="00746846" w:rsidTr="00A01AD9">
        <w:trPr>
          <w:trHeight w:val="267"/>
        </w:trPr>
        <w:tc>
          <w:tcPr>
            <w:tcW w:w="3260" w:type="dxa"/>
            <w:tcBorders>
              <w:top w:val="nil"/>
              <w:left w:val="nil"/>
              <w:bottom w:val="nil"/>
              <w:right w:val="nil"/>
            </w:tcBorders>
            <w:shd w:val="clear" w:color="auto" w:fill="auto"/>
            <w:vAlign w:val="bottom"/>
            <w:hideMark/>
          </w:tcPr>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 обязательства по выплате краткосрочных вознаграждений работникам, расчеты по социальному страхованию и обеспечению</w:t>
            </w:r>
          </w:p>
        </w:tc>
        <w:tc>
          <w:tcPr>
            <w:tcW w:w="12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67 236</w:t>
            </w:r>
          </w:p>
        </w:tc>
        <w:tc>
          <w:tcPr>
            <w:tcW w:w="13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67 236</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r>
      <w:tr w:rsidR="00A01AD9" w:rsidRPr="00746846" w:rsidTr="00A01AD9">
        <w:trPr>
          <w:trHeight w:val="80"/>
        </w:trPr>
        <w:tc>
          <w:tcPr>
            <w:tcW w:w="3260" w:type="dxa"/>
            <w:tcBorders>
              <w:top w:val="nil"/>
              <w:left w:val="nil"/>
              <w:bottom w:val="nil"/>
              <w:right w:val="nil"/>
            </w:tcBorders>
            <w:shd w:val="clear" w:color="auto" w:fill="auto"/>
            <w:vAlign w:val="bottom"/>
            <w:hideMark/>
          </w:tcPr>
          <w:p w:rsidR="00A01AD9" w:rsidRDefault="00A01AD9" w:rsidP="00A01AD9">
            <w:pPr>
              <w:overflowPunct/>
              <w:autoSpaceDE/>
              <w:autoSpaceDN/>
              <w:adjustRightInd/>
              <w:textAlignment w:val="auto"/>
              <w:rPr>
                <w:rFonts w:cs="Arial"/>
                <w:sz w:val="16"/>
                <w:szCs w:val="16"/>
                <w:lang w:val="ru-RU" w:eastAsia="ru-RU"/>
              </w:rPr>
            </w:pPr>
          </w:p>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10 486</w:t>
            </w:r>
          </w:p>
        </w:tc>
        <w:tc>
          <w:tcPr>
            <w:tcW w:w="13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10 486</w:t>
            </w:r>
          </w:p>
        </w:tc>
        <w:tc>
          <w:tcPr>
            <w:tcW w:w="1140" w:type="dxa"/>
            <w:tcBorders>
              <w:top w:val="nil"/>
              <w:left w:val="nil"/>
              <w:bottom w:val="nil"/>
              <w:right w:val="nil"/>
            </w:tcBorders>
            <w:shd w:val="clear" w:color="auto" w:fill="auto"/>
            <w:noWrap/>
            <w:vAlign w:val="bottom"/>
            <w:hideMark/>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r>
      <w:tr w:rsidR="00A01AD9" w:rsidRPr="00746846" w:rsidTr="00A01AD9">
        <w:trPr>
          <w:trHeight w:val="80"/>
        </w:trPr>
        <w:tc>
          <w:tcPr>
            <w:tcW w:w="3260" w:type="dxa"/>
            <w:tcBorders>
              <w:top w:val="nil"/>
              <w:left w:val="nil"/>
              <w:bottom w:val="nil"/>
              <w:right w:val="nil"/>
            </w:tcBorders>
            <w:shd w:val="clear" w:color="auto" w:fill="auto"/>
            <w:vAlign w:val="bottom"/>
          </w:tcPr>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 расчеты с акционерами (участниками) по дивидендам</w:t>
            </w:r>
          </w:p>
        </w:tc>
        <w:tc>
          <w:tcPr>
            <w:tcW w:w="1220" w:type="dxa"/>
            <w:tcBorders>
              <w:top w:val="nil"/>
              <w:left w:val="nil"/>
              <w:bottom w:val="nil"/>
              <w:right w:val="nil"/>
            </w:tcBorders>
            <w:shd w:val="clear" w:color="auto" w:fill="auto"/>
            <w:noWrap/>
            <w:vAlign w:val="bottom"/>
          </w:tcPr>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1 183</w:t>
            </w:r>
          </w:p>
        </w:tc>
        <w:tc>
          <w:tcPr>
            <w:tcW w:w="1320" w:type="dxa"/>
            <w:tcBorders>
              <w:top w:val="nil"/>
              <w:left w:val="nil"/>
              <w:bottom w:val="nil"/>
              <w:right w:val="nil"/>
            </w:tcBorders>
            <w:shd w:val="clear" w:color="auto" w:fill="auto"/>
            <w:noWrap/>
            <w:vAlign w:val="bottom"/>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 xml:space="preserve">1 </w:t>
            </w:r>
            <w:r>
              <w:rPr>
                <w:rFonts w:cs="Arial"/>
                <w:sz w:val="16"/>
                <w:szCs w:val="16"/>
                <w:lang w:val="ru-RU" w:eastAsia="ru-RU"/>
              </w:rPr>
              <w:t>183</w:t>
            </w:r>
          </w:p>
        </w:tc>
        <w:tc>
          <w:tcPr>
            <w:tcW w:w="1140" w:type="dxa"/>
            <w:tcBorders>
              <w:top w:val="nil"/>
              <w:left w:val="nil"/>
              <w:bottom w:val="nil"/>
              <w:right w:val="nil"/>
            </w:tcBorders>
            <w:shd w:val="clear" w:color="auto" w:fill="auto"/>
            <w:noWrap/>
            <w:vAlign w:val="bottom"/>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r>
      <w:tr w:rsidR="00A01AD9" w:rsidRPr="00746846" w:rsidTr="00A01AD9">
        <w:trPr>
          <w:trHeight w:val="252"/>
        </w:trPr>
        <w:tc>
          <w:tcPr>
            <w:tcW w:w="3260" w:type="dxa"/>
            <w:tcBorders>
              <w:top w:val="nil"/>
              <w:left w:val="nil"/>
              <w:bottom w:val="nil"/>
              <w:right w:val="nil"/>
            </w:tcBorders>
            <w:shd w:val="clear" w:color="auto" w:fill="auto"/>
          </w:tcPr>
          <w:p w:rsidR="00A01AD9" w:rsidRPr="00CD3791" w:rsidRDefault="00A01AD9" w:rsidP="00A01AD9">
            <w:pPr>
              <w:overflowPunct/>
              <w:autoSpaceDE/>
              <w:autoSpaceDN/>
              <w:adjustRightInd/>
              <w:textAlignment w:val="auto"/>
              <w:rPr>
                <w:rFonts w:cs="Arial"/>
                <w:sz w:val="16"/>
                <w:szCs w:val="16"/>
                <w:lang w:val="ru-RU" w:eastAsia="ru-RU"/>
              </w:rPr>
            </w:pPr>
            <w:r w:rsidRPr="00CD3791">
              <w:rPr>
                <w:rFonts w:cs="Arial"/>
                <w:sz w:val="16"/>
                <w:szCs w:val="16"/>
                <w:lang w:val="ru-RU" w:eastAsia="ru-RU"/>
              </w:rPr>
              <w:t>резервы-оценочные обязательства некредитного характера</w:t>
            </w:r>
          </w:p>
        </w:tc>
        <w:tc>
          <w:tcPr>
            <w:tcW w:w="1220" w:type="dxa"/>
            <w:tcBorders>
              <w:top w:val="nil"/>
              <w:left w:val="nil"/>
              <w:bottom w:val="nil"/>
              <w:right w:val="nil"/>
            </w:tcBorders>
            <w:shd w:val="clear" w:color="auto" w:fill="auto"/>
            <w:noWrap/>
          </w:tcPr>
          <w:p w:rsidR="00A01AD9" w:rsidRPr="00CD3791" w:rsidRDefault="00A01AD9" w:rsidP="00A01AD9">
            <w:pPr>
              <w:overflowPunct/>
              <w:autoSpaceDE/>
              <w:autoSpaceDN/>
              <w:adjustRightInd/>
              <w:jc w:val="center"/>
              <w:textAlignment w:val="auto"/>
              <w:rPr>
                <w:rFonts w:cs="Arial"/>
                <w:sz w:val="16"/>
                <w:szCs w:val="16"/>
                <w:lang w:val="ru-RU" w:eastAsia="ru-RU"/>
              </w:rPr>
            </w:pPr>
          </w:p>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996</w:t>
            </w:r>
          </w:p>
        </w:tc>
        <w:tc>
          <w:tcPr>
            <w:tcW w:w="1320" w:type="dxa"/>
            <w:tcBorders>
              <w:top w:val="nil"/>
              <w:left w:val="nil"/>
              <w:bottom w:val="nil"/>
              <w:right w:val="nil"/>
            </w:tcBorders>
            <w:shd w:val="clear" w:color="auto" w:fill="auto"/>
            <w:noWrap/>
          </w:tcPr>
          <w:p w:rsidR="00A01AD9" w:rsidRPr="00CD3791" w:rsidRDefault="00A01AD9" w:rsidP="00A01AD9">
            <w:pPr>
              <w:overflowPunct/>
              <w:autoSpaceDE/>
              <w:autoSpaceDN/>
              <w:adjustRightInd/>
              <w:jc w:val="center"/>
              <w:textAlignment w:val="auto"/>
              <w:rPr>
                <w:rFonts w:cs="Arial"/>
                <w:sz w:val="16"/>
                <w:szCs w:val="16"/>
                <w:lang w:val="ru-RU" w:eastAsia="ru-RU"/>
              </w:rPr>
            </w:pPr>
          </w:p>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20" w:type="dxa"/>
            <w:tcBorders>
              <w:top w:val="nil"/>
              <w:left w:val="nil"/>
              <w:bottom w:val="nil"/>
              <w:right w:val="nil"/>
            </w:tcBorders>
            <w:shd w:val="clear" w:color="auto" w:fill="auto"/>
            <w:noWrap/>
          </w:tcPr>
          <w:p w:rsidR="00A01AD9" w:rsidRPr="00CD3791" w:rsidRDefault="00A01AD9" w:rsidP="00A01AD9">
            <w:pPr>
              <w:overflowPunct/>
              <w:autoSpaceDE/>
              <w:autoSpaceDN/>
              <w:adjustRightInd/>
              <w:jc w:val="center"/>
              <w:textAlignment w:val="auto"/>
              <w:rPr>
                <w:rFonts w:cs="Arial"/>
                <w:sz w:val="16"/>
                <w:szCs w:val="16"/>
                <w:lang w:val="ru-RU" w:eastAsia="ru-RU"/>
              </w:rPr>
            </w:pPr>
          </w:p>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c>
          <w:tcPr>
            <w:tcW w:w="1140" w:type="dxa"/>
            <w:tcBorders>
              <w:top w:val="nil"/>
              <w:left w:val="nil"/>
              <w:bottom w:val="nil"/>
              <w:right w:val="nil"/>
            </w:tcBorders>
            <w:shd w:val="clear" w:color="auto" w:fill="auto"/>
            <w:noWrap/>
          </w:tcPr>
          <w:p w:rsidR="00A01AD9" w:rsidRPr="00CD3791" w:rsidRDefault="00A01AD9" w:rsidP="00A01AD9">
            <w:pPr>
              <w:overflowPunct/>
              <w:autoSpaceDE/>
              <w:autoSpaceDN/>
              <w:adjustRightInd/>
              <w:jc w:val="center"/>
              <w:textAlignment w:val="auto"/>
              <w:rPr>
                <w:rFonts w:cs="Arial"/>
                <w:sz w:val="16"/>
                <w:szCs w:val="16"/>
                <w:lang w:val="ru-RU" w:eastAsia="ru-RU"/>
              </w:rPr>
            </w:pPr>
          </w:p>
          <w:p w:rsidR="00A01AD9" w:rsidRPr="00CD3791"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996</w:t>
            </w:r>
          </w:p>
        </w:tc>
        <w:tc>
          <w:tcPr>
            <w:tcW w:w="1140" w:type="dxa"/>
            <w:tcBorders>
              <w:top w:val="nil"/>
              <w:left w:val="nil"/>
              <w:bottom w:val="nil"/>
              <w:right w:val="nil"/>
            </w:tcBorders>
            <w:shd w:val="clear" w:color="auto" w:fill="auto"/>
            <w:noWrap/>
          </w:tcPr>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p w:rsidR="00A01AD9" w:rsidRPr="00CD3791" w:rsidRDefault="00A01AD9" w:rsidP="00A01AD9">
            <w:pPr>
              <w:overflowPunct/>
              <w:autoSpaceDE/>
              <w:autoSpaceDN/>
              <w:adjustRightInd/>
              <w:jc w:val="center"/>
              <w:textAlignment w:val="auto"/>
              <w:rPr>
                <w:rFonts w:cs="Arial"/>
                <w:sz w:val="16"/>
                <w:szCs w:val="16"/>
                <w:lang w:val="ru-RU" w:eastAsia="ru-RU"/>
              </w:rPr>
            </w:pPr>
            <w:r w:rsidRPr="00CD3791">
              <w:rPr>
                <w:rFonts w:cs="Arial"/>
                <w:sz w:val="16"/>
                <w:szCs w:val="16"/>
                <w:lang w:val="ru-RU" w:eastAsia="ru-RU"/>
              </w:rPr>
              <w:t>-</w:t>
            </w:r>
          </w:p>
        </w:tc>
      </w:tr>
      <w:tr w:rsidR="00A01AD9" w:rsidRPr="00746846" w:rsidTr="00A01AD9">
        <w:trPr>
          <w:trHeight w:val="252"/>
        </w:trPr>
        <w:tc>
          <w:tcPr>
            <w:tcW w:w="3260" w:type="dxa"/>
            <w:tcBorders>
              <w:top w:val="single" w:sz="4" w:space="0" w:color="auto"/>
              <w:left w:val="nil"/>
              <w:bottom w:val="single" w:sz="4" w:space="0" w:color="auto"/>
              <w:right w:val="nil"/>
            </w:tcBorders>
            <w:shd w:val="clear" w:color="auto" w:fill="auto"/>
            <w:vAlign w:val="bottom"/>
            <w:hideMark/>
          </w:tcPr>
          <w:p w:rsidR="00A01AD9" w:rsidRPr="00687009" w:rsidRDefault="00A01AD9" w:rsidP="00A01AD9">
            <w:pPr>
              <w:overflowPunct/>
              <w:autoSpaceDE/>
              <w:autoSpaceDN/>
              <w:adjustRightInd/>
              <w:textAlignment w:val="auto"/>
              <w:rPr>
                <w:rFonts w:cs="Arial"/>
                <w:b/>
                <w:bCs/>
                <w:sz w:val="16"/>
                <w:szCs w:val="16"/>
                <w:lang w:val="ru-RU" w:eastAsia="ru-RU"/>
              </w:rPr>
            </w:pPr>
            <w:r w:rsidRPr="00687009">
              <w:rPr>
                <w:rFonts w:cs="Arial"/>
                <w:b/>
                <w:bCs/>
                <w:sz w:val="16"/>
                <w:szCs w:val="16"/>
                <w:lang w:val="ru-RU" w:eastAsia="ru-RU"/>
              </w:rPr>
              <w:t>Итого обязательств</w:t>
            </w:r>
          </w:p>
        </w:tc>
        <w:tc>
          <w:tcPr>
            <w:tcW w:w="1220" w:type="dxa"/>
            <w:tcBorders>
              <w:top w:val="single" w:sz="4" w:space="0" w:color="auto"/>
              <w:left w:val="nil"/>
              <w:bottom w:val="single" w:sz="4" w:space="0" w:color="auto"/>
              <w:right w:val="nil"/>
            </w:tcBorders>
            <w:shd w:val="clear" w:color="auto" w:fill="auto"/>
            <w:noWrap/>
            <w:vAlign w:val="bottom"/>
            <w:hideMark/>
          </w:tcPr>
          <w:p w:rsidR="00A01AD9" w:rsidRPr="0068700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242 184</w:t>
            </w:r>
          </w:p>
        </w:tc>
        <w:tc>
          <w:tcPr>
            <w:tcW w:w="1320" w:type="dxa"/>
            <w:tcBorders>
              <w:top w:val="single" w:sz="4" w:space="0" w:color="auto"/>
              <w:left w:val="nil"/>
              <w:bottom w:val="single" w:sz="4" w:space="0" w:color="auto"/>
              <w:right w:val="nil"/>
            </w:tcBorders>
            <w:shd w:val="clear" w:color="auto" w:fill="auto"/>
            <w:noWrap/>
            <w:vAlign w:val="bottom"/>
            <w:hideMark/>
          </w:tcPr>
          <w:p w:rsidR="00A01AD9" w:rsidRPr="0068700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(7 277)</w:t>
            </w:r>
          </w:p>
        </w:tc>
        <w:tc>
          <w:tcPr>
            <w:tcW w:w="1120" w:type="dxa"/>
            <w:tcBorders>
              <w:top w:val="single" w:sz="4" w:space="0" w:color="auto"/>
              <w:left w:val="nil"/>
              <w:bottom w:val="single" w:sz="4" w:space="0" w:color="auto"/>
              <w:right w:val="nil"/>
            </w:tcBorders>
            <w:shd w:val="clear" w:color="auto" w:fill="auto"/>
            <w:noWrap/>
            <w:vAlign w:val="bottom"/>
            <w:hideMark/>
          </w:tcPr>
          <w:p w:rsidR="00A01AD9" w:rsidRPr="00687009" w:rsidRDefault="00A01AD9" w:rsidP="00A01AD9">
            <w:pPr>
              <w:overflowPunct/>
              <w:autoSpaceDE/>
              <w:autoSpaceDN/>
              <w:adjustRightInd/>
              <w:jc w:val="center"/>
              <w:textAlignment w:val="auto"/>
              <w:rPr>
                <w:rFonts w:cs="Arial"/>
                <w:b/>
                <w:bCs/>
                <w:sz w:val="16"/>
                <w:szCs w:val="16"/>
                <w:lang w:val="ru-RU" w:eastAsia="ru-RU"/>
              </w:rPr>
            </w:pPr>
            <w:r w:rsidRPr="00687009">
              <w:rPr>
                <w:rFonts w:cs="Arial"/>
                <w:b/>
                <w:bCs/>
                <w:sz w:val="16"/>
                <w:szCs w:val="16"/>
                <w:lang w:val="ru-RU" w:eastAsia="ru-RU"/>
              </w:rPr>
              <w:t>(</w:t>
            </w:r>
            <w:r>
              <w:rPr>
                <w:rFonts w:cs="Arial"/>
                <w:b/>
                <w:bCs/>
                <w:sz w:val="16"/>
                <w:szCs w:val="16"/>
                <w:lang w:val="ru-RU" w:eastAsia="ru-RU"/>
              </w:rPr>
              <w:t>12 080)</w:t>
            </w:r>
          </w:p>
        </w:tc>
        <w:tc>
          <w:tcPr>
            <w:tcW w:w="1140" w:type="dxa"/>
            <w:tcBorders>
              <w:top w:val="single" w:sz="4" w:space="0" w:color="auto"/>
              <w:left w:val="nil"/>
              <w:bottom w:val="single" w:sz="4" w:space="0" w:color="auto"/>
              <w:right w:val="nil"/>
            </w:tcBorders>
            <w:shd w:val="clear" w:color="auto" w:fill="auto"/>
            <w:noWrap/>
            <w:vAlign w:val="bottom"/>
            <w:hideMark/>
          </w:tcPr>
          <w:p w:rsidR="00A01AD9" w:rsidRPr="0068700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222 827</w:t>
            </w:r>
          </w:p>
        </w:tc>
        <w:tc>
          <w:tcPr>
            <w:tcW w:w="1140" w:type="dxa"/>
            <w:tcBorders>
              <w:top w:val="single" w:sz="4" w:space="0" w:color="auto"/>
              <w:left w:val="nil"/>
              <w:bottom w:val="single" w:sz="4" w:space="0" w:color="auto"/>
              <w:right w:val="nil"/>
            </w:tcBorders>
            <w:shd w:val="clear" w:color="auto" w:fill="auto"/>
            <w:noWrap/>
            <w:vAlign w:val="bottom"/>
            <w:hideMark/>
          </w:tcPr>
          <w:p w:rsidR="00A01AD9" w:rsidRPr="00687009" w:rsidRDefault="00A01AD9" w:rsidP="00A01AD9">
            <w:pPr>
              <w:overflowPunct/>
              <w:autoSpaceDE/>
              <w:autoSpaceDN/>
              <w:adjustRightInd/>
              <w:jc w:val="center"/>
              <w:textAlignment w:val="auto"/>
              <w:rPr>
                <w:rFonts w:cs="Arial"/>
                <w:b/>
                <w:bCs/>
                <w:sz w:val="16"/>
                <w:szCs w:val="16"/>
                <w:lang w:val="ru-RU" w:eastAsia="ru-RU"/>
              </w:rPr>
            </w:pPr>
            <w:r w:rsidRPr="00687009">
              <w:rPr>
                <w:rFonts w:cs="Arial"/>
                <w:b/>
                <w:bCs/>
                <w:sz w:val="16"/>
                <w:szCs w:val="16"/>
                <w:lang w:val="ru-RU" w:eastAsia="ru-RU"/>
              </w:rPr>
              <w:t>-</w:t>
            </w:r>
          </w:p>
        </w:tc>
      </w:tr>
      <w:tr w:rsidR="00A01AD9" w:rsidRPr="00746846" w:rsidTr="00A01AD9">
        <w:trPr>
          <w:trHeight w:val="252"/>
        </w:trPr>
        <w:tc>
          <w:tcPr>
            <w:tcW w:w="3260" w:type="dxa"/>
            <w:tcBorders>
              <w:top w:val="single" w:sz="4" w:space="0" w:color="auto"/>
              <w:left w:val="nil"/>
              <w:bottom w:val="double" w:sz="4" w:space="0" w:color="auto"/>
              <w:right w:val="nil"/>
            </w:tcBorders>
            <w:shd w:val="clear" w:color="auto" w:fill="auto"/>
            <w:vAlign w:val="bottom"/>
          </w:tcPr>
          <w:p w:rsidR="00A01AD9" w:rsidRPr="00687009" w:rsidRDefault="00A01AD9" w:rsidP="00A01AD9">
            <w:pPr>
              <w:overflowPunct/>
              <w:autoSpaceDE/>
              <w:autoSpaceDN/>
              <w:adjustRightInd/>
              <w:textAlignment w:val="auto"/>
              <w:rPr>
                <w:rFonts w:cs="Arial"/>
                <w:b/>
                <w:bCs/>
                <w:sz w:val="16"/>
                <w:szCs w:val="16"/>
                <w:lang w:val="ru-RU" w:eastAsia="ru-RU"/>
              </w:rPr>
            </w:pPr>
            <w:r w:rsidRPr="00687009">
              <w:rPr>
                <w:rFonts w:cs="Arial"/>
                <w:b/>
                <w:bCs/>
                <w:sz w:val="16"/>
                <w:szCs w:val="16"/>
                <w:lang w:val="ru-RU" w:eastAsia="ru-RU"/>
              </w:rPr>
              <w:t>в т. ч. нефинансовые обязательства</w:t>
            </w:r>
          </w:p>
        </w:tc>
        <w:tc>
          <w:tcPr>
            <w:tcW w:w="1220" w:type="dxa"/>
            <w:tcBorders>
              <w:top w:val="single" w:sz="4" w:space="0" w:color="auto"/>
              <w:left w:val="nil"/>
              <w:bottom w:val="double" w:sz="4" w:space="0" w:color="auto"/>
              <w:right w:val="nil"/>
            </w:tcBorders>
            <w:shd w:val="clear" w:color="auto" w:fill="auto"/>
            <w:noWrap/>
            <w:vAlign w:val="bottom"/>
          </w:tcPr>
          <w:p w:rsidR="00A01AD9" w:rsidRPr="0068700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107 312</w:t>
            </w:r>
          </w:p>
        </w:tc>
        <w:tc>
          <w:tcPr>
            <w:tcW w:w="1320" w:type="dxa"/>
            <w:tcBorders>
              <w:top w:val="single" w:sz="4" w:space="0" w:color="auto"/>
              <w:left w:val="nil"/>
              <w:bottom w:val="double" w:sz="4" w:space="0" w:color="auto"/>
              <w:right w:val="nil"/>
            </w:tcBorders>
            <w:shd w:val="clear" w:color="auto" w:fill="auto"/>
            <w:noWrap/>
            <w:vAlign w:val="bottom"/>
          </w:tcPr>
          <w:p w:rsidR="00A01AD9" w:rsidRPr="00687009" w:rsidRDefault="00A01AD9" w:rsidP="00A01AD9">
            <w:pPr>
              <w:overflowPunct/>
              <w:autoSpaceDE/>
              <w:autoSpaceDN/>
              <w:adjustRightInd/>
              <w:jc w:val="center"/>
              <w:textAlignment w:val="auto"/>
              <w:rPr>
                <w:rFonts w:cs="Arial"/>
                <w:b/>
                <w:bCs/>
                <w:sz w:val="16"/>
                <w:szCs w:val="16"/>
                <w:lang w:val="ru-RU" w:eastAsia="ru-RU"/>
              </w:rPr>
            </w:pPr>
            <w:r w:rsidRPr="00687009">
              <w:rPr>
                <w:rFonts w:cs="Arial"/>
                <w:b/>
                <w:bCs/>
                <w:sz w:val="16"/>
                <w:szCs w:val="16"/>
                <w:lang w:val="ru-RU" w:eastAsia="ru-RU"/>
              </w:rPr>
              <w:t>-</w:t>
            </w:r>
          </w:p>
        </w:tc>
        <w:tc>
          <w:tcPr>
            <w:tcW w:w="1120" w:type="dxa"/>
            <w:tcBorders>
              <w:top w:val="single" w:sz="4" w:space="0" w:color="auto"/>
              <w:left w:val="nil"/>
              <w:bottom w:val="double" w:sz="4" w:space="0" w:color="auto"/>
              <w:right w:val="nil"/>
            </w:tcBorders>
            <w:shd w:val="clear" w:color="auto" w:fill="auto"/>
            <w:noWrap/>
            <w:vAlign w:val="bottom"/>
          </w:tcPr>
          <w:p w:rsidR="00A01AD9" w:rsidRPr="00687009" w:rsidRDefault="00A01AD9" w:rsidP="00A01AD9">
            <w:pPr>
              <w:overflowPunct/>
              <w:autoSpaceDE/>
              <w:autoSpaceDN/>
              <w:adjustRightInd/>
              <w:jc w:val="center"/>
              <w:textAlignment w:val="auto"/>
              <w:rPr>
                <w:rFonts w:cs="Arial"/>
                <w:b/>
                <w:bCs/>
                <w:sz w:val="16"/>
                <w:szCs w:val="16"/>
                <w:lang w:val="ru-RU" w:eastAsia="ru-RU"/>
              </w:rPr>
            </w:pPr>
            <w:r w:rsidRPr="00687009">
              <w:rPr>
                <w:rFonts w:cs="Arial"/>
                <w:b/>
                <w:bCs/>
                <w:sz w:val="16"/>
                <w:szCs w:val="16"/>
                <w:lang w:val="ru-RU" w:eastAsia="ru-RU"/>
              </w:rPr>
              <w:t>-</w:t>
            </w:r>
          </w:p>
        </w:tc>
        <w:tc>
          <w:tcPr>
            <w:tcW w:w="1140" w:type="dxa"/>
            <w:tcBorders>
              <w:top w:val="single" w:sz="4" w:space="0" w:color="auto"/>
              <w:left w:val="nil"/>
              <w:bottom w:val="double" w:sz="4" w:space="0" w:color="auto"/>
              <w:right w:val="nil"/>
            </w:tcBorders>
            <w:shd w:val="clear" w:color="auto" w:fill="auto"/>
            <w:noWrap/>
            <w:vAlign w:val="bottom"/>
          </w:tcPr>
          <w:p w:rsidR="00A01AD9" w:rsidRPr="00687009" w:rsidRDefault="00A01AD9" w:rsidP="00A01AD9">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107 312</w:t>
            </w:r>
          </w:p>
        </w:tc>
        <w:tc>
          <w:tcPr>
            <w:tcW w:w="1140" w:type="dxa"/>
            <w:tcBorders>
              <w:top w:val="single" w:sz="4" w:space="0" w:color="auto"/>
              <w:left w:val="nil"/>
              <w:bottom w:val="double" w:sz="4" w:space="0" w:color="auto"/>
              <w:right w:val="nil"/>
            </w:tcBorders>
            <w:shd w:val="clear" w:color="auto" w:fill="auto"/>
            <w:noWrap/>
            <w:vAlign w:val="bottom"/>
          </w:tcPr>
          <w:p w:rsidR="00A01AD9" w:rsidRPr="00687009" w:rsidRDefault="00A01AD9" w:rsidP="00A01AD9">
            <w:pPr>
              <w:overflowPunct/>
              <w:autoSpaceDE/>
              <w:autoSpaceDN/>
              <w:adjustRightInd/>
              <w:jc w:val="center"/>
              <w:textAlignment w:val="auto"/>
              <w:rPr>
                <w:rFonts w:cs="Arial"/>
                <w:b/>
                <w:bCs/>
                <w:sz w:val="16"/>
                <w:szCs w:val="16"/>
                <w:lang w:val="ru-RU" w:eastAsia="ru-RU"/>
              </w:rPr>
            </w:pPr>
            <w:r w:rsidRPr="00687009">
              <w:rPr>
                <w:rFonts w:cs="Arial"/>
                <w:b/>
                <w:bCs/>
                <w:sz w:val="16"/>
                <w:szCs w:val="16"/>
                <w:lang w:val="ru-RU" w:eastAsia="ru-RU"/>
              </w:rPr>
              <w:t>-</w:t>
            </w:r>
          </w:p>
        </w:tc>
      </w:tr>
    </w:tbl>
    <w:p w:rsidR="00A01AD9" w:rsidRDefault="00A01AD9" w:rsidP="00A01AD9">
      <w:pPr>
        <w:jc w:val="both"/>
        <w:rPr>
          <w:rFonts w:cs="Arial"/>
          <w:b/>
          <w:bCs/>
          <w:sz w:val="20"/>
          <w:szCs w:val="20"/>
          <w:lang w:val="ru-RU" w:eastAsia="ru-RU"/>
        </w:rPr>
      </w:pPr>
    </w:p>
    <w:p w:rsidR="00BE27CD" w:rsidRDefault="00BE27CD" w:rsidP="00A01AD9">
      <w:pPr>
        <w:jc w:val="both"/>
        <w:rPr>
          <w:rFonts w:cs="Arial"/>
          <w:b/>
          <w:bCs/>
          <w:sz w:val="20"/>
          <w:szCs w:val="20"/>
          <w:lang w:val="ru-RU" w:eastAsia="ru-RU"/>
        </w:rPr>
      </w:pPr>
    </w:p>
    <w:p w:rsidR="00BE27CD" w:rsidRDefault="00BE27CD" w:rsidP="00A01AD9">
      <w:pPr>
        <w:jc w:val="both"/>
        <w:rPr>
          <w:rFonts w:cs="Arial"/>
          <w:b/>
          <w:bCs/>
          <w:sz w:val="20"/>
          <w:szCs w:val="20"/>
          <w:lang w:val="ru-RU" w:eastAsia="ru-RU"/>
        </w:rPr>
      </w:pPr>
    </w:p>
    <w:p w:rsidR="00BE27CD" w:rsidRDefault="00BE27CD" w:rsidP="00A01AD9">
      <w:pPr>
        <w:jc w:val="both"/>
        <w:rPr>
          <w:rFonts w:cs="Arial"/>
          <w:b/>
          <w:bCs/>
          <w:sz w:val="20"/>
          <w:szCs w:val="20"/>
          <w:lang w:val="ru-RU" w:eastAsia="ru-RU"/>
        </w:rPr>
      </w:pPr>
    </w:p>
    <w:p w:rsidR="00BE27CD" w:rsidRPr="00555F2C" w:rsidRDefault="00BE27CD" w:rsidP="00A01AD9">
      <w:pPr>
        <w:jc w:val="both"/>
        <w:rPr>
          <w:rFonts w:cs="Arial"/>
          <w:b/>
          <w:bCs/>
          <w:sz w:val="20"/>
          <w:szCs w:val="20"/>
          <w:lang w:val="ru-RU" w:eastAsia="ru-RU"/>
        </w:rPr>
      </w:pPr>
    </w:p>
    <w:p w:rsidR="00A01AD9" w:rsidRDefault="00A01AD9" w:rsidP="00A01AD9">
      <w:pPr>
        <w:jc w:val="both"/>
        <w:rPr>
          <w:rFonts w:cs="Arial"/>
          <w:b/>
          <w:bCs/>
          <w:sz w:val="20"/>
          <w:szCs w:val="20"/>
          <w:lang w:val="ru-RU" w:eastAsia="ru-RU"/>
        </w:rPr>
      </w:pPr>
      <w:r w:rsidRPr="00366CDE">
        <w:rPr>
          <w:rFonts w:cs="Arial"/>
          <w:b/>
          <w:bCs/>
          <w:sz w:val="20"/>
          <w:szCs w:val="20"/>
          <w:lang w:val="ru-RU" w:eastAsia="ru-RU"/>
        </w:rPr>
        <w:lastRenderedPageBreak/>
        <w:t xml:space="preserve">Информация об объеме, структуре и изменении прочих обязательств </w:t>
      </w:r>
      <w:r w:rsidRPr="00555F2C">
        <w:rPr>
          <w:rFonts w:cs="Arial"/>
          <w:b/>
          <w:bCs/>
          <w:sz w:val="20"/>
          <w:szCs w:val="20"/>
          <w:lang w:val="ru-RU" w:eastAsia="ru-RU"/>
        </w:rPr>
        <w:t>(продолжение):</w:t>
      </w:r>
    </w:p>
    <w:p w:rsidR="00A01AD9" w:rsidRDefault="00A01AD9" w:rsidP="00A01AD9">
      <w:pPr>
        <w:jc w:val="both"/>
        <w:rPr>
          <w:rFonts w:cs="Arial"/>
          <w:b/>
          <w:bCs/>
          <w:sz w:val="20"/>
          <w:szCs w:val="20"/>
          <w:lang w:val="ru-RU" w:eastAsia="ru-RU"/>
        </w:rPr>
      </w:pPr>
    </w:p>
    <w:tbl>
      <w:tblPr>
        <w:tblW w:w="9200" w:type="dxa"/>
        <w:tblInd w:w="93" w:type="dxa"/>
        <w:tblLook w:val="04A0" w:firstRow="1" w:lastRow="0" w:firstColumn="1" w:lastColumn="0" w:noHBand="0" w:noVBand="1"/>
      </w:tblPr>
      <w:tblGrid>
        <w:gridCol w:w="3260"/>
        <w:gridCol w:w="1220"/>
        <w:gridCol w:w="1320"/>
        <w:gridCol w:w="1120"/>
        <w:gridCol w:w="1140"/>
        <w:gridCol w:w="1140"/>
      </w:tblGrid>
      <w:tr w:rsidR="00A01AD9" w:rsidRPr="001C1914" w:rsidTr="00A01AD9">
        <w:trPr>
          <w:trHeight w:val="153"/>
          <w:tblHeader/>
        </w:trPr>
        <w:tc>
          <w:tcPr>
            <w:tcW w:w="3260" w:type="dxa"/>
            <w:tcBorders>
              <w:top w:val="single" w:sz="4" w:space="0" w:color="auto"/>
              <w:left w:val="nil"/>
              <w:right w:val="nil"/>
            </w:tcBorders>
            <w:shd w:val="clear" w:color="auto" w:fill="auto"/>
            <w:noWrap/>
            <w:vAlign w:val="bottom"/>
            <w:hideMark/>
          </w:tcPr>
          <w:p w:rsidR="00A01AD9" w:rsidRPr="001C1914" w:rsidRDefault="00A01AD9" w:rsidP="00A01AD9">
            <w:pPr>
              <w:overflowPunct/>
              <w:autoSpaceDE/>
              <w:autoSpaceDN/>
              <w:adjustRightInd/>
              <w:textAlignment w:val="auto"/>
              <w:rPr>
                <w:rFonts w:cs="Arial"/>
                <w:b/>
                <w:bCs/>
                <w:sz w:val="16"/>
                <w:szCs w:val="16"/>
                <w:lang w:val="ru-RU" w:eastAsia="ru-RU"/>
              </w:rPr>
            </w:pPr>
            <w:r w:rsidRPr="001C1914">
              <w:rPr>
                <w:rFonts w:cs="Arial"/>
                <w:b/>
                <w:bCs/>
                <w:sz w:val="16"/>
                <w:szCs w:val="16"/>
                <w:lang w:val="ru-RU" w:eastAsia="ru-RU"/>
              </w:rPr>
              <w:t> </w:t>
            </w:r>
          </w:p>
        </w:tc>
        <w:tc>
          <w:tcPr>
            <w:tcW w:w="5940" w:type="dxa"/>
            <w:gridSpan w:val="5"/>
            <w:tcBorders>
              <w:top w:val="single" w:sz="4" w:space="0" w:color="auto"/>
              <w:left w:val="nil"/>
              <w:bottom w:val="single" w:sz="8" w:space="0" w:color="auto"/>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p>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31.12.2017</w:t>
            </w:r>
          </w:p>
        </w:tc>
      </w:tr>
      <w:tr w:rsidR="00A01AD9" w:rsidRPr="001C1914" w:rsidTr="00A01AD9">
        <w:trPr>
          <w:trHeight w:val="225"/>
          <w:tblHeader/>
        </w:trPr>
        <w:tc>
          <w:tcPr>
            <w:tcW w:w="3260" w:type="dxa"/>
            <w:tcBorders>
              <w:left w:val="nil"/>
              <w:bottom w:val="nil"/>
              <w:right w:val="nil"/>
            </w:tcBorders>
            <w:shd w:val="clear" w:color="auto" w:fill="auto"/>
            <w:noWrap/>
            <w:vAlign w:val="bottom"/>
            <w:hideMark/>
          </w:tcPr>
          <w:p w:rsidR="00A01AD9" w:rsidRPr="001C1914" w:rsidRDefault="00A01AD9" w:rsidP="00A01AD9">
            <w:pPr>
              <w:overflowPunct/>
              <w:autoSpaceDE/>
              <w:autoSpaceDN/>
              <w:adjustRightInd/>
              <w:textAlignment w:val="auto"/>
              <w:rPr>
                <w:rFonts w:cs="Arial"/>
                <w:b/>
                <w:bCs/>
                <w:sz w:val="16"/>
                <w:szCs w:val="16"/>
                <w:lang w:val="ru-RU" w:eastAsia="ru-RU"/>
              </w:rPr>
            </w:pPr>
          </w:p>
        </w:tc>
        <w:tc>
          <w:tcPr>
            <w:tcW w:w="3660" w:type="dxa"/>
            <w:gridSpan w:val="3"/>
            <w:tcBorders>
              <w:top w:val="single" w:sz="8" w:space="0" w:color="auto"/>
              <w:left w:val="nil"/>
              <w:bottom w:val="single" w:sz="4" w:space="0" w:color="auto"/>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сумма обязательств</w:t>
            </w:r>
          </w:p>
        </w:tc>
        <w:tc>
          <w:tcPr>
            <w:tcW w:w="2280" w:type="dxa"/>
            <w:gridSpan w:val="2"/>
            <w:tcBorders>
              <w:top w:val="single" w:sz="8" w:space="0" w:color="auto"/>
              <w:left w:val="nil"/>
              <w:bottom w:val="single" w:sz="4" w:space="0" w:color="auto"/>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по срокам погашения</w:t>
            </w:r>
          </w:p>
        </w:tc>
      </w:tr>
      <w:tr w:rsidR="00A01AD9" w:rsidRPr="001C1914" w:rsidTr="00A01AD9">
        <w:trPr>
          <w:trHeight w:val="329"/>
          <w:tblHeader/>
        </w:trPr>
        <w:tc>
          <w:tcPr>
            <w:tcW w:w="326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textAlignment w:val="auto"/>
              <w:rPr>
                <w:rFonts w:cs="Arial"/>
                <w:b/>
                <w:bCs/>
                <w:sz w:val="16"/>
                <w:szCs w:val="16"/>
                <w:lang w:val="ru-RU" w:eastAsia="ru-RU"/>
              </w:rPr>
            </w:pPr>
            <w:r w:rsidRPr="001C1914">
              <w:rPr>
                <w:rFonts w:cs="Arial"/>
                <w:b/>
                <w:bCs/>
                <w:sz w:val="16"/>
                <w:szCs w:val="16"/>
                <w:lang w:val="ru-RU" w:eastAsia="ru-RU"/>
              </w:rPr>
              <w:t>Прочие обязательства</w:t>
            </w:r>
          </w:p>
        </w:tc>
        <w:tc>
          <w:tcPr>
            <w:tcW w:w="122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рубль РФ</w:t>
            </w:r>
          </w:p>
        </w:tc>
        <w:tc>
          <w:tcPr>
            <w:tcW w:w="132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доллар США</w:t>
            </w:r>
          </w:p>
        </w:tc>
        <w:tc>
          <w:tcPr>
            <w:tcW w:w="112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евро</w:t>
            </w:r>
          </w:p>
        </w:tc>
        <w:tc>
          <w:tcPr>
            <w:tcW w:w="114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в течение 1 года</w:t>
            </w:r>
          </w:p>
        </w:tc>
        <w:tc>
          <w:tcPr>
            <w:tcW w:w="1140" w:type="dxa"/>
            <w:tcBorders>
              <w:top w:val="nil"/>
              <w:left w:val="nil"/>
              <w:bottom w:val="single" w:sz="4" w:space="0" w:color="auto"/>
              <w:right w:val="nil"/>
            </w:tcBorders>
            <w:shd w:val="clear" w:color="auto" w:fill="auto"/>
            <w:vAlign w:val="bottom"/>
            <w:hideMark/>
          </w:tcPr>
          <w:p w:rsidR="00A01AD9" w:rsidRPr="001C1914" w:rsidRDefault="00A01AD9" w:rsidP="00A01AD9">
            <w:pPr>
              <w:overflowPunct/>
              <w:autoSpaceDE/>
              <w:autoSpaceDN/>
              <w:adjustRightInd/>
              <w:jc w:val="center"/>
              <w:textAlignment w:val="auto"/>
              <w:rPr>
                <w:rFonts w:cs="Arial"/>
                <w:b/>
                <w:bCs/>
                <w:sz w:val="16"/>
                <w:szCs w:val="16"/>
                <w:lang w:val="ru-RU" w:eastAsia="ru-RU"/>
              </w:rPr>
            </w:pPr>
            <w:r w:rsidRPr="001C1914">
              <w:rPr>
                <w:rFonts w:cs="Arial"/>
                <w:b/>
                <w:bCs/>
                <w:sz w:val="16"/>
                <w:szCs w:val="16"/>
                <w:lang w:val="ru-RU" w:eastAsia="ru-RU"/>
              </w:rPr>
              <w:t>более 1 года</w:t>
            </w:r>
          </w:p>
        </w:tc>
      </w:tr>
      <w:tr w:rsidR="00A01AD9" w:rsidRPr="00367D3E" w:rsidTr="00A01AD9">
        <w:trPr>
          <w:trHeight w:val="499"/>
        </w:trPr>
        <w:tc>
          <w:tcPr>
            <w:tcW w:w="3260" w:type="dxa"/>
            <w:tcBorders>
              <w:top w:val="nil"/>
              <w:left w:val="nil"/>
              <w:bottom w:val="nil"/>
              <w:right w:val="nil"/>
            </w:tcBorders>
            <w:shd w:val="clear" w:color="auto" w:fill="auto"/>
            <w:vAlign w:val="bottom"/>
            <w:hideMark/>
          </w:tcPr>
          <w:p w:rsidR="00A01AD9" w:rsidRPr="001C1914" w:rsidRDefault="00A01AD9" w:rsidP="00A01AD9">
            <w:pPr>
              <w:overflowPunct/>
              <w:autoSpaceDE/>
              <w:autoSpaceDN/>
              <w:adjustRightInd/>
              <w:textAlignment w:val="auto"/>
              <w:rPr>
                <w:rFonts w:cs="Arial"/>
                <w:sz w:val="16"/>
                <w:szCs w:val="16"/>
                <w:lang w:val="ru-RU" w:eastAsia="ru-RU"/>
              </w:rPr>
            </w:pPr>
            <w:r w:rsidRPr="001C1914">
              <w:rPr>
                <w:rFonts w:cs="Arial"/>
                <w:sz w:val="16"/>
                <w:szCs w:val="16"/>
                <w:lang w:val="ru-RU" w:eastAsia="ru-RU"/>
              </w:rPr>
              <w:t>незавершенные расчеты с операторами услуг платежной инфраструктуры</w:t>
            </w:r>
          </w:p>
        </w:tc>
        <w:tc>
          <w:tcPr>
            <w:tcW w:w="12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43 102</w:t>
            </w:r>
          </w:p>
        </w:tc>
        <w:tc>
          <w:tcPr>
            <w:tcW w:w="13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(4 870)</w:t>
            </w:r>
          </w:p>
        </w:tc>
        <w:tc>
          <w:tcPr>
            <w:tcW w:w="11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(6 148)</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32 084</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r>
      <w:tr w:rsidR="00A01AD9" w:rsidRPr="00367D3E" w:rsidTr="00A01AD9">
        <w:trPr>
          <w:trHeight w:val="689"/>
        </w:trPr>
        <w:tc>
          <w:tcPr>
            <w:tcW w:w="3260" w:type="dxa"/>
            <w:tcBorders>
              <w:top w:val="nil"/>
              <w:left w:val="nil"/>
              <w:bottom w:val="nil"/>
              <w:right w:val="nil"/>
            </w:tcBorders>
            <w:shd w:val="clear" w:color="auto" w:fill="auto"/>
            <w:vAlign w:val="bottom"/>
            <w:hideMark/>
          </w:tcPr>
          <w:p w:rsidR="00A01AD9" w:rsidRPr="001C1914" w:rsidRDefault="00A01AD9" w:rsidP="00A01AD9">
            <w:pPr>
              <w:overflowPunct/>
              <w:autoSpaceDE/>
              <w:autoSpaceDN/>
              <w:adjustRightInd/>
              <w:textAlignment w:val="auto"/>
              <w:rPr>
                <w:rFonts w:cs="Arial"/>
                <w:sz w:val="16"/>
                <w:szCs w:val="16"/>
                <w:lang w:val="ru-RU" w:eastAsia="ru-RU"/>
              </w:rPr>
            </w:pPr>
            <w:r w:rsidRPr="001C1914">
              <w:rPr>
                <w:rFonts w:cs="Arial"/>
                <w:sz w:val="16"/>
                <w:szCs w:val="16"/>
                <w:lang w:val="ru-RU" w:eastAsia="ru-RU"/>
              </w:rPr>
              <w:t>начисленные проценты по банковским счетам и привлеченным средствам физических лиц</w:t>
            </w:r>
          </w:p>
        </w:tc>
        <w:tc>
          <w:tcPr>
            <w:tcW w:w="12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49 999</w:t>
            </w:r>
          </w:p>
        </w:tc>
        <w:tc>
          <w:tcPr>
            <w:tcW w:w="13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1</w:t>
            </w:r>
          </w:p>
        </w:tc>
        <w:tc>
          <w:tcPr>
            <w:tcW w:w="11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50 000</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r>
      <w:tr w:rsidR="00A01AD9" w:rsidRPr="00367D3E" w:rsidTr="00A01AD9">
        <w:trPr>
          <w:trHeight w:val="252"/>
        </w:trPr>
        <w:tc>
          <w:tcPr>
            <w:tcW w:w="3260" w:type="dxa"/>
            <w:tcBorders>
              <w:top w:val="nil"/>
              <w:left w:val="nil"/>
              <w:bottom w:val="nil"/>
              <w:right w:val="nil"/>
            </w:tcBorders>
            <w:shd w:val="clear" w:color="auto" w:fill="auto"/>
            <w:vAlign w:val="bottom"/>
            <w:hideMark/>
          </w:tcPr>
          <w:p w:rsidR="00A01AD9" w:rsidRPr="001C1914" w:rsidRDefault="00A01AD9" w:rsidP="00A01AD9">
            <w:pPr>
              <w:overflowPunct/>
              <w:autoSpaceDE/>
              <w:autoSpaceDN/>
              <w:adjustRightInd/>
              <w:textAlignment w:val="auto"/>
              <w:rPr>
                <w:rFonts w:cs="Arial"/>
                <w:sz w:val="16"/>
                <w:szCs w:val="16"/>
                <w:lang w:val="ru-RU" w:eastAsia="ru-RU"/>
              </w:rPr>
            </w:pPr>
            <w:r w:rsidRPr="001C1914">
              <w:rPr>
                <w:rFonts w:cs="Arial"/>
                <w:sz w:val="16"/>
                <w:szCs w:val="16"/>
                <w:lang w:val="ru-RU" w:eastAsia="ru-RU"/>
              </w:rPr>
              <w:t>расчеты по отдельным операциям:</w:t>
            </w:r>
          </w:p>
        </w:tc>
        <w:tc>
          <w:tcPr>
            <w:tcW w:w="12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r>
      <w:tr w:rsidR="00A01AD9" w:rsidRPr="00367D3E" w:rsidTr="00A01AD9">
        <w:trPr>
          <w:trHeight w:val="80"/>
        </w:trPr>
        <w:tc>
          <w:tcPr>
            <w:tcW w:w="3260" w:type="dxa"/>
            <w:tcBorders>
              <w:top w:val="nil"/>
              <w:left w:val="nil"/>
              <w:bottom w:val="nil"/>
              <w:right w:val="nil"/>
            </w:tcBorders>
            <w:shd w:val="clear" w:color="auto" w:fill="auto"/>
            <w:vAlign w:val="bottom"/>
            <w:hideMark/>
          </w:tcPr>
          <w:p w:rsidR="00A01AD9" w:rsidRPr="001C1914" w:rsidRDefault="00A01AD9" w:rsidP="00A01AD9">
            <w:pPr>
              <w:overflowPunct/>
              <w:autoSpaceDE/>
              <w:autoSpaceDN/>
              <w:adjustRightInd/>
              <w:textAlignment w:val="auto"/>
              <w:rPr>
                <w:rFonts w:cs="Arial"/>
                <w:sz w:val="16"/>
                <w:szCs w:val="16"/>
                <w:lang w:val="ru-RU" w:eastAsia="ru-RU"/>
              </w:rPr>
            </w:pPr>
            <w:r w:rsidRPr="001C1914">
              <w:rPr>
                <w:rFonts w:cs="Arial"/>
                <w:sz w:val="16"/>
                <w:szCs w:val="16"/>
                <w:lang w:val="ru-RU" w:eastAsia="ru-RU"/>
              </w:rPr>
              <w:t>- обязательства по уплате процентов</w:t>
            </w:r>
          </w:p>
        </w:tc>
        <w:tc>
          <w:tcPr>
            <w:tcW w:w="12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1 264</w:t>
            </w:r>
          </w:p>
        </w:tc>
        <w:tc>
          <w:tcPr>
            <w:tcW w:w="13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1 264</w:t>
            </w:r>
          </w:p>
        </w:tc>
        <w:tc>
          <w:tcPr>
            <w:tcW w:w="1140" w:type="dxa"/>
            <w:tcBorders>
              <w:top w:val="nil"/>
              <w:left w:val="nil"/>
              <w:bottom w:val="nil"/>
              <w:right w:val="nil"/>
            </w:tcBorders>
            <w:shd w:val="clear" w:color="auto" w:fill="auto"/>
            <w:noWrap/>
            <w:vAlign w:val="bottom"/>
            <w:hideMark/>
          </w:tcPr>
          <w:p w:rsidR="00A01AD9" w:rsidRPr="001C1914" w:rsidRDefault="00A01AD9" w:rsidP="00A01AD9">
            <w:pPr>
              <w:overflowPunct/>
              <w:autoSpaceDE/>
              <w:autoSpaceDN/>
              <w:adjustRightInd/>
              <w:jc w:val="center"/>
              <w:textAlignment w:val="auto"/>
              <w:rPr>
                <w:rFonts w:cs="Arial"/>
                <w:sz w:val="16"/>
                <w:szCs w:val="16"/>
                <w:lang w:val="ru-RU" w:eastAsia="ru-RU"/>
              </w:rPr>
            </w:pPr>
            <w:r w:rsidRPr="001C1914">
              <w:rPr>
                <w:rFonts w:cs="Arial"/>
                <w:sz w:val="16"/>
                <w:szCs w:val="16"/>
                <w:lang w:val="ru-RU" w:eastAsia="ru-RU"/>
              </w:rPr>
              <w:t>-</w:t>
            </w:r>
          </w:p>
        </w:tc>
      </w:tr>
      <w:tr w:rsidR="00A01AD9" w:rsidRPr="00367D3E" w:rsidTr="00A01AD9">
        <w:trPr>
          <w:trHeight w:val="80"/>
        </w:trPr>
        <w:tc>
          <w:tcPr>
            <w:tcW w:w="3260" w:type="dxa"/>
            <w:tcBorders>
              <w:top w:val="nil"/>
              <w:left w:val="nil"/>
              <w:bottom w:val="nil"/>
              <w:right w:val="nil"/>
            </w:tcBorders>
            <w:shd w:val="clear" w:color="auto" w:fill="auto"/>
            <w:vAlign w:val="bottom"/>
            <w:hideMark/>
          </w:tcPr>
          <w:p w:rsidR="00A01AD9" w:rsidRPr="00297E6B" w:rsidRDefault="00A01AD9" w:rsidP="00A01AD9">
            <w:pPr>
              <w:overflowPunct/>
              <w:autoSpaceDE/>
              <w:autoSpaceDN/>
              <w:adjustRightInd/>
              <w:textAlignment w:val="auto"/>
              <w:rPr>
                <w:rFonts w:cs="Arial"/>
                <w:sz w:val="16"/>
                <w:szCs w:val="16"/>
                <w:lang w:val="ru-RU" w:eastAsia="ru-RU"/>
              </w:rPr>
            </w:pPr>
            <w:r w:rsidRPr="00297E6B">
              <w:rPr>
                <w:rFonts w:cs="Arial"/>
                <w:sz w:val="16"/>
                <w:szCs w:val="16"/>
                <w:lang w:val="ru-RU" w:eastAsia="ru-RU"/>
              </w:rPr>
              <w:t>- обязательства по прочим операциям</w:t>
            </w:r>
          </w:p>
        </w:tc>
        <w:tc>
          <w:tcPr>
            <w:tcW w:w="1220" w:type="dxa"/>
            <w:tcBorders>
              <w:top w:val="nil"/>
              <w:left w:val="nil"/>
              <w:bottom w:val="nil"/>
              <w:right w:val="nil"/>
            </w:tcBorders>
            <w:shd w:val="clear" w:color="auto" w:fill="auto"/>
            <w:noWrap/>
            <w:vAlign w:val="bottom"/>
            <w:hideMark/>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186</w:t>
            </w:r>
          </w:p>
        </w:tc>
        <w:tc>
          <w:tcPr>
            <w:tcW w:w="1320" w:type="dxa"/>
            <w:tcBorders>
              <w:top w:val="nil"/>
              <w:left w:val="nil"/>
              <w:bottom w:val="nil"/>
              <w:right w:val="nil"/>
            </w:tcBorders>
            <w:shd w:val="clear" w:color="auto" w:fill="auto"/>
            <w:noWrap/>
            <w:vAlign w:val="bottom"/>
            <w:hideMark/>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186</w:t>
            </w:r>
          </w:p>
        </w:tc>
        <w:tc>
          <w:tcPr>
            <w:tcW w:w="1140" w:type="dxa"/>
            <w:tcBorders>
              <w:top w:val="nil"/>
              <w:left w:val="nil"/>
              <w:bottom w:val="nil"/>
              <w:right w:val="nil"/>
            </w:tcBorders>
            <w:shd w:val="clear" w:color="auto" w:fill="auto"/>
            <w:noWrap/>
            <w:vAlign w:val="bottom"/>
            <w:hideMark/>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w:t>
            </w:r>
          </w:p>
        </w:tc>
      </w:tr>
      <w:tr w:rsidR="00A01AD9" w:rsidRPr="00367D3E" w:rsidTr="00A01AD9">
        <w:trPr>
          <w:trHeight w:val="252"/>
        </w:trPr>
        <w:tc>
          <w:tcPr>
            <w:tcW w:w="3260" w:type="dxa"/>
            <w:tcBorders>
              <w:top w:val="nil"/>
              <w:left w:val="nil"/>
              <w:bottom w:val="nil"/>
              <w:right w:val="nil"/>
            </w:tcBorders>
            <w:shd w:val="clear" w:color="auto" w:fill="auto"/>
            <w:vAlign w:val="bottom"/>
          </w:tcPr>
          <w:p w:rsidR="00A01AD9" w:rsidRPr="00297E6B" w:rsidRDefault="00A01AD9" w:rsidP="00A01AD9">
            <w:pPr>
              <w:overflowPunct/>
              <w:autoSpaceDE/>
              <w:autoSpaceDN/>
              <w:adjustRightInd/>
              <w:textAlignment w:val="auto"/>
              <w:rPr>
                <w:rFonts w:cs="Arial"/>
                <w:sz w:val="16"/>
                <w:szCs w:val="16"/>
                <w:lang w:val="ru-RU" w:eastAsia="ru-RU"/>
              </w:rPr>
            </w:pPr>
            <w:r w:rsidRPr="00297E6B">
              <w:rPr>
                <w:rFonts w:cs="Arial"/>
                <w:sz w:val="16"/>
                <w:szCs w:val="16"/>
                <w:lang w:val="ru-RU" w:eastAsia="ru-RU"/>
              </w:rPr>
              <w:t>- суммы, поступившие на корреспондентские счета, до выяснения</w:t>
            </w:r>
          </w:p>
        </w:tc>
        <w:tc>
          <w:tcPr>
            <w:tcW w:w="1220" w:type="dxa"/>
            <w:tcBorders>
              <w:top w:val="nil"/>
              <w:left w:val="nil"/>
              <w:bottom w:val="nil"/>
              <w:right w:val="nil"/>
            </w:tcBorders>
            <w:shd w:val="clear" w:color="auto" w:fill="auto"/>
            <w:noWrap/>
            <w:vAlign w:val="bottom"/>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133</w:t>
            </w:r>
          </w:p>
        </w:tc>
        <w:tc>
          <w:tcPr>
            <w:tcW w:w="1320" w:type="dxa"/>
            <w:tcBorders>
              <w:top w:val="nil"/>
              <w:left w:val="nil"/>
              <w:bottom w:val="nil"/>
              <w:right w:val="nil"/>
            </w:tcBorders>
            <w:shd w:val="clear" w:color="auto" w:fill="auto"/>
            <w:noWrap/>
            <w:vAlign w:val="bottom"/>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rsidR="00A01AD9" w:rsidRPr="00297E6B" w:rsidRDefault="00A01AD9" w:rsidP="00A01AD9">
            <w:pPr>
              <w:overflowPunct/>
              <w:autoSpaceDE/>
              <w:autoSpaceDN/>
              <w:adjustRightInd/>
              <w:jc w:val="center"/>
              <w:textAlignment w:val="auto"/>
              <w:rPr>
                <w:rFonts w:cs="Arial"/>
                <w:sz w:val="16"/>
                <w:szCs w:val="16"/>
                <w:lang w:val="ru-RU" w:eastAsia="ru-RU"/>
              </w:rPr>
            </w:pPr>
            <w:r w:rsidRPr="00297E6B">
              <w:rPr>
                <w:rFonts w:cs="Arial"/>
                <w:sz w:val="16"/>
                <w:szCs w:val="16"/>
                <w:lang w:val="ru-RU" w:eastAsia="ru-RU"/>
              </w:rPr>
              <w:t>133</w:t>
            </w:r>
          </w:p>
        </w:tc>
        <w:tc>
          <w:tcPr>
            <w:tcW w:w="1140" w:type="dxa"/>
            <w:tcBorders>
              <w:top w:val="nil"/>
              <w:left w:val="nil"/>
              <w:bottom w:val="nil"/>
              <w:right w:val="nil"/>
            </w:tcBorders>
            <w:shd w:val="clear" w:color="auto" w:fill="auto"/>
            <w:noWrap/>
            <w:vAlign w:val="bottom"/>
          </w:tcPr>
          <w:p w:rsidR="00A01AD9" w:rsidRPr="00297E6B" w:rsidRDefault="00A01AD9" w:rsidP="00A01AD9">
            <w:pPr>
              <w:overflowPunct/>
              <w:autoSpaceDE/>
              <w:autoSpaceDN/>
              <w:adjustRightInd/>
              <w:jc w:val="center"/>
              <w:textAlignment w:val="auto"/>
              <w:rPr>
                <w:rFonts w:cs="Arial"/>
                <w:sz w:val="16"/>
                <w:szCs w:val="16"/>
                <w:lang w:val="ru-RU" w:eastAsia="ru-RU"/>
              </w:rPr>
            </w:pPr>
          </w:p>
        </w:tc>
      </w:tr>
      <w:tr w:rsidR="00A01AD9" w:rsidRPr="00367D3E" w:rsidTr="00A01AD9">
        <w:trPr>
          <w:trHeight w:val="252"/>
        </w:trPr>
        <w:tc>
          <w:tcPr>
            <w:tcW w:w="3260" w:type="dxa"/>
            <w:tcBorders>
              <w:top w:val="nil"/>
              <w:left w:val="nil"/>
              <w:bottom w:val="nil"/>
              <w:right w:val="nil"/>
            </w:tcBorders>
            <w:shd w:val="clear" w:color="auto" w:fill="auto"/>
            <w:vAlign w:val="bottom"/>
            <w:hideMark/>
          </w:tcPr>
          <w:p w:rsidR="00A01AD9" w:rsidRPr="00F01C28" w:rsidRDefault="00A01AD9" w:rsidP="00A01AD9">
            <w:pPr>
              <w:overflowPunct/>
              <w:autoSpaceDE/>
              <w:autoSpaceDN/>
              <w:adjustRightInd/>
              <w:textAlignment w:val="auto"/>
              <w:rPr>
                <w:rFonts w:cs="Arial"/>
                <w:sz w:val="16"/>
                <w:szCs w:val="16"/>
                <w:lang w:val="ru-RU" w:eastAsia="ru-RU"/>
              </w:rPr>
            </w:pPr>
            <w:r w:rsidRPr="00F01C28">
              <w:rPr>
                <w:rFonts w:cs="Arial"/>
                <w:sz w:val="16"/>
                <w:szCs w:val="16"/>
                <w:lang w:val="ru-RU" w:eastAsia="ru-RU"/>
              </w:rPr>
              <w:t>расчеты с кредиторами:</w:t>
            </w:r>
          </w:p>
        </w:tc>
        <w:tc>
          <w:tcPr>
            <w:tcW w:w="12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p>
        </w:tc>
        <w:tc>
          <w:tcPr>
            <w:tcW w:w="13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p>
        </w:tc>
        <w:tc>
          <w:tcPr>
            <w:tcW w:w="11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p>
        </w:tc>
      </w:tr>
      <w:tr w:rsidR="00A01AD9" w:rsidRPr="00367D3E" w:rsidTr="00A01AD9">
        <w:trPr>
          <w:trHeight w:val="94"/>
        </w:trPr>
        <w:tc>
          <w:tcPr>
            <w:tcW w:w="3260" w:type="dxa"/>
            <w:tcBorders>
              <w:top w:val="nil"/>
              <w:left w:val="nil"/>
              <w:bottom w:val="nil"/>
              <w:right w:val="nil"/>
            </w:tcBorders>
            <w:shd w:val="clear" w:color="auto" w:fill="auto"/>
            <w:vAlign w:val="bottom"/>
            <w:hideMark/>
          </w:tcPr>
          <w:p w:rsidR="00A01AD9" w:rsidRPr="00F01C28" w:rsidRDefault="00A01AD9" w:rsidP="00A01AD9">
            <w:pPr>
              <w:overflowPunct/>
              <w:autoSpaceDE/>
              <w:autoSpaceDN/>
              <w:adjustRightInd/>
              <w:textAlignment w:val="auto"/>
              <w:rPr>
                <w:rFonts w:cs="Arial"/>
                <w:sz w:val="16"/>
                <w:szCs w:val="16"/>
                <w:lang w:val="ru-RU" w:eastAsia="ru-RU"/>
              </w:rPr>
            </w:pPr>
            <w:r w:rsidRPr="00F01C28">
              <w:rPr>
                <w:rFonts w:cs="Arial"/>
                <w:sz w:val="16"/>
                <w:szCs w:val="16"/>
                <w:lang w:val="ru-RU" w:eastAsia="ru-RU"/>
              </w:rPr>
              <w:t>- задолженность по налогам</w:t>
            </w:r>
          </w:p>
        </w:tc>
        <w:tc>
          <w:tcPr>
            <w:tcW w:w="12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8 113</w:t>
            </w:r>
          </w:p>
        </w:tc>
        <w:tc>
          <w:tcPr>
            <w:tcW w:w="13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8 113</w:t>
            </w: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r>
      <w:tr w:rsidR="00A01AD9" w:rsidRPr="00367D3E" w:rsidTr="00A01AD9">
        <w:trPr>
          <w:trHeight w:val="267"/>
        </w:trPr>
        <w:tc>
          <w:tcPr>
            <w:tcW w:w="3260" w:type="dxa"/>
            <w:tcBorders>
              <w:top w:val="nil"/>
              <w:left w:val="nil"/>
              <w:bottom w:val="nil"/>
              <w:right w:val="nil"/>
            </w:tcBorders>
            <w:shd w:val="clear" w:color="auto" w:fill="auto"/>
            <w:vAlign w:val="bottom"/>
            <w:hideMark/>
          </w:tcPr>
          <w:p w:rsidR="00A01AD9" w:rsidRPr="00F01C28" w:rsidRDefault="00A01AD9" w:rsidP="00A01AD9">
            <w:pPr>
              <w:overflowPunct/>
              <w:autoSpaceDE/>
              <w:autoSpaceDN/>
              <w:adjustRightInd/>
              <w:textAlignment w:val="auto"/>
              <w:rPr>
                <w:rFonts w:cs="Arial"/>
                <w:sz w:val="16"/>
                <w:szCs w:val="16"/>
                <w:lang w:val="ru-RU" w:eastAsia="ru-RU"/>
              </w:rPr>
            </w:pPr>
            <w:r w:rsidRPr="00F01C28">
              <w:rPr>
                <w:rFonts w:cs="Arial"/>
                <w:sz w:val="16"/>
                <w:szCs w:val="16"/>
                <w:lang w:val="ru-RU" w:eastAsia="ru-RU"/>
              </w:rPr>
              <w:t xml:space="preserve">- </w:t>
            </w:r>
            <w:r>
              <w:rPr>
                <w:rFonts w:cs="Arial"/>
                <w:sz w:val="16"/>
                <w:szCs w:val="16"/>
                <w:lang w:val="ru-RU" w:eastAsia="ru-RU"/>
              </w:rPr>
              <w:t>обязательства по выплате краткосрочных вознаграждений работникам, расчеты по социальному страхованию и обеспечению</w:t>
            </w:r>
          </w:p>
        </w:tc>
        <w:tc>
          <w:tcPr>
            <w:tcW w:w="12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51 966</w:t>
            </w:r>
          </w:p>
        </w:tc>
        <w:tc>
          <w:tcPr>
            <w:tcW w:w="13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51 966</w:t>
            </w:r>
          </w:p>
        </w:tc>
        <w:tc>
          <w:tcPr>
            <w:tcW w:w="1140" w:type="dxa"/>
            <w:tcBorders>
              <w:top w:val="nil"/>
              <w:left w:val="nil"/>
              <w:bottom w:val="nil"/>
              <w:right w:val="nil"/>
            </w:tcBorders>
            <w:shd w:val="clear" w:color="auto" w:fill="auto"/>
            <w:noWrap/>
            <w:vAlign w:val="bottom"/>
            <w:hideMark/>
          </w:tcPr>
          <w:p w:rsidR="00A01AD9" w:rsidRPr="00F01C28" w:rsidRDefault="00A01AD9" w:rsidP="00A01AD9">
            <w:pPr>
              <w:overflowPunct/>
              <w:autoSpaceDE/>
              <w:autoSpaceDN/>
              <w:adjustRightInd/>
              <w:jc w:val="center"/>
              <w:textAlignment w:val="auto"/>
              <w:rPr>
                <w:rFonts w:cs="Arial"/>
                <w:sz w:val="16"/>
                <w:szCs w:val="16"/>
                <w:lang w:val="ru-RU" w:eastAsia="ru-RU"/>
              </w:rPr>
            </w:pPr>
            <w:r w:rsidRPr="00F01C28">
              <w:rPr>
                <w:rFonts w:cs="Arial"/>
                <w:sz w:val="16"/>
                <w:szCs w:val="16"/>
                <w:lang w:val="ru-RU" w:eastAsia="ru-RU"/>
              </w:rPr>
              <w:t>-</w:t>
            </w:r>
          </w:p>
        </w:tc>
      </w:tr>
      <w:tr w:rsidR="00A01AD9" w:rsidRPr="00555F2C" w:rsidTr="00A01AD9">
        <w:trPr>
          <w:trHeight w:val="80"/>
        </w:trPr>
        <w:tc>
          <w:tcPr>
            <w:tcW w:w="3260" w:type="dxa"/>
            <w:tcBorders>
              <w:top w:val="nil"/>
              <w:left w:val="nil"/>
              <w:bottom w:val="nil"/>
              <w:right w:val="nil"/>
            </w:tcBorders>
            <w:shd w:val="clear" w:color="auto" w:fill="auto"/>
            <w:vAlign w:val="bottom"/>
            <w:hideMark/>
          </w:tcPr>
          <w:p w:rsidR="00A01AD9" w:rsidRPr="00555F2C" w:rsidRDefault="00A01AD9" w:rsidP="00A01AD9">
            <w:pPr>
              <w:overflowPunct/>
              <w:autoSpaceDE/>
              <w:autoSpaceDN/>
              <w:adjustRightInd/>
              <w:textAlignment w:val="auto"/>
              <w:rPr>
                <w:rFonts w:cs="Arial"/>
                <w:sz w:val="16"/>
                <w:szCs w:val="16"/>
                <w:lang w:val="ru-RU" w:eastAsia="ru-RU"/>
              </w:rPr>
            </w:pPr>
            <w:r w:rsidRPr="00555F2C">
              <w:rPr>
                <w:rFonts w:cs="Arial"/>
                <w:sz w:val="16"/>
                <w:szCs w:val="16"/>
                <w:lang w:val="ru-RU" w:eastAsia="ru-RU"/>
              </w:rPr>
              <w:t>- расчеты с поставщиками, подрядчиками, прочими кредиторами</w:t>
            </w:r>
          </w:p>
        </w:tc>
        <w:tc>
          <w:tcPr>
            <w:tcW w:w="12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1 051</w:t>
            </w:r>
          </w:p>
        </w:tc>
        <w:tc>
          <w:tcPr>
            <w:tcW w:w="13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1 051</w:t>
            </w:r>
          </w:p>
        </w:tc>
        <w:tc>
          <w:tcPr>
            <w:tcW w:w="114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r>
      <w:tr w:rsidR="00A01AD9" w:rsidRPr="00555F2C" w:rsidTr="00A01AD9">
        <w:trPr>
          <w:trHeight w:val="80"/>
        </w:trPr>
        <w:tc>
          <w:tcPr>
            <w:tcW w:w="3260" w:type="dxa"/>
            <w:tcBorders>
              <w:top w:val="nil"/>
              <w:left w:val="nil"/>
              <w:bottom w:val="nil"/>
              <w:right w:val="nil"/>
            </w:tcBorders>
            <w:shd w:val="clear" w:color="auto" w:fill="auto"/>
            <w:vAlign w:val="bottom"/>
          </w:tcPr>
          <w:p w:rsidR="00A01AD9" w:rsidRPr="00555F2C" w:rsidRDefault="00A01AD9" w:rsidP="00A01AD9">
            <w:pPr>
              <w:overflowPunct/>
              <w:autoSpaceDE/>
              <w:autoSpaceDN/>
              <w:adjustRightInd/>
              <w:textAlignment w:val="auto"/>
              <w:rPr>
                <w:rFonts w:cs="Arial"/>
                <w:sz w:val="16"/>
                <w:szCs w:val="16"/>
                <w:lang w:val="ru-RU" w:eastAsia="ru-RU"/>
              </w:rPr>
            </w:pPr>
            <w:r w:rsidRPr="00555F2C">
              <w:rPr>
                <w:rFonts w:cs="Arial"/>
                <w:sz w:val="16"/>
                <w:szCs w:val="16"/>
                <w:lang w:val="ru-RU" w:eastAsia="ru-RU"/>
              </w:rPr>
              <w:t>- расчеты с акционерами (участниками) по дивидендам</w:t>
            </w:r>
          </w:p>
        </w:tc>
        <w:tc>
          <w:tcPr>
            <w:tcW w:w="1220" w:type="dxa"/>
            <w:tcBorders>
              <w:top w:val="nil"/>
              <w:left w:val="nil"/>
              <w:bottom w:val="nil"/>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4 272</w:t>
            </w:r>
          </w:p>
        </w:tc>
        <w:tc>
          <w:tcPr>
            <w:tcW w:w="1320" w:type="dxa"/>
            <w:tcBorders>
              <w:top w:val="nil"/>
              <w:left w:val="nil"/>
              <w:bottom w:val="nil"/>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20" w:type="dxa"/>
            <w:tcBorders>
              <w:top w:val="nil"/>
              <w:left w:val="nil"/>
              <w:bottom w:val="nil"/>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40" w:type="dxa"/>
            <w:tcBorders>
              <w:top w:val="nil"/>
              <w:left w:val="nil"/>
              <w:bottom w:val="nil"/>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4 272</w:t>
            </w:r>
          </w:p>
        </w:tc>
        <w:tc>
          <w:tcPr>
            <w:tcW w:w="1140" w:type="dxa"/>
            <w:tcBorders>
              <w:top w:val="nil"/>
              <w:left w:val="nil"/>
              <w:bottom w:val="nil"/>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r>
      <w:tr w:rsidR="00A01AD9" w:rsidRPr="00555F2C" w:rsidTr="00A01AD9">
        <w:trPr>
          <w:trHeight w:val="252"/>
        </w:trPr>
        <w:tc>
          <w:tcPr>
            <w:tcW w:w="3260" w:type="dxa"/>
            <w:tcBorders>
              <w:top w:val="nil"/>
              <w:left w:val="nil"/>
              <w:bottom w:val="nil"/>
              <w:right w:val="nil"/>
            </w:tcBorders>
            <w:shd w:val="clear" w:color="auto" w:fill="auto"/>
            <w:vAlign w:val="bottom"/>
            <w:hideMark/>
          </w:tcPr>
          <w:p w:rsidR="00A01AD9" w:rsidRPr="00555F2C" w:rsidRDefault="00A01AD9" w:rsidP="00A01AD9">
            <w:pPr>
              <w:overflowPunct/>
              <w:autoSpaceDE/>
              <w:autoSpaceDN/>
              <w:adjustRightInd/>
              <w:textAlignment w:val="auto"/>
              <w:rPr>
                <w:rFonts w:cs="Arial"/>
                <w:sz w:val="16"/>
                <w:szCs w:val="16"/>
                <w:lang w:val="ru-RU" w:eastAsia="ru-RU"/>
              </w:rPr>
            </w:pPr>
            <w:r w:rsidRPr="00555F2C">
              <w:rPr>
                <w:rFonts w:cs="Arial"/>
                <w:sz w:val="16"/>
                <w:szCs w:val="16"/>
                <w:lang w:val="ru-RU" w:eastAsia="ru-RU"/>
              </w:rPr>
              <w:t>доходы будущих периодов</w:t>
            </w:r>
          </w:p>
        </w:tc>
        <w:tc>
          <w:tcPr>
            <w:tcW w:w="12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w:t>
            </w:r>
          </w:p>
        </w:tc>
        <w:tc>
          <w:tcPr>
            <w:tcW w:w="13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2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c>
          <w:tcPr>
            <w:tcW w:w="114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Pr>
                <w:rFonts w:cs="Arial"/>
                <w:sz w:val="16"/>
                <w:szCs w:val="16"/>
                <w:lang w:val="ru-RU" w:eastAsia="ru-RU"/>
              </w:rPr>
              <w:t>3</w:t>
            </w:r>
          </w:p>
        </w:tc>
        <w:tc>
          <w:tcPr>
            <w:tcW w:w="1140" w:type="dxa"/>
            <w:tcBorders>
              <w:top w:val="nil"/>
              <w:left w:val="nil"/>
              <w:bottom w:val="nil"/>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sz w:val="16"/>
                <w:szCs w:val="16"/>
                <w:lang w:val="ru-RU" w:eastAsia="ru-RU"/>
              </w:rPr>
            </w:pPr>
            <w:r w:rsidRPr="00555F2C">
              <w:rPr>
                <w:rFonts w:cs="Arial"/>
                <w:sz w:val="16"/>
                <w:szCs w:val="16"/>
                <w:lang w:val="ru-RU" w:eastAsia="ru-RU"/>
              </w:rPr>
              <w:t>-</w:t>
            </w:r>
          </w:p>
        </w:tc>
      </w:tr>
      <w:tr w:rsidR="00A01AD9" w:rsidRPr="00555F2C" w:rsidTr="00A01AD9">
        <w:trPr>
          <w:trHeight w:val="252"/>
        </w:trPr>
        <w:tc>
          <w:tcPr>
            <w:tcW w:w="3260" w:type="dxa"/>
            <w:tcBorders>
              <w:top w:val="single" w:sz="4" w:space="0" w:color="auto"/>
              <w:left w:val="nil"/>
              <w:bottom w:val="single" w:sz="4" w:space="0" w:color="auto"/>
              <w:right w:val="nil"/>
            </w:tcBorders>
            <w:shd w:val="clear" w:color="auto" w:fill="auto"/>
            <w:vAlign w:val="bottom"/>
            <w:hideMark/>
          </w:tcPr>
          <w:p w:rsidR="00A01AD9" w:rsidRPr="00555F2C" w:rsidRDefault="00A01AD9" w:rsidP="00A01AD9">
            <w:pPr>
              <w:overflowPunct/>
              <w:autoSpaceDE/>
              <w:autoSpaceDN/>
              <w:adjustRightInd/>
              <w:textAlignment w:val="auto"/>
              <w:rPr>
                <w:rFonts w:cs="Arial"/>
                <w:b/>
                <w:bCs/>
                <w:sz w:val="16"/>
                <w:szCs w:val="16"/>
                <w:lang w:val="ru-RU" w:eastAsia="ru-RU"/>
              </w:rPr>
            </w:pPr>
            <w:r w:rsidRPr="00555F2C">
              <w:rPr>
                <w:rFonts w:cs="Arial"/>
                <w:b/>
                <w:bCs/>
                <w:sz w:val="16"/>
                <w:szCs w:val="16"/>
                <w:lang w:val="ru-RU" w:eastAsia="ru-RU"/>
              </w:rPr>
              <w:t>Итого обязательств</w:t>
            </w:r>
          </w:p>
        </w:tc>
        <w:tc>
          <w:tcPr>
            <w:tcW w:w="1220" w:type="dxa"/>
            <w:tcBorders>
              <w:top w:val="single" w:sz="4" w:space="0" w:color="auto"/>
              <w:left w:val="nil"/>
              <w:bottom w:val="single" w:sz="4" w:space="0" w:color="auto"/>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160 089</w:t>
            </w:r>
          </w:p>
        </w:tc>
        <w:tc>
          <w:tcPr>
            <w:tcW w:w="1320" w:type="dxa"/>
            <w:tcBorders>
              <w:top w:val="single" w:sz="4" w:space="0" w:color="auto"/>
              <w:left w:val="nil"/>
              <w:bottom w:val="single" w:sz="4" w:space="0" w:color="auto"/>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(4 869)</w:t>
            </w:r>
          </w:p>
        </w:tc>
        <w:tc>
          <w:tcPr>
            <w:tcW w:w="1120" w:type="dxa"/>
            <w:tcBorders>
              <w:top w:val="single" w:sz="4" w:space="0" w:color="auto"/>
              <w:left w:val="nil"/>
              <w:bottom w:val="single" w:sz="4" w:space="0" w:color="auto"/>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(6 148)</w:t>
            </w:r>
          </w:p>
        </w:tc>
        <w:tc>
          <w:tcPr>
            <w:tcW w:w="1140" w:type="dxa"/>
            <w:tcBorders>
              <w:top w:val="single" w:sz="4" w:space="0" w:color="auto"/>
              <w:left w:val="nil"/>
              <w:bottom w:val="single" w:sz="4" w:space="0" w:color="auto"/>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149 072</w:t>
            </w:r>
          </w:p>
        </w:tc>
        <w:tc>
          <w:tcPr>
            <w:tcW w:w="1140" w:type="dxa"/>
            <w:tcBorders>
              <w:top w:val="single" w:sz="4" w:space="0" w:color="auto"/>
              <w:left w:val="nil"/>
              <w:bottom w:val="single" w:sz="4" w:space="0" w:color="auto"/>
              <w:right w:val="nil"/>
            </w:tcBorders>
            <w:shd w:val="clear" w:color="auto" w:fill="auto"/>
            <w:noWrap/>
            <w:vAlign w:val="bottom"/>
            <w:hideMark/>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w:t>
            </w:r>
          </w:p>
        </w:tc>
      </w:tr>
      <w:tr w:rsidR="00A01AD9" w:rsidRPr="00555F2C" w:rsidTr="00A01AD9">
        <w:trPr>
          <w:trHeight w:val="252"/>
        </w:trPr>
        <w:tc>
          <w:tcPr>
            <w:tcW w:w="3260" w:type="dxa"/>
            <w:tcBorders>
              <w:top w:val="single" w:sz="4" w:space="0" w:color="auto"/>
              <w:left w:val="nil"/>
              <w:bottom w:val="double" w:sz="4" w:space="0" w:color="auto"/>
              <w:right w:val="nil"/>
            </w:tcBorders>
            <w:shd w:val="clear" w:color="auto" w:fill="auto"/>
            <w:vAlign w:val="bottom"/>
          </w:tcPr>
          <w:p w:rsidR="00A01AD9" w:rsidRPr="00555F2C" w:rsidRDefault="00A01AD9" w:rsidP="00A01AD9">
            <w:pPr>
              <w:overflowPunct/>
              <w:autoSpaceDE/>
              <w:autoSpaceDN/>
              <w:adjustRightInd/>
              <w:textAlignment w:val="auto"/>
              <w:rPr>
                <w:rFonts w:cs="Arial"/>
                <w:b/>
                <w:bCs/>
                <w:sz w:val="16"/>
                <w:szCs w:val="16"/>
                <w:lang w:val="ru-RU" w:eastAsia="ru-RU"/>
              </w:rPr>
            </w:pPr>
            <w:r w:rsidRPr="00555F2C">
              <w:rPr>
                <w:rFonts w:cs="Arial"/>
                <w:b/>
                <w:bCs/>
                <w:sz w:val="16"/>
                <w:szCs w:val="16"/>
                <w:lang w:val="ru-RU" w:eastAsia="ru-RU"/>
              </w:rPr>
              <w:t>в т. ч. нефинансовые обязательства</w:t>
            </w:r>
          </w:p>
        </w:tc>
        <w:tc>
          <w:tcPr>
            <w:tcW w:w="1220" w:type="dxa"/>
            <w:tcBorders>
              <w:top w:val="single" w:sz="4" w:space="0" w:color="auto"/>
              <w:left w:val="nil"/>
              <w:bottom w:val="double" w:sz="4" w:space="0" w:color="auto"/>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65 405</w:t>
            </w:r>
          </w:p>
        </w:tc>
        <w:tc>
          <w:tcPr>
            <w:tcW w:w="1320" w:type="dxa"/>
            <w:tcBorders>
              <w:top w:val="single" w:sz="4" w:space="0" w:color="auto"/>
              <w:left w:val="nil"/>
              <w:bottom w:val="double" w:sz="4" w:space="0" w:color="auto"/>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w:t>
            </w:r>
          </w:p>
        </w:tc>
        <w:tc>
          <w:tcPr>
            <w:tcW w:w="1120" w:type="dxa"/>
            <w:tcBorders>
              <w:top w:val="single" w:sz="4" w:space="0" w:color="auto"/>
              <w:left w:val="nil"/>
              <w:bottom w:val="double" w:sz="4" w:space="0" w:color="auto"/>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w:t>
            </w:r>
          </w:p>
        </w:tc>
        <w:tc>
          <w:tcPr>
            <w:tcW w:w="1140" w:type="dxa"/>
            <w:tcBorders>
              <w:top w:val="single" w:sz="4" w:space="0" w:color="auto"/>
              <w:left w:val="nil"/>
              <w:bottom w:val="double" w:sz="4" w:space="0" w:color="auto"/>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b/>
                <w:bCs/>
                <w:sz w:val="16"/>
                <w:szCs w:val="16"/>
                <w:lang w:val="ru-RU" w:eastAsia="ru-RU"/>
              </w:rPr>
            </w:pPr>
            <w:r w:rsidRPr="00555F2C">
              <w:rPr>
                <w:rFonts w:cs="Arial"/>
                <w:b/>
                <w:bCs/>
                <w:sz w:val="16"/>
                <w:szCs w:val="16"/>
                <w:lang w:val="ru-RU" w:eastAsia="ru-RU"/>
              </w:rPr>
              <w:t>65 405</w:t>
            </w:r>
          </w:p>
        </w:tc>
        <w:tc>
          <w:tcPr>
            <w:tcW w:w="1140" w:type="dxa"/>
            <w:tcBorders>
              <w:top w:val="single" w:sz="4" w:space="0" w:color="auto"/>
              <w:left w:val="nil"/>
              <w:bottom w:val="double" w:sz="4" w:space="0" w:color="auto"/>
              <w:right w:val="nil"/>
            </w:tcBorders>
            <w:shd w:val="clear" w:color="auto" w:fill="auto"/>
            <w:noWrap/>
            <w:vAlign w:val="bottom"/>
          </w:tcPr>
          <w:p w:rsidR="00A01AD9" w:rsidRPr="00555F2C" w:rsidRDefault="00A01AD9" w:rsidP="00A01AD9">
            <w:pPr>
              <w:overflowPunct/>
              <w:autoSpaceDE/>
              <w:autoSpaceDN/>
              <w:adjustRightInd/>
              <w:jc w:val="center"/>
              <w:textAlignment w:val="auto"/>
              <w:rPr>
                <w:rFonts w:cs="Arial"/>
                <w:b/>
                <w:bCs/>
                <w:sz w:val="16"/>
                <w:szCs w:val="16"/>
                <w:lang w:val="ru-RU" w:eastAsia="ru-RU"/>
              </w:rPr>
            </w:pPr>
          </w:p>
        </w:tc>
      </w:tr>
    </w:tbl>
    <w:p w:rsidR="00B759E9" w:rsidRPr="00884713" w:rsidRDefault="00B759E9" w:rsidP="00B759E9">
      <w:pPr>
        <w:jc w:val="both"/>
        <w:rPr>
          <w:rFonts w:cs="Arial"/>
          <w:color w:val="FF0000"/>
          <w:sz w:val="20"/>
          <w:szCs w:val="20"/>
          <w:highlight w:val="yellow"/>
          <w:lang w:val="ru-RU"/>
        </w:rPr>
      </w:pPr>
    </w:p>
    <w:p w:rsidR="00B759E9" w:rsidRPr="00734191" w:rsidRDefault="00B759E9" w:rsidP="00B759E9">
      <w:pPr>
        <w:overflowPunct/>
        <w:jc w:val="both"/>
        <w:rPr>
          <w:rFonts w:eastAsiaTheme="minorHAnsi" w:cs="Arial"/>
          <w:sz w:val="20"/>
          <w:szCs w:val="20"/>
          <w:lang w:val="ru-RU"/>
        </w:rPr>
      </w:pPr>
      <w:r w:rsidRPr="00734191">
        <w:rPr>
          <w:rFonts w:eastAsiaTheme="minorHAnsi" w:cs="Arial"/>
          <w:b/>
          <w:sz w:val="20"/>
          <w:szCs w:val="20"/>
          <w:lang w:val="ru-RU"/>
        </w:rPr>
        <w:t>6.1.25. Информация о резервах - оценочных обязательствах, условных обязательствах и условных активах</w:t>
      </w:r>
      <w:r w:rsidRPr="00734191">
        <w:rPr>
          <w:rFonts w:eastAsiaTheme="minorHAnsi" w:cs="Arial"/>
          <w:sz w:val="20"/>
          <w:szCs w:val="20"/>
          <w:lang w:val="ru-RU"/>
        </w:rPr>
        <w:t>.</w:t>
      </w:r>
    </w:p>
    <w:p w:rsidR="00B759E9" w:rsidRPr="00734191" w:rsidRDefault="00B759E9" w:rsidP="00B759E9">
      <w:pPr>
        <w:overflowPunct/>
        <w:jc w:val="both"/>
        <w:rPr>
          <w:rFonts w:eastAsiaTheme="minorHAnsi" w:cs="Arial"/>
          <w:sz w:val="20"/>
          <w:szCs w:val="20"/>
          <w:lang w:val="ru-RU"/>
        </w:rPr>
      </w:pPr>
    </w:p>
    <w:p w:rsidR="00B759E9" w:rsidRPr="00734191" w:rsidRDefault="00B759E9" w:rsidP="00B759E9">
      <w:pPr>
        <w:overflowPunct/>
        <w:jc w:val="both"/>
        <w:rPr>
          <w:rFonts w:eastAsiaTheme="minorHAnsi" w:cs="Arial"/>
          <w:sz w:val="20"/>
          <w:szCs w:val="20"/>
          <w:lang w:val="ru-RU"/>
        </w:rPr>
      </w:pPr>
      <w:r w:rsidRPr="00734191">
        <w:rPr>
          <w:rFonts w:eastAsiaTheme="minorHAnsi" w:cs="Arial"/>
          <w:sz w:val="20"/>
          <w:szCs w:val="20"/>
          <w:lang w:val="ru-RU"/>
        </w:rPr>
        <w:t>Резервы – оценочные обязательства некредитного характера являются результатом финансовой и хозяйственной деятельности Банка в прошлом с неопределенной величиной и сроком исполнения. Балансовая стоимость резервов – оценочных обязательств, условных обязательств и условных активов:</w:t>
      </w:r>
    </w:p>
    <w:p w:rsidR="00B759E9" w:rsidRPr="00734191" w:rsidRDefault="00B759E9" w:rsidP="00B759E9">
      <w:pPr>
        <w:overflowPunct/>
        <w:jc w:val="both"/>
        <w:rPr>
          <w:rFonts w:eastAsiaTheme="minorHAnsi" w:cs="Arial"/>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843"/>
        <w:gridCol w:w="1666"/>
      </w:tblGrid>
      <w:tr w:rsidR="00B759E9" w:rsidRPr="00734191" w:rsidTr="009436A1">
        <w:trPr>
          <w:tblHeader/>
        </w:trPr>
        <w:tc>
          <w:tcPr>
            <w:tcW w:w="6062" w:type="dxa"/>
            <w:tcBorders>
              <w:top w:val="single" w:sz="4" w:space="0" w:color="auto"/>
              <w:bottom w:val="single" w:sz="4" w:space="0" w:color="auto"/>
            </w:tcBorders>
          </w:tcPr>
          <w:p w:rsidR="00B759E9" w:rsidRPr="00734191" w:rsidRDefault="00B759E9" w:rsidP="00E362C0">
            <w:pPr>
              <w:overflowPunct/>
              <w:jc w:val="both"/>
              <w:rPr>
                <w:rFonts w:eastAsiaTheme="minorHAnsi" w:cs="Arial"/>
                <w:sz w:val="16"/>
                <w:szCs w:val="16"/>
                <w:lang w:val="ru-RU"/>
              </w:rPr>
            </w:pPr>
          </w:p>
        </w:tc>
        <w:tc>
          <w:tcPr>
            <w:tcW w:w="1843"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2018</w:t>
            </w:r>
          </w:p>
        </w:tc>
        <w:tc>
          <w:tcPr>
            <w:tcW w:w="1666"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2017</w:t>
            </w:r>
          </w:p>
        </w:tc>
      </w:tr>
      <w:tr w:rsidR="00B759E9" w:rsidRPr="00734191" w:rsidTr="00E362C0">
        <w:tc>
          <w:tcPr>
            <w:tcW w:w="6062" w:type="dxa"/>
            <w:tcBorders>
              <w:top w:val="single" w:sz="4" w:space="0" w:color="auto"/>
            </w:tcBorders>
          </w:tcPr>
          <w:p w:rsidR="00B759E9" w:rsidRPr="00734191" w:rsidRDefault="00B759E9" w:rsidP="00E362C0">
            <w:pPr>
              <w:overflowPunct/>
              <w:jc w:val="both"/>
              <w:rPr>
                <w:rFonts w:eastAsiaTheme="minorHAnsi" w:cs="Arial"/>
                <w:sz w:val="16"/>
                <w:szCs w:val="16"/>
                <w:lang w:val="ru-RU"/>
              </w:rPr>
            </w:pPr>
            <w:r w:rsidRPr="00734191">
              <w:rPr>
                <w:rFonts w:eastAsiaTheme="minorHAnsi" w:cs="Arial"/>
                <w:b/>
                <w:sz w:val="16"/>
                <w:szCs w:val="16"/>
                <w:lang w:val="ru-RU"/>
              </w:rPr>
              <w:t>резервы – оценочные обязательства</w:t>
            </w:r>
            <w:r w:rsidRPr="00734191">
              <w:rPr>
                <w:rFonts w:eastAsiaTheme="minorHAnsi" w:cs="Arial"/>
                <w:sz w:val="16"/>
                <w:szCs w:val="16"/>
                <w:lang w:val="ru-RU"/>
              </w:rPr>
              <w:t xml:space="preserve"> за 31 декабря</w:t>
            </w:r>
          </w:p>
        </w:tc>
        <w:tc>
          <w:tcPr>
            <w:tcW w:w="1843" w:type="dxa"/>
            <w:tcBorders>
              <w:top w:val="single" w:sz="4" w:space="0" w:color="auto"/>
            </w:tcBorders>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0</w:t>
            </w:r>
          </w:p>
        </w:tc>
        <w:tc>
          <w:tcPr>
            <w:tcW w:w="1666" w:type="dxa"/>
            <w:tcBorders>
              <w:top w:val="single" w:sz="4" w:space="0" w:color="auto"/>
            </w:tcBorders>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 xml:space="preserve">признанные в отчетном периоде, в т.ч. </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1 269</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148</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 увеличение существующих резервов</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703</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списанные в отчетном периоде</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(274)</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(851)</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в т.ч. взыскано по искам</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(150)</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восстановленные</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на конец отчетного периода</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995</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0</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p>
        </w:tc>
        <w:tc>
          <w:tcPr>
            <w:tcW w:w="1843" w:type="dxa"/>
          </w:tcPr>
          <w:p w:rsidR="00B759E9" w:rsidRPr="00734191" w:rsidRDefault="00B759E9" w:rsidP="00E362C0">
            <w:pPr>
              <w:overflowPunct/>
              <w:jc w:val="center"/>
              <w:rPr>
                <w:rFonts w:eastAsiaTheme="minorHAnsi" w:cs="Arial"/>
                <w:b/>
                <w:sz w:val="16"/>
                <w:szCs w:val="16"/>
                <w:lang w:val="ru-RU"/>
              </w:rPr>
            </w:pPr>
          </w:p>
        </w:tc>
        <w:tc>
          <w:tcPr>
            <w:tcW w:w="1666" w:type="dxa"/>
          </w:tcPr>
          <w:p w:rsidR="00B759E9" w:rsidRPr="00734191" w:rsidRDefault="00B759E9" w:rsidP="00E362C0">
            <w:pPr>
              <w:overflowPunct/>
              <w:jc w:val="center"/>
              <w:rPr>
                <w:rFonts w:eastAsiaTheme="minorHAnsi" w:cs="Arial"/>
                <w:b/>
                <w:sz w:val="16"/>
                <w:szCs w:val="16"/>
                <w:lang w:val="ru-RU"/>
              </w:rPr>
            </w:pP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b/>
                <w:sz w:val="16"/>
                <w:szCs w:val="16"/>
                <w:lang w:val="ru-RU"/>
              </w:rPr>
              <w:t>юридические обязательства</w:t>
            </w:r>
            <w:r w:rsidRPr="00734191">
              <w:rPr>
                <w:rFonts w:eastAsiaTheme="minorHAnsi" w:cs="Arial"/>
                <w:sz w:val="16"/>
                <w:szCs w:val="16"/>
                <w:lang w:val="ru-RU"/>
              </w:rPr>
              <w:t xml:space="preserve"> за 31 декабря</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117</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404</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признанные в отчетном периоде, в т.ч.</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89</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111</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 увеличение существующих обязательств</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списанные в отчетном периоде</w:t>
            </w:r>
          </w:p>
        </w:tc>
        <w:tc>
          <w:tcPr>
            <w:tcW w:w="1843"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(113)</w:t>
            </w:r>
          </w:p>
        </w:tc>
        <w:tc>
          <w:tcPr>
            <w:tcW w:w="1666" w:type="dxa"/>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(398)</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в т.ч. взыскано по искам</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(113)</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(394)</w:t>
            </w:r>
          </w:p>
        </w:tc>
      </w:tr>
      <w:tr w:rsidR="00B759E9" w:rsidRPr="00734191" w:rsidTr="00E362C0">
        <w:tc>
          <w:tcPr>
            <w:tcW w:w="6062"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восстановленные</w:t>
            </w:r>
          </w:p>
        </w:tc>
        <w:tc>
          <w:tcPr>
            <w:tcW w:w="1843"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1666"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r>
      <w:tr w:rsidR="00B759E9" w:rsidRPr="00734191" w:rsidTr="00E362C0">
        <w:tc>
          <w:tcPr>
            <w:tcW w:w="6062" w:type="dxa"/>
            <w:tcBorders>
              <w:bottom w:val="double" w:sz="4" w:space="0" w:color="auto"/>
            </w:tcBorders>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на конец отчетного периода</w:t>
            </w:r>
          </w:p>
        </w:tc>
        <w:tc>
          <w:tcPr>
            <w:tcW w:w="1843" w:type="dxa"/>
            <w:tcBorders>
              <w:bottom w:val="double" w:sz="4" w:space="0" w:color="auto"/>
            </w:tcBorders>
          </w:tcPr>
          <w:p w:rsidR="00B759E9" w:rsidRPr="00734191" w:rsidRDefault="00B759E9" w:rsidP="00E362C0">
            <w:pPr>
              <w:tabs>
                <w:tab w:val="center" w:pos="813"/>
                <w:tab w:val="left" w:pos="1290"/>
              </w:tabs>
              <w:overflowPunct/>
              <w:rPr>
                <w:rFonts w:eastAsiaTheme="minorHAnsi" w:cs="Arial"/>
                <w:b/>
                <w:sz w:val="16"/>
                <w:szCs w:val="16"/>
                <w:lang w:val="ru-RU"/>
              </w:rPr>
            </w:pPr>
            <w:r w:rsidRPr="00734191">
              <w:rPr>
                <w:rFonts w:eastAsiaTheme="minorHAnsi" w:cs="Arial"/>
                <w:b/>
                <w:sz w:val="16"/>
                <w:szCs w:val="16"/>
                <w:lang w:val="ru-RU"/>
              </w:rPr>
              <w:tab/>
              <w:t>93</w:t>
            </w:r>
            <w:r w:rsidRPr="00734191">
              <w:rPr>
                <w:rFonts w:eastAsiaTheme="minorHAnsi" w:cs="Arial"/>
                <w:b/>
                <w:sz w:val="16"/>
                <w:szCs w:val="16"/>
                <w:lang w:val="ru-RU"/>
              </w:rPr>
              <w:tab/>
            </w:r>
          </w:p>
        </w:tc>
        <w:tc>
          <w:tcPr>
            <w:tcW w:w="1666" w:type="dxa"/>
            <w:tcBorders>
              <w:bottom w:val="double" w:sz="4" w:space="0" w:color="auto"/>
            </w:tcBorders>
          </w:tcPr>
          <w:p w:rsidR="00B759E9" w:rsidRPr="00734191" w:rsidRDefault="00B759E9" w:rsidP="00E362C0">
            <w:pPr>
              <w:overflowPunct/>
              <w:jc w:val="center"/>
              <w:rPr>
                <w:rFonts w:eastAsiaTheme="minorHAnsi" w:cs="Arial"/>
                <w:b/>
                <w:sz w:val="16"/>
                <w:szCs w:val="16"/>
                <w:lang w:val="ru-RU"/>
              </w:rPr>
            </w:pPr>
            <w:r w:rsidRPr="00734191">
              <w:rPr>
                <w:rFonts w:eastAsiaTheme="minorHAnsi" w:cs="Arial"/>
                <w:b/>
                <w:sz w:val="16"/>
                <w:szCs w:val="16"/>
                <w:lang w:val="ru-RU"/>
              </w:rPr>
              <w:t>117</w:t>
            </w:r>
          </w:p>
        </w:tc>
      </w:tr>
    </w:tbl>
    <w:p w:rsidR="00B759E9" w:rsidRPr="00734191" w:rsidRDefault="00B759E9" w:rsidP="00B759E9">
      <w:pPr>
        <w:overflowPunct/>
        <w:spacing w:before="200"/>
        <w:jc w:val="both"/>
        <w:rPr>
          <w:rFonts w:eastAsiaTheme="minorHAnsi" w:cs="Arial"/>
          <w:sz w:val="20"/>
          <w:szCs w:val="20"/>
          <w:lang w:val="ru-RU"/>
        </w:rPr>
      </w:pPr>
      <w:r w:rsidRPr="00734191">
        <w:rPr>
          <w:rFonts w:eastAsiaTheme="minorHAnsi" w:cs="Arial"/>
          <w:sz w:val="20"/>
          <w:szCs w:val="20"/>
          <w:lang w:val="ru-RU"/>
        </w:rPr>
        <w:t>Дополнительная информация:</w:t>
      </w:r>
    </w:p>
    <w:p w:rsidR="00B759E9" w:rsidRPr="00734191" w:rsidRDefault="00B759E9" w:rsidP="00B759E9">
      <w:pPr>
        <w:overflowPunct/>
        <w:jc w:val="both"/>
        <w:rPr>
          <w:rFonts w:eastAsiaTheme="minorHAnsi" w:cs="Arial"/>
          <w:sz w:val="20"/>
          <w:szCs w:val="20"/>
          <w:lang w:val="ru-RU"/>
        </w:rPr>
      </w:pPr>
    </w:p>
    <w:tbl>
      <w:tblPr>
        <w:tblStyle w:val="affc"/>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6"/>
        <w:gridCol w:w="1366"/>
        <w:gridCol w:w="4677"/>
        <w:gridCol w:w="1134"/>
        <w:gridCol w:w="958"/>
      </w:tblGrid>
      <w:tr w:rsidR="00B759E9" w:rsidRPr="00734191" w:rsidTr="00E362C0">
        <w:tc>
          <w:tcPr>
            <w:tcW w:w="1436"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Характер обязательства</w:t>
            </w:r>
          </w:p>
        </w:tc>
        <w:tc>
          <w:tcPr>
            <w:tcW w:w="1366"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Ожидаемые сроки выбытия</w:t>
            </w:r>
          </w:p>
        </w:tc>
        <w:tc>
          <w:tcPr>
            <w:tcW w:w="4677"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Источники неопределенности,</w:t>
            </w:r>
          </w:p>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допущения в отношении будущих событий</w:t>
            </w:r>
          </w:p>
        </w:tc>
        <w:tc>
          <w:tcPr>
            <w:tcW w:w="1134"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Величина ожидаемого возмещения</w:t>
            </w:r>
          </w:p>
        </w:tc>
        <w:tc>
          <w:tcPr>
            <w:tcW w:w="958" w:type="dxa"/>
            <w:tcBorders>
              <w:top w:val="single" w:sz="4" w:space="0" w:color="auto"/>
              <w:bottom w:val="single" w:sz="4" w:space="0" w:color="auto"/>
            </w:tcBorders>
          </w:tcPr>
          <w:p w:rsidR="00B759E9" w:rsidRPr="00734191" w:rsidRDefault="00B759E9" w:rsidP="00E362C0">
            <w:pPr>
              <w:overflowPunct/>
              <w:jc w:val="center"/>
              <w:rPr>
                <w:rFonts w:eastAsiaTheme="minorHAnsi" w:cs="Arial"/>
                <w:b/>
                <w:sz w:val="14"/>
                <w:szCs w:val="14"/>
                <w:lang w:val="ru-RU"/>
              </w:rPr>
            </w:pPr>
            <w:r w:rsidRPr="00734191">
              <w:rPr>
                <w:rFonts w:eastAsiaTheme="minorHAnsi" w:cs="Arial"/>
                <w:b/>
                <w:sz w:val="14"/>
                <w:szCs w:val="14"/>
                <w:lang w:val="ru-RU"/>
              </w:rPr>
              <w:t>Величина актива</w:t>
            </w:r>
          </w:p>
        </w:tc>
      </w:tr>
      <w:tr w:rsidR="00B759E9" w:rsidRPr="00734191" w:rsidTr="00E362C0">
        <w:tc>
          <w:tcPr>
            <w:tcW w:w="1436" w:type="dxa"/>
            <w:vMerge w:val="restart"/>
            <w:tcBorders>
              <w:top w:val="single" w:sz="4" w:space="0" w:color="auto"/>
            </w:tcBorders>
          </w:tcPr>
          <w:p w:rsidR="00B759E9" w:rsidRPr="00734191" w:rsidRDefault="00B759E9" w:rsidP="00E362C0">
            <w:pPr>
              <w:overflowPunct/>
              <w:jc w:val="both"/>
              <w:rPr>
                <w:rFonts w:eastAsiaTheme="minorHAnsi" w:cs="Arial"/>
                <w:sz w:val="16"/>
                <w:szCs w:val="16"/>
                <w:lang w:val="ru-RU"/>
              </w:rPr>
            </w:pPr>
          </w:p>
          <w:p w:rsidR="00B759E9" w:rsidRPr="00734191" w:rsidRDefault="00B759E9" w:rsidP="00E362C0">
            <w:pPr>
              <w:overflowPunct/>
              <w:rPr>
                <w:rFonts w:eastAsiaTheme="minorHAnsi" w:cs="Arial"/>
                <w:sz w:val="16"/>
                <w:szCs w:val="16"/>
                <w:lang w:val="ru-RU"/>
              </w:rPr>
            </w:pPr>
            <w:r w:rsidRPr="00734191">
              <w:rPr>
                <w:rFonts w:eastAsiaTheme="minorHAnsi" w:cs="Arial"/>
                <w:sz w:val="16"/>
                <w:szCs w:val="16"/>
                <w:lang w:val="ru-RU"/>
              </w:rPr>
              <w:t>Урегулирование споров и судебных разбирательств</w:t>
            </w:r>
          </w:p>
        </w:tc>
        <w:tc>
          <w:tcPr>
            <w:tcW w:w="1366" w:type="dxa"/>
            <w:vMerge w:val="restart"/>
            <w:tcBorders>
              <w:top w:val="single" w:sz="4" w:space="0" w:color="auto"/>
            </w:tcBorders>
          </w:tcPr>
          <w:p w:rsidR="00B759E9" w:rsidRPr="00734191" w:rsidRDefault="00B759E9" w:rsidP="00E362C0">
            <w:pPr>
              <w:overflowPunct/>
              <w:jc w:val="both"/>
              <w:rPr>
                <w:rFonts w:eastAsiaTheme="minorHAnsi" w:cs="Arial"/>
                <w:sz w:val="16"/>
                <w:szCs w:val="16"/>
                <w:lang w:val="ru-RU"/>
              </w:rPr>
            </w:pPr>
          </w:p>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краткосрочные</w:t>
            </w:r>
          </w:p>
        </w:tc>
        <w:tc>
          <w:tcPr>
            <w:tcW w:w="4677" w:type="dxa"/>
            <w:tcBorders>
              <w:top w:val="single" w:sz="4" w:space="0" w:color="auto"/>
            </w:tcBorders>
          </w:tcPr>
          <w:p w:rsidR="00B759E9" w:rsidRPr="00734191" w:rsidRDefault="00B759E9" w:rsidP="00E362C0">
            <w:pPr>
              <w:overflowPunct/>
              <w:jc w:val="both"/>
              <w:rPr>
                <w:rFonts w:eastAsiaTheme="minorHAnsi" w:cs="Arial"/>
                <w:sz w:val="16"/>
                <w:szCs w:val="16"/>
                <w:lang w:val="ru-RU"/>
              </w:rPr>
            </w:pPr>
          </w:p>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В исковых требованиях отказано, решение не вступило в законную силу</w:t>
            </w:r>
          </w:p>
          <w:p w:rsidR="00B759E9" w:rsidRPr="00734191" w:rsidRDefault="00B759E9" w:rsidP="00E362C0">
            <w:pPr>
              <w:overflowPunct/>
              <w:jc w:val="both"/>
              <w:rPr>
                <w:rFonts w:eastAsiaTheme="minorHAnsi" w:cs="Arial"/>
                <w:sz w:val="16"/>
                <w:szCs w:val="16"/>
                <w:lang w:val="ru-RU"/>
              </w:rPr>
            </w:pPr>
          </w:p>
        </w:tc>
        <w:tc>
          <w:tcPr>
            <w:tcW w:w="1134" w:type="dxa"/>
            <w:tcBorders>
              <w:top w:val="single" w:sz="4" w:space="0" w:color="auto"/>
            </w:tcBorders>
          </w:tcPr>
          <w:p w:rsidR="00B759E9" w:rsidRPr="00734191" w:rsidRDefault="00B759E9" w:rsidP="00E362C0">
            <w:pPr>
              <w:overflowPunct/>
              <w:jc w:val="center"/>
              <w:rPr>
                <w:rFonts w:eastAsiaTheme="minorHAnsi" w:cs="Arial"/>
                <w:sz w:val="16"/>
                <w:szCs w:val="16"/>
                <w:lang w:val="ru-RU"/>
              </w:rPr>
            </w:pPr>
          </w:p>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958" w:type="dxa"/>
            <w:tcBorders>
              <w:top w:val="single" w:sz="4" w:space="0" w:color="auto"/>
            </w:tcBorders>
          </w:tcPr>
          <w:p w:rsidR="00B759E9" w:rsidRPr="00734191" w:rsidRDefault="00B759E9" w:rsidP="00E362C0">
            <w:pPr>
              <w:overflowPunct/>
              <w:jc w:val="center"/>
              <w:rPr>
                <w:rFonts w:eastAsiaTheme="minorHAnsi" w:cs="Arial"/>
                <w:sz w:val="16"/>
                <w:szCs w:val="16"/>
                <w:lang w:val="ru-RU"/>
              </w:rPr>
            </w:pPr>
          </w:p>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995</w:t>
            </w:r>
          </w:p>
        </w:tc>
      </w:tr>
      <w:tr w:rsidR="00B759E9" w:rsidRPr="00734191" w:rsidTr="00E362C0">
        <w:tc>
          <w:tcPr>
            <w:tcW w:w="1436" w:type="dxa"/>
            <w:vMerge/>
          </w:tcPr>
          <w:p w:rsidR="00B759E9" w:rsidRPr="00734191" w:rsidRDefault="00B759E9" w:rsidP="00E362C0">
            <w:pPr>
              <w:overflowPunct/>
              <w:jc w:val="both"/>
              <w:rPr>
                <w:rFonts w:eastAsiaTheme="minorHAnsi" w:cs="Arial"/>
                <w:sz w:val="16"/>
                <w:szCs w:val="16"/>
                <w:lang w:val="ru-RU"/>
              </w:rPr>
            </w:pPr>
          </w:p>
        </w:tc>
        <w:tc>
          <w:tcPr>
            <w:tcW w:w="1366" w:type="dxa"/>
            <w:vMerge/>
          </w:tcPr>
          <w:p w:rsidR="00B759E9" w:rsidRPr="00734191" w:rsidRDefault="00B759E9" w:rsidP="00E362C0">
            <w:pPr>
              <w:overflowPunct/>
              <w:jc w:val="both"/>
              <w:rPr>
                <w:rFonts w:eastAsiaTheme="minorHAnsi" w:cs="Arial"/>
                <w:sz w:val="16"/>
                <w:szCs w:val="16"/>
                <w:lang w:val="ru-RU"/>
              </w:rPr>
            </w:pPr>
          </w:p>
        </w:tc>
        <w:tc>
          <w:tcPr>
            <w:tcW w:w="4677" w:type="dxa"/>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Списано 29.01.2019г.</w:t>
            </w:r>
          </w:p>
          <w:p w:rsidR="00B759E9" w:rsidRPr="00734191" w:rsidRDefault="00B759E9" w:rsidP="00E362C0">
            <w:pPr>
              <w:overflowPunct/>
              <w:jc w:val="both"/>
              <w:rPr>
                <w:rFonts w:eastAsiaTheme="minorHAnsi" w:cs="Arial"/>
                <w:sz w:val="16"/>
                <w:szCs w:val="16"/>
                <w:lang w:val="ru-RU"/>
              </w:rPr>
            </w:pPr>
          </w:p>
        </w:tc>
        <w:tc>
          <w:tcPr>
            <w:tcW w:w="1134"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958" w:type="dxa"/>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89</w:t>
            </w:r>
          </w:p>
        </w:tc>
      </w:tr>
      <w:tr w:rsidR="00B759E9" w:rsidRPr="00734191" w:rsidTr="00E362C0">
        <w:tc>
          <w:tcPr>
            <w:tcW w:w="1436" w:type="dxa"/>
            <w:vMerge/>
            <w:tcBorders>
              <w:bottom w:val="double" w:sz="4" w:space="0" w:color="auto"/>
            </w:tcBorders>
          </w:tcPr>
          <w:p w:rsidR="00B759E9" w:rsidRPr="00734191" w:rsidRDefault="00B759E9" w:rsidP="00E362C0">
            <w:pPr>
              <w:overflowPunct/>
              <w:jc w:val="both"/>
              <w:rPr>
                <w:rFonts w:eastAsiaTheme="minorHAnsi" w:cs="Arial"/>
                <w:sz w:val="16"/>
                <w:szCs w:val="16"/>
                <w:lang w:val="ru-RU"/>
              </w:rPr>
            </w:pPr>
          </w:p>
        </w:tc>
        <w:tc>
          <w:tcPr>
            <w:tcW w:w="1366" w:type="dxa"/>
            <w:vMerge/>
            <w:tcBorders>
              <w:bottom w:val="double" w:sz="4" w:space="0" w:color="auto"/>
            </w:tcBorders>
          </w:tcPr>
          <w:p w:rsidR="00B759E9" w:rsidRPr="00734191" w:rsidRDefault="00B759E9" w:rsidP="00E362C0">
            <w:pPr>
              <w:overflowPunct/>
              <w:jc w:val="both"/>
              <w:rPr>
                <w:rFonts w:eastAsiaTheme="minorHAnsi" w:cs="Arial"/>
                <w:sz w:val="16"/>
                <w:szCs w:val="16"/>
                <w:lang w:val="ru-RU"/>
              </w:rPr>
            </w:pPr>
          </w:p>
        </w:tc>
        <w:tc>
          <w:tcPr>
            <w:tcW w:w="4677" w:type="dxa"/>
            <w:tcBorders>
              <w:bottom w:val="double" w:sz="4" w:space="0" w:color="auto"/>
            </w:tcBorders>
          </w:tcPr>
          <w:p w:rsidR="00B759E9" w:rsidRPr="00734191" w:rsidRDefault="00B759E9" w:rsidP="00E362C0">
            <w:pPr>
              <w:overflowPunct/>
              <w:jc w:val="both"/>
              <w:rPr>
                <w:rFonts w:eastAsiaTheme="minorHAnsi" w:cs="Arial"/>
                <w:sz w:val="16"/>
                <w:szCs w:val="16"/>
                <w:lang w:val="ru-RU"/>
              </w:rPr>
            </w:pPr>
            <w:r w:rsidRPr="00734191">
              <w:rPr>
                <w:rFonts w:eastAsiaTheme="minorHAnsi" w:cs="Arial"/>
                <w:sz w:val="16"/>
                <w:szCs w:val="16"/>
                <w:lang w:val="ru-RU"/>
              </w:rPr>
              <w:t>Определение суда вступило в законную силу, исполнительный лист в Банк не предъявлен</w:t>
            </w:r>
          </w:p>
        </w:tc>
        <w:tc>
          <w:tcPr>
            <w:tcW w:w="1134" w:type="dxa"/>
            <w:tcBorders>
              <w:bottom w:val="double" w:sz="4" w:space="0" w:color="auto"/>
            </w:tcBorders>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w:t>
            </w:r>
          </w:p>
        </w:tc>
        <w:tc>
          <w:tcPr>
            <w:tcW w:w="958" w:type="dxa"/>
            <w:tcBorders>
              <w:bottom w:val="double" w:sz="4" w:space="0" w:color="auto"/>
            </w:tcBorders>
          </w:tcPr>
          <w:p w:rsidR="00B759E9" w:rsidRPr="00734191" w:rsidRDefault="00B759E9" w:rsidP="00E362C0">
            <w:pPr>
              <w:overflowPunct/>
              <w:jc w:val="center"/>
              <w:rPr>
                <w:rFonts w:eastAsiaTheme="minorHAnsi" w:cs="Arial"/>
                <w:sz w:val="16"/>
                <w:szCs w:val="16"/>
                <w:lang w:val="ru-RU"/>
              </w:rPr>
            </w:pPr>
            <w:r w:rsidRPr="00734191">
              <w:rPr>
                <w:rFonts w:eastAsiaTheme="minorHAnsi" w:cs="Arial"/>
                <w:sz w:val="16"/>
                <w:szCs w:val="16"/>
                <w:lang w:val="ru-RU"/>
              </w:rPr>
              <w:t>4</w:t>
            </w:r>
          </w:p>
        </w:tc>
      </w:tr>
    </w:tbl>
    <w:p w:rsidR="00B759E9" w:rsidRPr="00734191" w:rsidRDefault="00B759E9" w:rsidP="00B759E9">
      <w:pPr>
        <w:overflowPunct/>
        <w:jc w:val="both"/>
        <w:rPr>
          <w:rFonts w:eastAsiaTheme="minorHAnsi" w:cs="Arial"/>
          <w:sz w:val="20"/>
          <w:szCs w:val="20"/>
          <w:lang w:val="en-US"/>
        </w:rPr>
      </w:pPr>
    </w:p>
    <w:p w:rsidR="00B759E9" w:rsidRPr="00734191" w:rsidRDefault="00B759E9" w:rsidP="00B759E9">
      <w:pPr>
        <w:overflowPunct/>
        <w:jc w:val="both"/>
        <w:rPr>
          <w:rFonts w:eastAsiaTheme="minorHAnsi" w:cs="Arial"/>
          <w:sz w:val="20"/>
          <w:szCs w:val="20"/>
          <w:lang w:val="ru-RU"/>
        </w:rPr>
      </w:pPr>
      <w:r w:rsidRPr="00734191">
        <w:rPr>
          <w:rFonts w:eastAsiaTheme="minorHAnsi" w:cs="Arial"/>
          <w:sz w:val="20"/>
          <w:szCs w:val="20"/>
          <w:lang w:val="ru-RU"/>
        </w:rPr>
        <w:t>Ожидаемых возмещений по встречным требованиям или требованиям к другим лицам при исполнении обязательств, признанных самостоятельным активом у Банка нет.</w:t>
      </w:r>
    </w:p>
    <w:p w:rsidR="00B759E9" w:rsidRPr="00734191" w:rsidRDefault="009436A1" w:rsidP="00B759E9">
      <w:pPr>
        <w:overflowPunct/>
        <w:jc w:val="both"/>
        <w:rPr>
          <w:rFonts w:eastAsiaTheme="minorHAnsi" w:cs="Arial"/>
          <w:sz w:val="20"/>
          <w:szCs w:val="20"/>
          <w:lang w:val="ru-RU"/>
        </w:rPr>
      </w:pPr>
      <w:r>
        <w:rPr>
          <w:rFonts w:eastAsiaTheme="minorHAnsi" w:cs="Arial"/>
          <w:sz w:val="20"/>
          <w:szCs w:val="20"/>
          <w:lang w:val="ru-RU"/>
        </w:rPr>
        <w:lastRenderedPageBreak/>
        <w:t xml:space="preserve">Равных обстоятельств </w:t>
      </w:r>
      <w:r w:rsidR="00B759E9" w:rsidRPr="00734191">
        <w:rPr>
          <w:rFonts w:eastAsiaTheme="minorHAnsi" w:cs="Arial"/>
          <w:sz w:val="20"/>
          <w:szCs w:val="20"/>
          <w:lang w:val="ru-RU"/>
        </w:rPr>
        <w:t>для создания резервов - оценочных обязательств и возникновение условных обязательств, а так же взаимосвязи между резервами – оценочными обязательствами и условными обязательствами в отчетном периоде не имелось.</w:t>
      </w:r>
    </w:p>
    <w:p w:rsidR="00B759E9" w:rsidRPr="00734191" w:rsidRDefault="00B759E9" w:rsidP="00B759E9">
      <w:pPr>
        <w:tabs>
          <w:tab w:val="left" w:pos="1584"/>
        </w:tabs>
        <w:overflowPunct/>
        <w:autoSpaceDE/>
        <w:autoSpaceDN/>
        <w:adjustRightInd/>
        <w:rPr>
          <w:rFonts w:cs="Arial"/>
          <w:b/>
          <w:bCs/>
          <w:sz w:val="20"/>
          <w:szCs w:val="20"/>
          <w:lang w:val="ru-RU" w:eastAsia="ru-RU"/>
        </w:rPr>
      </w:pPr>
    </w:p>
    <w:p w:rsidR="00B759E9" w:rsidRPr="00734191" w:rsidRDefault="00B759E9" w:rsidP="00B759E9">
      <w:pPr>
        <w:tabs>
          <w:tab w:val="left" w:pos="1584"/>
        </w:tabs>
        <w:overflowPunct/>
        <w:autoSpaceDE/>
        <w:autoSpaceDN/>
        <w:adjustRightInd/>
        <w:rPr>
          <w:rFonts w:cs="Arial"/>
          <w:b/>
          <w:bCs/>
          <w:sz w:val="20"/>
          <w:szCs w:val="20"/>
          <w:lang w:val="ru-RU" w:eastAsia="ru-RU"/>
        </w:rPr>
      </w:pPr>
      <w:r w:rsidRPr="00734191">
        <w:rPr>
          <w:rFonts w:cs="Arial"/>
          <w:b/>
          <w:bCs/>
          <w:sz w:val="20"/>
          <w:szCs w:val="20"/>
          <w:lang w:val="ru-RU" w:eastAsia="ru-RU"/>
        </w:rPr>
        <w:t>Условные обязательства кредитного характера</w:t>
      </w:r>
    </w:p>
    <w:p w:rsidR="00B759E9" w:rsidRPr="00734191" w:rsidRDefault="00B759E9" w:rsidP="00B759E9">
      <w:pPr>
        <w:jc w:val="both"/>
        <w:rPr>
          <w:rFonts w:cs="Arial"/>
          <w:color w:val="FF0000"/>
          <w:sz w:val="20"/>
          <w:szCs w:val="20"/>
          <w:lang w:val="ru-RU"/>
        </w:rPr>
      </w:pPr>
    </w:p>
    <w:tbl>
      <w:tblPr>
        <w:tblW w:w="9087" w:type="dxa"/>
        <w:tblInd w:w="93" w:type="dxa"/>
        <w:tblLook w:val="04A0" w:firstRow="1" w:lastRow="0" w:firstColumn="1" w:lastColumn="0" w:noHBand="0" w:noVBand="1"/>
      </w:tblPr>
      <w:tblGrid>
        <w:gridCol w:w="2500"/>
        <w:gridCol w:w="1620"/>
        <w:gridCol w:w="1620"/>
        <w:gridCol w:w="1620"/>
        <w:gridCol w:w="1727"/>
      </w:tblGrid>
      <w:tr w:rsidR="00B759E9" w:rsidRPr="00734191" w:rsidTr="00E362C0">
        <w:trPr>
          <w:trHeight w:val="240"/>
        </w:trPr>
        <w:tc>
          <w:tcPr>
            <w:tcW w:w="2500" w:type="dxa"/>
            <w:tcBorders>
              <w:top w:val="single" w:sz="4" w:space="0" w:color="auto"/>
              <w:left w:val="nil"/>
              <w:right w:val="nil"/>
            </w:tcBorders>
            <w:shd w:val="clear" w:color="auto" w:fill="auto"/>
            <w:noWrap/>
            <w:vAlign w:val="bottom"/>
            <w:hideMark/>
          </w:tcPr>
          <w:p w:rsidR="00B759E9" w:rsidRPr="00734191" w:rsidRDefault="00B759E9" w:rsidP="00E362C0">
            <w:pPr>
              <w:overflowPunct/>
              <w:autoSpaceDE/>
              <w:autoSpaceDN/>
              <w:adjustRightInd/>
              <w:rPr>
                <w:rFonts w:cs="Arial"/>
                <w:b/>
                <w:bCs/>
                <w:sz w:val="16"/>
                <w:szCs w:val="16"/>
                <w:lang w:val="ru-RU" w:eastAsia="ru-RU"/>
              </w:rPr>
            </w:pPr>
            <w:r w:rsidRPr="00734191">
              <w:rPr>
                <w:rFonts w:cs="Arial"/>
                <w:b/>
                <w:bCs/>
                <w:sz w:val="16"/>
                <w:szCs w:val="16"/>
                <w:lang w:val="ru-RU" w:eastAsia="ru-RU"/>
              </w:rPr>
              <w:t> </w:t>
            </w:r>
          </w:p>
        </w:tc>
        <w:tc>
          <w:tcPr>
            <w:tcW w:w="3240" w:type="dxa"/>
            <w:gridSpan w:val="2"/>
            <w:tcBorders>
              <w:top w:val="single" w:sz="4" w:space="0" w:color="auto"/>
              <w:left w:val="nil"/>
              <w:bottom w:val="single" w:sz="8" w:space="0" w:color="auto"/>
              <w:right w:val="nil"/>
            </w:tcBorders>
            <w:shd w:val="clear" w:color="auto" w:fill="auto"/>
            <w:noWrap/>
            <w:vAlign w:val="bottom"/>
            <w:hideMark/>
          </w:tcPr>
          <w:p w:rsidR="00B759E9" w:rsidRPr="00734191" w:rsidRDefault="00B759E9" w:rsidP="00E362C0">
            <w:pPr>
              <w:overflowPunct/>
              <w:autoSpaceDE/>
              <w:autoSpaceDN/>
              <w:adjustRightInd/>
              <w:jc w:val="center"/>
              <w:rPr>
                <w:rFonts w:cs="Arial"/>
                <w:b/>
                <w:bCs/>
                <w:sz w:val="16"/>
                <w:szCs w:val="16"/>
                <w:lang w:val="ru-RU" w:eastAsia="ru-RU"/>
              </w:rPr>
            </w:pPr>
          </w:p>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31.12.2018</w:t>
            </w:r>
          </w:p>
        </w:tc>
        <w:tc>
          <w:tcPr>
            <w:tcW w:w="3347" w:type="dxa"/>
            <w:gridSpan w:val="2"/>
            <w:tcBorders>
              <w:top w:val="single" w:sz="4" w:space="0" w:color="auto"/>
              <w:left w:val="nil"/>
              <w:bottom w:val="single" w:sz="8" w:space="0" w:color="auto"/>
              <w:right w:val="nil"/>
            </w:tcBorders>
            <w:shd w:val="clear" w:color="auto" w:fill="auto"/>
            <w:noWrap/>
            <w:vAlign w:val="bottom"/>
            <w:hideMark/>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31.12.2017</w:t>
            </w:r>
          </w:p>
        </w:tc>
      </w:tr>
      <w:tr w:rsidR="00B759E9" w:rsidRPr="00734191" w:rsidTr="00E362C0">
        <w:trPr>
          <w:trHeight w:val="443"/>
        </w:trPr>
        <w:tc>
          <w:tcPr>
            <w:tcW w:w="2500" w:type="dxa"/>
            <w:tcBorders>
              <w:left w:val="nil"/>
              <w:bottom w:val="single" w:sz="4" w:space="0" w:color="auto"/>
              <w:right w:val="nil"/>
            </w:tcBorders>
            <w:shd w:val="clear" w:color="auto" w:fill="auto"/>
            <w:noWrap/>
            <w:vAlign w:val="bottom"/>
            <w:hideMark/>
          </w:tcPr>
          <w:p w:rsidR="00B759E9" w:rsidRPr="00734191" w:rsidRDefault="00B759E9" w:rsidP="00E362C0">
            <w:pPr>
              <w:overflowPunct/>
              <w:autoSpaceDE/>
              <w:autoSpaceDN/>
              <w:adjustRightInd/>
              <w:rPr>
                <w:rFonts w:cs="Arial"/>
                <w:b/>
                <w:bCs/>
                <w:sz w:val="16"/>
                <w:szCs w:val="16"/>
                <w:lang w:val="ru-RU" w:eastAsia="ru-RU"/>
              </w:rPr>
            </w:pPr>
            <w:r w:rsidRPr="00734191">
              <w:rPr>
                <w:rFonts w:cs="Arial"/>
                <w:b/>
                <w:bCs/>
                <w:sz w:val="16"/>
                <w:szCs w:val="16"/>
                <w:lang w:val="ru-RU" w:eastAsia="ru-RU"/>
              </w:rPr>
              <w:t> </w:t>
            </w:r>
          </w:p>
        </w:tc>
        <w:tc>
          <w:tcPr>
            <w:tcW w:w="1620" w:type="dxa"/>
            <w:tcBorders>
              <w:top w:val="nil"/>
              <w:left w:val="nil"/>
              <w:bottom w:val="single" w:sz="4" w:space="0" w:color="auto"/>
              <w:right w:val="nil"/>
            </w:tcBorders>
            <w:shd w:val="clear" w:color="auto" w:fill="auto"/>
            <w:hideMark/>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 xml:space="preserve"> условные обязательства</w:t>
            </w:r>
          </w:p>
        </w:tc>
        <w:tc>
          <w:tcPr>
            <w:tcW w:w="1620" w:type="dxa"/>
            <w:tcBorders>
              <w:top w:val="nil"/>
              <w:left w:val="nil"/>
              <w:bottom w:val="single" w:sz="4" w:space="0" w:color="auto"/>
              <w:right w:val="nil"/>
            </w:tcBorders>
            <w:shd w:val="clear" w:color="auto" w:fill="auto"/>
            <w:hideMark/>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РВП</w:t>
            </w:r>
          </w:p>
        </w:tc>
        <w:tc>
          <w:tcPr>
            <w:tcW w:w="1620" w:type="dxa"/>
            <w:tcBorders>
              <w:top w:val="nil"/>
              <w:left w:val="nil"/>
              <w:bottom w:val="single" w:sz="4" w:space="0" w:color="auto"/>
              <w:right w:val="nil"/>
            </w:tcBorders>
            <w:shd w:val="clear" w:color="auto" w:fill="auto"/>
            <w:hideMark/>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 xml:space="preserve"> условные обязательства</w:t>
            </w:r>
          </w:p>
        </w:tc>
        <w:tc>
          <w:tcPr>
            <w:tcW w:w="1727" w:type="dxa"/>
            <w:tcBorders>
              <w:top w:val="nil"/>
              <w:left w:val="nil"/>
              <w:bottom w:val="single" w:sz="4" w:space="0" w:color="auto"/>
              <w:right w:val="nil"/>
            </w:tcBorders>
            <w:shd w:val="clear" w:color="auto" w:fill="auto"/>
            <w:hideMark/>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РВП</w:t>
            </w:r>
          </w:p>
        </w:tc>
      </w:tr>
      <w:tr w:rsidR="00B759E9" w:rsidRPr="00734191" w:rsidTr="00E362C0">
        <w:trPr>
          <w:trHeight w:val="450"/>
        </w:trPr>
        <w:tc>
          <w:tcPr>
            <w:tcW w:w="2500" w:type="dxa"/>
            <w:tcBorders>
              <w:top w:val="nil"/>
              <w:left w:val="nil"/>
              <w:bottom w:val="nil"/>
              <w:right w:val="nil"/>
            </w:tcBorders>
            <w:shd w:val="clear" w:color="auto" w:fill="auto"/>
            <w:hideMark/>
          </w:tcPr>
          <w:p w:rsidR="00B759E9" w:rsidRPr="00734191" w:rsidRDefault="00B759E9" w:rsidP="00E362C0">
            <w:pPr>
              <w:overflowPunct/>
              <w:autoSpaceDE/>
              <w:autoSpaceDN/>
              <w:adjustRightInd/>
              <w:rPr>
                <w:rFonts w:cs="Arial"/>
                <w:sz w:val="16"/>
                <w:szCs w:val="16"/>
                <w:lang w:val="ru-RU" w:eastAsia="ru-RU"/>
              </w:rPr>
            </w:pPr>
          </w:p>
          <w:p w:rsidR="00B759E9" w:rsidRPr="00734191" w:rsidRDefault="00B759E9" w:rsidP="00E362C0">
            <w:pPr>
              <w:overflowPunct/>
              <w:autoSpaceDE/>
              <w:autoSpaceDN/>
              <w:adjustRightInd/>
              <w:rPr>
                <w:rFonts w:cs="Arial"/>
                <w:sz w:val="16"/>
                <w:szCs w:val="16"/>
                <w:lang w:val="ru-RU" w:eastAsia="ru-RU"/>
              </w:rPr>
            </w:pPr>
            <w:r w:rsidRPr="00734191">
              <w:rPr>
                <w:rFonts w:cs="Arial"/>
                <w:sz w:val="16"/>
                <w:szCs w:val="16"/>
                <w:lang w:val="ru-RU" w:eastAsia="ru-RU"/>
              </w:rPr>
              <w:t>Условные обязательства кредитного характера, кроме выданных гарантий</w:t>
            </w:r>
          </w:p>
        </w:tc>
        <w:tc>
          <w:tcPr>
            <w:tcW w:w="1620" w:type="dxa"/>
            <w:tcBorders>
              <w:top w:val="nil"/>
              <w:left w:val="nil"/>
              <w:bottom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1 364 812</w:t>
            </w:r>
          </w:p>
        </w:tc>
        <w:tc>
          <w:tcPr>
            <w:tcW w:w="1620" w:type="dxa"/>
            <w:tcBorders>
              <w:top w:val="nil"/>
              <w:left w:val="nil"/>
              <w:bottom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(14 365)</w:t>
            </w:r>
          </w:p>
        </w:tc>
        <w:tc>
          <w:tcPr>
            <w:tcW w:w="1620" w:type="dxa"/>
            <w:tcBorders>
              <w:top w:val="nil"/>
              <w:left w:val="nil"/>
              <w:bottom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1 378 264</w:t>
            </w:r>
          </w:p>
        </w:tc>
        <w:tc>
          <w:tcPr>
            <w:tcW w:w="1727" w:type="dxa"/>
            <w:tcBorders>
              <w:top w:val="nil"/>
              <w:left w:val="nil"/>
              <w:bottom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(27 354)</w:t>
            </w:r>
          </w:p>
        </w:tc>
      </w:tr>
      <w:tr w:rsidR="00B759E9" w:rsidRPr="00734191" w:rsidTr="00E362C0">
        <w:trPr>
          <w:trHeight w:val="280"/>
        </w:trPr>
        <w:tc>
          <w:tcPr>
            <w:tcW w:w="2500" w:type="dxa"/>
            <w:tcBorders>
              <w:top w:val="nil"/>
              <w:left w:val="nil"/>
              <w:right w:val="nil"/>
            </w:tcBorders>
            <w:shd w:val="clear" w:color="auto" w:fill="auto"/>
            <w:hideMark/>
          </w:tcPr>
          <w:p w:rsidR="00B759E9" w:rsidRPr="00734191" w:rsidRDefault="00B759E9" w:rsidP="00E362C0">
            <w:pPr>
              <w:overflowPunct/>
              <w:autoSpaceDE/>
              <w:autoSpaceDN/>
              <w:adjustRightInd/>
              <w:rPr>
                <w:rFonts w:cs="Arial"/>
                <w:sz w:val="16"/>
                <w:szCs w:val="16"/>
                <w:lang w:val="ru-RU" w:eastAsia="ru-RU"/>
              </w:rPr>
            </w:pPr>
          </w:p>
          <w:p w:rsidR="00B759E9" w:rsidRPr="00734191" w:rsidRDefault="00B759E9" w:rsidP="00E362C0">
            <w:pPr>
              <w:overflowPunct/>
              <w:autoSpaceDE/>
              <w:autoSpaceDN/>
              <w:adjustRightInd/>
              <w:rPr>
                <w:rFonts w:cs="Arial"/>
                <w:sz w:val="16"/>
                <w:szCs w:val="16"/>
                <w:lang w:val="ru-RU" w:eastAsia="ru-RU"/>
              </w:rPr>
            </w:pPr>
            <w:r w:rsidRPr="00734191">
              <w:rPr>
                <w:rFonts w:cs="Arial"/>
                <w:sz w:val="16"/>
                <w:szCs w:val="16"/>
                <w:lang w:val="ru-RU" w:eastAsia="ru-RU"/>
              </w:rPr>
              <w:t>Выданные гарантии и поручительства</w:t>
            </w:r>
          </w:p>
        </w:tc>
        <w:tc>
          <w:tcPr>
            <w:tcW w:w="1620" w:type="dxa"/>
            <w:tcBorders>
              <w:top w:val="nil"/>
              <w:left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694 860</w:t>
            </w:r>
          </w:p>
        </w:tc>
        <w:tc>
          <w:tcPr>
            <w:tcW w:w="1620" w:type="dxa"/>
            <w:tcBorders>
              <w:top w:val="nil"/>
              <w:left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(9 456)</w:t>
            </w:r>
          </w:p>
        </w:tc>
        <w:tc>
          <w:tcPr>
            <w:tcW w:w="1620" w:type="dxa"/>
            <w:tcBorders>
              <w:top w:val="nil"/>
              <w:left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713 763</w:t>
            </w:r>
          </w:p>
        </w:tc>
        <w:tc>
          <w:tcPr>
            <w:tcW w:w="1727" w:type="dxa"/>
            <w:tcBorders>
              <w:top w:val="nil"/>
              <w:left w:val="nil"/>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(13 914)</w:t>
            </w:r>
          </w:p>
        </w:tc>
      </w:tr>
      <w:tr w:rsidR="00B759E9" w:rsidRPr="00734191" w:rsidTr="00E362C0">
        <w:trPr>
          <w:trHeight w:val="280"/>
        </w:trPr>
        <w:tc>
          <w:tcPr>
            <w:tcW w:w="2500" w:type="dxa"/>
            <w:tcBorders>
              <w:top w:val="nil"/>
              <w:left w:val="nil"/>
              <w:bottom w:val="single" w:sz="4" w:space="0" w:color="auto"/>
              <w:right w:val="nil"/>
            </w:tcBorders>
            <w:shd w:val="clear" w:color="auto" w:fill="auto"/>
          </w:tcPr>
          <w:p w:rsidR="00B759E9" w:rsidRPr="00734191" w:rsidRDefault="00B759E9" w:rsidP="00E362C0">
            <w:pPr>
              <w:overflowPunct/>
              <w:rPr>
                <w:rFonts w:eastAsiaTheme="minorHAnsi" w:cs="Arial"/>
                <w:bCs/>
                <w:sz w:val="16"/>
                <w:szCs w:val="16"/>
                <w:lang w:val="ru-RU"/>
              </w:rPr>
            </w:pPr>
          </w:p>
          <w:p w:rsidR="00B759E9" w:rsidRPr="00734191" w:rsidRDefault="00B759E9" w:rsidP="00E362C0">
            <w:pPr>
              <w:overflowPunct/>
              <w:rPr>
                <w:rFonts w:eastAsiaTheme="minorHAnsi" w:cs="Arial"/>
                <w:bCs/>
                <w:sz w:val="16"/>
                <w:szCs w:val="16"/>
                <w:lang w:val="ru-RU"/>
              </w:rPr>
            </w:pPr>
            <w:r w:rsidRPr="00734191">
              <w:rPr>
                <w:rFonts w:eastAsiaTheme="minorHAnsi" w:cs="Arial"/>
                <w:bCs/>
                <w:sz w:val="16"/>
                <w:szCs w:val="16"/>
                <w:lang w:val="ru-RU"/>
              </w:rPr>
              <w:t>Неиспользованные лимиты по выдаче банковских гарантий</w:t>
            </w:r>
          </w:p>
        </w:tc>
        <w:tc>
          <w:tcPr>
            <w:tcW w:w="1620" w:type="dxa"/>
            <w:tcBorders>
              <w:top w:val="nil"/>
              <w:left w:val="nil"/>
              <w:bottom w:val="sing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229 037</w:t>
            </w:r>
          </w:p>
        </w:tc>
        <w:tc>
          <w:tcPr>
            <w:tcW w:w="1620" w:type="dxa"/>
            <w:tcBorders>
              <w:top w:val="nil"/>
              <w:left w:val="nil"/>
              <w:bottom w:val="sing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w:t>
            </w:r>
          </w:p>
        </w:tc>
        <w:tc>
          <w:tcPr>
            <w:tcW w:w="1620" w:type="dxa"/>
            <w:tcBorders>
              <w:top w:val="nil"/>
              <w:left w:val="nil"/>
              <w:bottom w:val="sing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110 412</w:t>
            </w:r>
          </w:p>
        </w:tc>
        <w:tc>
          <w:tcPr>
            <w:tcW w:w="1727" w:type="dxa"/>
            <w:tcBorders>
              <w:top w:val="nil"/>
              <w:left w:val="nil"/>
              <w:bottom w:val="sing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sz w:val="16"/>
                <w:szCs w:val="16"/>
                <w:lang w:val="ru-RU" w:eastAsia="ru-RU"/>
              </w:rPr>
            </w:pPr>
            <w:r w:rsidRPr="00734191">
              <w:rPr>
                <w:rFonts w:cs="Arial"/>
                <w:sz w:val="16"/>
                <w:szCs w:val="16"/>
                <w:lang w:val="ru-RU" w:eastAsia="ru-RU"/>
              </w:rPr>
              <w:t>-</w:t>
            </w:r>
          </w:p>
        </w:tc>
      </w:tr>
      <w:tr w:rsidR="00B759E9" w:rsidRPr="00734191" w:rsidTr="00E362C0">
        <w:trPr>
          <w:trHeight w:val="152"/>
        </w:trPr>
        <w:tc>
          <w:tcPr>
            <w:tcW w:w="2500" w:type="dxa"/>
            <w:tcBorders>
              <w:top w:val="single" w:sz="4" w:space="0" w:color="auto"/>
              <w:left w:val="nil"/>
              <w:bottom w:val="double" w:sz="4" w:space="0" w:color="auto"/>
              <w:right w:val="nil"/>
            </w:tcBorders>
            <w:shd w:val="clear" w:color="auto" w:fill="auto"/>
            <w:hideMark/>
          </w:tcPr>
          <w:p w:rsidR="00B759E9" w:rsidRPr="00734191" w:rsidRDefault="00B759E9" w:rsidP="00E362C0">
            <w:pPr>
              <w:overflowPunct/>
              <w:autoSpaceDE/>
              <w:autoSpaceDN/>
              <w:adjustRightInd/>
              <w:rPr>
                <w:rFonts w:cs="Arial"/>
                <w:b/>
                <w:bCs/>
                <w:sz w:val="16"/>
                <w:szCs w:val="16"/>
                <w:lang w:val="ru-RU" w:eastAsia="ru-RU"/>
              </w:rPr>
            </w:pPr>
            <w:r w:rsidRPr="00734191">
              <w:rPr>
                <w:rFonts w:cs="Arial"/>
                <w:b/>
                <w:bCs/>
                <w:sz w:val="16"/>
                <w:szCs w:val="16"/>
                <w:lang w:val="ru-RU" w:eastAsia="ru-RU"/>
              </w:rPr>
              <w:t> </w:t>
            </w:r>
          </w:p>
        </w:tc>
        <w:tc>
          <w:tcPr>
            <w:tcW w:w="1620" w:type="dxa"/>
            <w:tcBorders>
              <w:top w:val="single" w:sz="4" w:space="0" w:color="auto"/>
              <w:left w:val="nil"/>
              <w:bottom w:val="doub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2 288 709</w:t>
            </w:r>
          </w:p>
        </w:tc>
        <w:tc>
          <w:tcPr>
            <w:tcW w:w="1620" w:type="dxa"/>
            <w:tcBorders>
              <w:top w:val="single" w:sz="4" w:space="0" w:color="auto"/>
              <w:left w:val="nil"/>
              <w:bottom w:val="doub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(23 821)</w:t>
            </w:r>
          </w:p>
        </w:tc>
        <w:tc>
          <w:tcPr>
            <w:tcW w:w="1620" w:type="dxa"/>
            <w:tcBorders>
              <w:top w:val="single" w:sz="4" w:space="0" w:color="auto"/>
              <w:left w:val="nil"/>
              <w:bottom w:val="doub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b/>
                <w:bCs/>
                <w:sz w:val="16"/>
                <w:szCs w:val="16"/>
                <w:lang w:val="en-US" w:eastAsia="ru-RU"/>
              </w:rPr>
            </w:pPr>
            <w:r w:rsidRPr="00734191">
              <w:rPr>
                <w:rFonts w:cs="Arial"/>
                <w:b/>
                <w:bCs/>
                <w:sz w:val="16"/>
                <w:szCs w:val="16"/>
                <w:lang w:val="en-US" w:eastAsia="ru-RU"/>
              </w:rPr>
              <w:t>2 202 439</w:t>
            </w:r>
          </w:p>
        </w:tc>
        <w:tc>
          <w:tcPr>
            <w:tcW w:w="1727" w:type="dxa"/>
            <w:tcBorders>
              <w:top w:val="single" w:sz="4" w:space="0" w:color="auto"/>
              <w:left w:val="nil"/>
              <w:bottom w:val="double" w:sz="4" w:space="0" w:color="auto"/>
              <w:right w:val="nil"/>
            </w:tcBorders>
            <w:shd w:val="clear" w:color="auto" w:fill="auto"/>
            <w:noWrap/>
            <w:vAlign w:val="bottom"/>
          </w:tcPr>
          <w:p w:rsidR="00B759E9" w:rsidRPr="00734191" w:rsidRDefault="00B759E9" w:rsidP="00E362C0">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(41 268)</w:t>
            </w:r>
          </w:p>
        </w:tc>
      </w:tr>
      <w:tr w:rsidR="00B759E9" w:rsidRPr="00734191" w:rsidTr="00E362C0">
        <w:trPr>
          <w:trHeight w:val="270"/>
        </w:trPr>
        <w:tc>
          <w:tcPr>
            <w:tcW w:w="2500" w:type="dxa"/>
            <w:tcBorders>
              <w:top w:val="double" w:sz="4" w:space="0" w:color="auto"/>
              <w:left w:val="nil"/>
              <w:bottom w:val="nil"/>
              <w:right w:val="nil"/>
            </w:tcBorders>
            <w:shd w:val="clear" w:color="auto" w:fill="auto"/>
            <w:hideMark/>
          </w:tcPr>
          <w:p w:rsidR="00B759E9" w:rsidRPr="00734191" w:rsidRDefault="00B759E9" w:rsidP="00E362C0">
            <w:pPr>
              <w:overflowPunct/>
              <w:autoSpaceDE/>
              <w:autoSpaceDN/>
              <w:adjustRightInd/>
              <w:rPr>
                <w:rFonts w:cs="Arial"/>
                <w:sz w:val="20"/>
                <w:szCs w:val="20"/>
                <w:lang w:val="ru-RU" w:eastAsia="ru-RU"/>
              </w:rPr>
            </w:pPr>
          </w:p>
        </w:tc>
        <w:tc>
          <w:tcPr>
            <w:tcW w:w="1620" w:type="dxa"/>
            <w:tcBorders>
              <w:top w:val="double" w:sz="4" w:space="0" w:color="auto"/>
              <w:left w:val="nil"/>
              <w:bottom w:val="nil"/>
              <w:right w:val="nil"/>
            </w:tcBorders>
            <w:shd w:val="clear" w:color="auto" w:fill="auto"/>
            <w:noWrap/>
            <w:vAlign w:val="bottom"/>
            <w:hideMark/>
          </w:tcPr>
          <w:p w:rsidR="00B759E9" w:rsidRPr="00734191" w:rsidRDefault="00B759E9" w:rsidP="00E362C0">
            <w:pPr>
              <w:overflowPunct/>
              <w:autoSpaceDE/>
              <w:autoSpaceDN/>
              <w:adjustRightInd/>
              <w:rPr>
                <w:rFonts w:cs="Arial"/>
                <w:sz w:val="20"/>
                <w:szCs w:val="20"/>
                <w:lang w:val="ru-RU" w:eastAsia="ru-RU"/>
              </w:rPr>
            </w:pPr>
          </w:p>
        </w:tc>
        <w:tc>
          <w:tcPr>
            <w:tcW w:w="1620" w:type="dxa"/>
            <w:tcBorders>
              <w:top w:val="double" w:sz="4" w:space="0" w:color="auto"/>
              <w:left w:val="nil"/>
              <w:bottom w:val="nil"/>
              <w:right w:val="nil"/>
            </w:tcBorders>
            <w:shd w:val="clear" w:color="auto" w:fill="auto"/>
            <w:noWrap/>
            <w:vAlign w:val="bottom"/>
            <w:hideMark/>
          </w:tcPr>
          <w:p w:rsidR="00B759E9" w:rsidRPr="00734191" w:rsidRDefault="00B759E9" w:rsidP="00E362C0">
            <w:pPr>
              <w:overflowPunct/>
              <w:autoSpaceDE/>
              <w:autoSpaceDN/>
              <w:adjustRightInd/>
              <w:rPr>
                <w:rFonts w:cs="Arial"/>
                <w:sz w:val="20"/>
                <w:szCs w:val="20"/>
                <w:lang w:val="ru-RU" w:eastAsia="ru-RU"/>
              </w:rPr>
            </w:pPr>
          </w:p>
        </w:tc>
        <w:tc>
          <w:tcPr>
            <w:tcW w:w="1620" w:type="dxa"/>
            <w:tcBorders>
              <w:top w:val="double" w:sz="4" w:space="0" w:color="auto"/>
              <w:left w:val="nil"/>
              <w:bottom w:val="nil"/>
              <w:right w:val="nil"/>
            </w:tcBorders>
            <w:shd w:val="clear" w:color="auto" w:fill="auto"/>
            <w:noWrap/>
            <w:vAlign w:val="bottom"/>
            <w:hideMark/>
          </w:tcPr>
          <w:p w:rsidR="00B759E9" w:rsidRPr="00734191" w:rsidRDefault="00B759E9" w:rsidP="00E362C0">
            <w:pPr>
              <w:overflowPunct/>
              <w:autoSpaceDE/>
              <w:autoSpaceDN/>
              <w:adjustRightInd/>
              <w:rPr>
                <w:rFonts w:cs="Arial"/>
                <w:sz w:val="20"/>
                <w:szCs w:val="20"/>
                <w:lang w:val="ru-RU" w:eastAsia="ru-RU"/>
              </w:rPr>
            </w:pPr>
          </w:p>
        </w:tc>
        <w:tc>
          <w:tcPr>
            <w:tcW w:w="1727" w:type="dxa"/>
            <w:tcBorders>
              <w:top w:val="double" w:sz="4" w:space="0" w:color="auto"/>
              <w:left w:val="nil"/>
              <w:bottom w:val="nil"/>
              <w:right w:val="nil"/>
            </w:tcBorders>
            <w:shd w:val="clear" w:color="auto" w:fill="auto"/>
            <w:noWrap/>
            <w:vAlign w:val="bottom"/>
            <w:hideMark/>
          </w:tcPr>
          <w:p w:rsidR="00B759E9" w:rsidRPr="00734191" w:rsidRDefault="00B759E9" w:rsidP="00E362C0">
            <w:pPr>
              <w:overflowPunct/>
              <w:autoSpaceDE/>
              <w:autoSpaceDN/>
              <w:adjustRightInd/>
              <w:rPr>
                <w:rFonts w:cs="Arial"/>
                <w:sz w:val="20"/>
                <w:szCs w:val="20"/>
                <w:lang w:val="ru-RU" w:eastAsia="ru-RU"/>
              </w:rPr>
            </w:pPr>
          </w:p>
        </w:tc>
      </w:tr>
    </w:tbl>
    <w:p w:rsidR="00B759E9" w:rsidRPr="00734191" w:rsidRDefault="00B759E9" w:rsidP="00B759E9">
      <w:pPr>
        <w:overflowPunct/>
        <w:jc w:val="both"/>
        <w:outlineLvl w:val="0"/>
        <w:rPr>
          <w:rFonts w:eastAsiaTheme="minorHAnsi" w:cs="Arial"/>
          <w:bCs/>
          <w:sz w:val="20"/>
          <w:szCs w:val="20"/>
          <w:lang w:val="ru-RU"/>
        </w:rPr>
      </w:pPr>
      <w:r w:rsidRPr="00734191">
        <w:rPr>
          <w:rFonts w:eastAsiaTheme="minorHAnsi" w:cs="Arial"/>
          <w:bCs/>
          <w:sz w:val="20"/>
          <w:szCs w:val="20"/>
          <w:lang w:val="ru-RU"/>
        </w:rPr>
        <w:t>Другой информации для раскрытия нет.</w:t>
      </w:r>
    </w:p>
    <w:p w:rsidR="00B759E9" w:rsidRDefault="00B759E9" w:rsidP="00B759E9">
      <w:pPr>
        <w:overflowPunct/>
        <w:jc w:val="both"/>
        <w:textAlignment w:val="auto"/>
        <w:rPr>
          <w:rFonts w:eastAsiaTheme="minorHAnsi" w:cs="Arial"/>
          <w:b/>
          <w:bCs/>
          <w:sz w:val="20"/>
          <w:szCs w:val="20"/>
          <w:lang w:val="ru-RU"/>
        </w:rPr>
      </w:pPr>
    </w:p>
    <w:p w:rsidR="009436A1" w:rsidRDefault="00E362C0" w:rsidP="00E362C0">
      <w:pPr>
        <w:overflowPunct/>
        <w:jc w:val="both"/>
        <w:textAlignment w:val="auto"/>
        <w:rPr>
          <w:rFonts w:eastAsiaTheme="minorHAnsi" w:cs="Arial"/>
          <w:b/>
          <w:bCs/>
          <w:sz w:val="20"/>
          <w:szCs w:val="20"/>
          <w:lang w:val="ru-RU"/>
        </w:rPr>
      </w:pPr>
      <w:r w:rsidRPr="00400EAB">
        <w:rPr>
          <w:rFonts w:eastAsiaTheme="minorHAnsi" w:cs="Arial"/>
          <w:b/>
          <w:bCs/>
          <w:sz w:val="20"/>
          <w:szCs w:val="20"/>
          <w:lang w:val="ru-RU"/>
        </w:rPr>
        <w:t xml:space="preserve">6.1.26. </w:t>
      </w:r>
      <w:r w:rsidR="009436A1">
        <w:rPr>
          <w:rFonts w:eastAsiaTheme="minorHAnsi" w:cs="Arial"/>
          <w:b/>
          <w:bCs/>
          <w:sz w:val="20"/>
          <w:szCs w:val="20"/>
          <w:lang w:val="ru-RU"/>
        </w:rPr>
        <w:t>Информация о неисполненных Банком обязательств</w:t>
      </w:r>
    </w:p>
    <w:p w:rsidR="00E362C0" w:rsidRPr="00400EAB" w:rsidRDefault="00400EAB" w:rsidP="00E362C0">
      <w:pPr>
        <w:overflowPunct/>
        <w:jc w:val="both"/>
        <w:textAlignment w:val="auto"/>
        <w:rPr>
          <w:rFonts w:eastAsiaTheme="minorHAnsi" w:cs="Arial"/>
          <w:bCs/>
          <w:sz w:val="20"/>
          <w:szCs w:val="20"/>
          <w:lang w:val="ru-RU"/>
        </w:rPr>
      </w:pPr>
      <w:r w:rsidRPr="001E7814">
        <w:rPr>
          <w:rFonts w:eastAsiaTheme="minorHAnsi" w:cs="Arial"/>
          <w:bCs/>
          <w:sz w:val="20"/>
          <w:szCs w:val="20"/>
          <w:lang w:val="ru-RU"/>
        </w:rPr>
        <w:t>Н</w:t>
      </w:r>
      <w:r w:rsidR="00E362C0" w:rsidRPr="001E7814">
        <w:rPr>
          <w:rFonts w:eastAsiaTheme="minorHAnsi" w:cs="Arial"/>
          <w:bCs/>
          <w:sz w:val="20"/>
          <w:szCs w:val="20"/>
          <w:lang w:val="ru-RU"/>
        </w:rPr>
        <w:t xml:space="preserve">еисполненных </w:t>
      </w:r>
      <w:r w:rsidRPr="001E7814">
        <w:rPr>
          <w:rFonts w:eastAsiaTheme="minorHAnsi" w:cs="Arial"/>
          <w:bCs/>
          <w:sz w:val="20"/>
          <w:szCs w:val="20"/>
          <w:lang w:val="ru-RU"/>
        </w:rPr>
        <w:t>обязательств за 31.1</w:t>
      </w:r>
      <w:r w:rsidR="009436A1">
        <w:rPr>
          <w:rFonts w:eastAsiaTheme="minorHAnsi" w:cs="Arial"/>
          <w:bCs/>
          <w:sz w:val="20"/>
          <w:szCs w:val="20"/>
          <w:lang w:val="ru-RU"/>
        </w:rPr>
        <w:t>2</w:t>
      </w:r>
      <w:r w:rsidRPr="001E7814">
        <w:rPr>
          <w:rFonts w:eastAsiaTheme="minorHAnsi" w:cs="Arial"/>
          <w:bCs/>
          <w:sz w:val="20"/>
          <w:szCs w:val="20"/>
          <w:lang w:val="ru-RU"/>
        </w:rPr>
        <w:t>.2018г. у Банка нет</w:t>
      </w:r>
      <w:r w:rsidR="009436A1">
        <w:rPr>
          <w:rFonts w:eastAsiaTheme="minorHAnsi" w:cs="Arial"/>
          <w:bCs/>
          <w:sz w:val="20"/>
          <w:szCs w:val="20"/>
          <w:lang w:val="ru-RU"/>
        </w:rPr>
        <w:t>.</w:t>
      </w:r>
    </w:p>
    <w:p w:rsidR="00E362C0" w:rsidRDefault="00E362C0" w:rsidP="00B759E9">
      <w:pPr>
        <w:overflowPunct/>
        <w:jc w:val="both"/>
        <w:textAlignment w:val="auto"/>
        <w:rPr>
          <w:rFonts w:eastAsiaTheme="minorHAnsi" w:cs="Arial"/>
          <w:b/>
          <w:bCs/>
          <w:sz w:val="20"/>
          <w:szCs w:val="20"/>
          <w:lang w:val="ru-RU"/>
        </w:rPr>
      </w:pPr>
    </w:p>
    <w:p w:rsidR="00400EAB" w:rsidRDefault="00400EAB" w:rsidP="00400EAB">
      <w:pPr>
        <w:overflowPunct/>
        <w:jc w:val="both"/>
        <w:textAlignment w:val="auto"/>
        <w:rPr>
          <w:rFonts w:eastAsiaTheme="minorHAnsi" w:cs="Arial"/>
          <w:b/>
          <w:bCs/>
          <w:sz w:val="20"/>
          <w:szCs w:val="20"/>
          <w:lang w:val="ru-RU"/>
        </w:rPr>
      </w:pPr>
      <w:r>
        <w:rPr>
          <w:rFonts w:cs="Arial"/>
          <w:b/>
          <w:sz w:val="20"/>
          <w:szCs w:val="20"/>
          <w:lang w:val="ru-RU"/>
        </w:rPr>
        <w:t>6</w:t>
      </w:r>
      <w:r w:rsidRPr="000B7B11">
        <w:rPr>
          <w:rFonts w:cs="Arial"/>
          <w:b/>
          <w:sz w:val="20"/>
          <w:szCs w:val="20"/>
          <w:lang w:val="ru-RU"/>
        </w:rPr>
        <w:t>.1.</w:t>
      </w:r>
      <w:r>
        <w:rPr>
          <w:rFonts w:cs="Arial"/>
          <w:b/>
          <w:sz w:val="20"/>
          <w:szCs w:val="20"/>
          <w:lang w:val="ru-RU"/>
        </w:rPr>
        <w:t>27</w:t>
      </w:r>
      <w:r w:rsidRPr="000B7B11">
        <w:rPr>
          <w:rFonts w:cs="Arial"/>
          <w:b/>
          <w:sz w:val="20"/>
          <w:szCs w:val="20"/>
          <w:lang w:val="ru-RU"/>
        </w:rPr>
        <w:t xml:space="preserve">. </w:t>
      </w:r>
      <w:r>
        <w:rPr>
          <w:rFonts w:eastAsiaTheme="minorHAnsi" w:cs="Arial"/>
          <w:b/>
          <w:bCs/>
          <w:sz w:val="20"/>
          <w:szCs w:val="20"/>
          <w:lang w:val="ru-RU"/>
        </w:rPr>
        <w:t>Информация о величине и об изменении величины уставного капитала</w:t>
      </w:r>
    </w:p>
    <w:p w:rsidR="00400EAB" w:rsidRPr="004E26BB" w:rsidRDefault="00400EAB" w:rsidP="00400EAB">
      <w:pPr>
        <w:jc w:val="both"/>
        <w:rPr>
          <w:rFonts w:cs="Arial"/>
          <w:b/>
          <w:sz w:val="20"/>
          <w:szCs w:val="20"/>
          <w:lang w:val="ru-RU"/>
        </w:rPr>
      </w:pPr>
      <w:r w:rsidRPr="004E26BB">
        <w:rPr>
          <w:rFonts w:cs="Arial"/>
          <w:b/>
          <w:sz w:val="20"/>
          <w:szCs w:val="20"/>
          <w:lang w:val="ru-RU"/>
        </w:rPr>
        <w:t xml:space="preserve"> </w:t>
      </w:r>
    </w:p>
    <w:p w:rsidR="00400EAB" w:rsidRDefault="00400EAB" w:rsidP="00400EAB">
      <w:pPr>
        <w:overflowPunct/>
        <w:autoSpaceDE/>
        <w:autoSpaceDN/>
        <w:adjustRightInd/>
        <w:textAlignment w:val="auto"/>
        <w:rPr>
          <w:rFonts w:cs="Arial"/>
          <w:sz w:val="20"/>
          <w:szCs w:val="20"/>
          <w:lang w:val="ru-RU" w:eastAsia="ru-RU"/>
        </w:rPr>
      </w:pPr>
      <w:r w:rsidRPr="004E26BB">
        <w:rPr>
          <w:rFonts w:cs="Arial"/>
          <w:sz w:val="20"/>
          <w:szCs w:val="20"/>
          <w:lang w:val="ru-RU" w:eastAsia="ru-RU"/>
        </w:rPr>
        <w:t>Данные о движении выпущенных, полностью оплаченных и находящихся в обращении акциях</w:t>
      </w:r>
      <w:r>
        <w:rPr>
          <w:rFonts w:cs="Arial"/>
          <w:sz w:val="20"/>
          <w:szCs w:val="20"/>
          <w:lang w:val="ru-RU" w:eastAsia="ru-RU"/>
        </w:rPr>
        <w:t xml:space="preserve"> Банка</w:t>
      </w:r>
      <w:r w:rsidRPr="004E26BB">
        <w:rPr>
          <w:rFonts w:cs="Arial"/>
          <w:sz w:val="20"/>
          <w:szCs w:val="20"/>
          <w:lang w:val="ru-RU" w:eastAsia="ru-RU"/>
        </w:rPr>
        <w:t>:</w:t>
      </w:r>
    </w:p>
    <w:p w:rsidR="00400EAB" w:rsidRPr="004E26BB" w:rsidRDefault="00400EAB" w:rsidP="00400EAB">
      <w:pPr>
        <w:overflowPunct/>
        <w:autoSpaceDE/>
        <w:autoSpaceDN/>
        <w:adjustRightInd/>
        <w:textAlignment w:val="auto"/>
        <w:rPr>
          <w:rFonts w:cs="Arial"/>
          <w:b/>
          <w:bCs/>
          <w:sz w:val="20"/>
          <w:szCs w:val="20"/>
          <w:lang w:val="ru-RU" w:eastAsia="ru-RU"/>
        </w:rPr>
      </w:pPr>
    </w:p>
    <w:tbl>
      <w:tblPr>
        <w:tblStyle w:val="affc"/>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1168"/>
        <w:gridCol w:w="1525"/>
        <w:gridCol w:w="1134"/>
        <w:gridCol w:w="1560"/>
        <w:gridCol w:w="1275"/>
        <w:gridCol w:w="993"/>
      </w:tblGrid>
      <w:tr w:rsidR="00400EAB" w:rsidRPr="00282056" w:rsidTr="003E30CD">
        <w:trPr>
          <w:tblHeader/>
        </w:trPr>
        <w:tc>
          <w:tcPr>
            <w:tcW w:w="1951" w:type="dxa"/>
            <w:tcBorders>
              <w:top w:val="single" w:sz="4" w:space="0" w:color="auto"/>
            </w:tcBorders>
          </w:tcPr>
          <w:p w:rsidR="00400EAB" w:rsidRPr="00282056" w:rsidRDefault="00400EAB" w:rsidP="003E30CD">
            <w:pPr>
              <w:overflowPunct/>
              <w:autoSpaceDE/>
              <w:autoSpaceDN/>
              <w:adjustRightInd/>
              <w:textAlignment w:val="auto"/>
              <w:rPr>
                <w:rFonts w:cs="Arial"/>
                <w:sz w:val="16"/>
                <w:szCs w:val="16"/>
                <w:lang w:val="ru-RU" w:eastAsia="ru-RU"/>
              </w:rPr>
            </w:pPr>
          </w:p>
        </w:tc>
        <w:tc>
          <w:tcPr>
            <w:tcW w:w="2693" w:type="dxa"/>
            <w:gridSpan w:val="2"/>
            <w:tcBorders>
              <w:top w:val="single" w:sz="4" w:space="0" w:color="auto"/>
              <w:bottom w:val="single" w:sz="4" w:space="0" w:color="auto"/>
            </w:tcBorders>
          </w:tcPr>
          <w:p w:rsidR="00400EAB" w:rsidRPr="00282056" w:rsidRDefault="00400EAB" w:rsidP="003E30CD">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количество акций</w:t>
            </w:r>
          </w:p>
        </w:tc>
        <w:tc>
          <w:tcPr>
            <w:tcW w:w="2694" w:type="dxa"/>
            <w:gridSpan w:val="2"/>
            <w:tcBorders>
              <w:top w:val="single" w:sz="4" w:space="0" w:color="auto"/>
              <w:bottom w:val="single" w:sz="4" w:space="0" w:color="auto"/>
            </w:tcBorders>
          </w:tcPr>
          <w:p w:rsidR="00400EAB" w:rsidRPr="00282056" w:rsidRDefault="00400EAB" w:rsidP="003E30CD">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номинальная стоимость</w:t>
            </w:r>
          </w:p>
        </w:tc>
        <w:tc>
          <w:tcPr>
            <w:tcW w:w="1275" w:type="dxa"/>
            <w:vMerge w:val="restart"/>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расходы по выкупу собствен</w:t>
            </w:r>
          </w:p>
          <w:p w:rsidR="00400EAB" w:rsidRPr="00282056" w:rsidRDefault="00400EAB" w:rsidP="003E30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ных акций</w:t>
            </w:r>
          </w:p>
        </w:tc>
        <w:tc>
          <w:tcPr>
            <w:tcW w:w="993" w:type="dxa"/>
            <w:vMerge w:val="restart"/>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Итого</w:t>
            </w:r>
          </w:p>
        </w:tc>
      </w:tr>
      <w:tr w:rsidR="00400EAB" w:rsidRPr="00282056" w:rsidTr="003E30CD">
        <w:trPr>
          <w:tblHeader/>
        </w:trPr>
        <w:tc>
          <w:tcPr>
            <w:tcW w:w="1951" w:type="dxa"/>
            <w:tcBorders>
              <w:bottom w:val="single" w:sz="4" w:space="0" w:color="auto"/>
            </w:tcBorders>
          </w:tcPr>
          <w:p w:rsidR="00400EAB" w:rsidRPr="00282056" w:rsidRDefault="00400EAB" w:rsidP="003E30CD">
            <w:pPr>
              <w:overflowPunct/>
              <w:autoSpaceDE/>
              <w:autoSpaceDN/>
              <w:adjustRightInd/>
              <w:textAlignment w:val="auto"/>
              <w:rPr>
                <w:rFonts w:cs="Arial"/>
                <w:sz w:val="16"/>
                <w:szCs w:val="16"/>
                <w:lang w:val="ru-RU" w:eastAsia="ru-RU"/>
              </w:rPr>
            </w:pPr>
          </w:p>
        </w:tc>
        <w:tc>
          <w:tcPr>
            <w:tcW w:w="1168" w:type="dxa"/>
            <w:tcBorders>
              <w:top w:val="single" w:sz="4" w:space="0" w:color="auto"/>
              <w:bottom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w:t>
            </w:r>
            <w:r>
              <w:rPr>
                <w:rFonts w:cs="Arial"/>
                <w:b/>
                <w:bCs/>
                <w:sz w:val="16"/>
                <w:szCs w:val="16"/>
                <w:lang w:val="ru-RU" w:eastAsia="ru-RU"/>
              </w:rPr>
              <w:t>и</w:t>
            </w:r>
            <w:r w:rsidRPr="00282056">
              <w:rPr>
                <w:rFonts w:cs="Arial"/>
                <w:b/>
                <w:bCs/>
                <w:sz w:val="16"/>
                <w:szCs w:val="16"/>
                <w:lang w:val="ru-RU" w:eastAsia="ru-RU"/>
              </w:rPr>
              <w:t>л</w:t>
            </w:r>
            <w:r>
              <w:rPr>
                <w:rFonts w:cs="Arial"/>
                <w:b/>
                <w:bCs/>
                <w:sz w:val="16"/>
                <w:szCs w:val="16"/>
                <w:lang w:val="ru-RU" w:eastAsia="ru-RU"/>
              </w:rPr>
              <w:t>е</w:t>
            </w:r>
            <w:r w:rsidRPr="00282056">
              <w:rPr>
                <w:rFonts w:cs="Arial"/>
                <w:b/>
                <w:bCs/>
                <w:sz w:val="16"/>
                <w:szCs w:val="16"/>
                <w:lang w:val="ru-RU" w:eastAsia="ru-RU"/>
              </w:rPr>
              <w:t>ги</w:t>
            </w:r>
          </w:p>
          <w:p w:rsidR="00400EAB" w:rsidRPr="00282056" w:rsidRDefault="00400EAB" w:rsidP="003E30CD">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25" w:type="dxa"/>
            <w:tcBorders>
              <w:top w:val="single" w:sz="4" w:space="0" w:color="auto"/>
              <w:bottom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134" w:type="dxa"/>
            <w:tcBorders>
              <w:top w:val="single" w:sz="4" w:space="0" w:color="auto"/>
              <w:bottom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w:t>
            </w:r>
            <w:r>
              <w:rPr>
                <w:rFonts w:cs="Arial"/>
                <w:b/>
                <w:bCs/>
                <w:sz w:val="16"/>
                <w:szCs w:val="16"/>
                <w:lang w:val="ru-RU" w:eastAsia="ru-RU"/>
              </w:rPr>
              <w:t>и</w:t>
            </w:r>
            <w:r w:rsidRPr="00282056">
              <w:rPr>
                <w:rFonts w:cs="Arial"/>
                <w:b/>
                <w:bCs/>
                <w:sz w:val="16"/>
                <w:szCs w:val="16"/>
                <w:lang w:val="ru-RU" w:eastAsia="ru-RU"/>
              </w:rPr>
              <w:t>л</w:t>
            </w:r>
            <w:r>
              <w:rPr>
                <w:rFonts w:cs="Arial"/>
                <w:b/>
                <w:bCs/>
                <w:sz w:val="16"/>
                <w:szCs w:val="16"/>
                <w:lang w:val="ru-RU" w:eastAsia="ru-RU"/>
              </w:rPr>
              <w:t>е</w:t>
            </w:r>
            <w:r w:rsidRPr="00282056">
              <w:rPr>
                <w:rFonts w:cs="Arial"/>
                <w:b/>
                <w:bCs/>
                <w:sz w:val="16"/>
                <w:szCs w:val="16"/>
                <w:lang w:val="ru-RU" w:eastAsia="ru-RU"/>
              </w:rPr>
              <w:t>ги</w:t>
            </w:r>
          </w:p>
          <w:p w:rsidR="00400EAB" w:rsidRPr="00282056" w:rsidRDefault="00400EAB" w:rsidP="003E30CD">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60" w:type="dxa"/>
            <w:tcBorders>
              <w:top w:val="single" w:sz="4" w:space="0" w:color="auto"/>
              <w:bottom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b/>
                <w:bCs/>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275" w:type="dxa"/>
            <w:vMerge/>
            <w:tcBorders>
              <w:bottom w:val="single" w:sz="4" w:space="0" w:color="auto"/>
            </w:tcBorders>
          </w:tcPr>
          <w:p w:rsidR="00400EAB" w:rsidRPr="00282056" w:rsidRDefault="00400EAB" w:rsidP="003E30CD">
            <w:pPr>
              <w:overflowPunct/>
              <w:autoSpaceDE/>
              <w:autoSpaceDN/>
              <w:adjustRightInd/>
              <w:textAlignment w:val="auto"/>
              <w:rPr>
                <w:rFonts w:cs="Arial"/>
                <w:sz w:val="16"/>
                <w:szCs w:val="16"/>
                <w:lang w:val="ru-RU" w:eastAsia="ru-RU"/>
              </w:rPr>
            </w:pPr>
          </w:p>
        </w:tc>
        <w:tc>
          <w:tcPr>
            <w:tcW w:w="993" w:type="dxa"/>
            <w:vMerge/>
            <w:tcBorders>
              <w:bottom w:val="single" w:sz="4" w:space="0" w:color="auto"/>
            </w:tcBorders>
          </w:tcPr>
          <w:p w:rsidR="00400EAB" w:rsidRPr="00282056" w:rsidRDefault="00400EAB" w:rsidP="003E30CD">
            <w:pPr>
              <w:overflowPunct/>
              <w:autoSpaceDE/>
              <w:autoSpaceDN/>
              <w:adjustRightInd/>
              <w:textAlignment w:val="auto"/>
              <w:rPr>
                <w:rFonts w:cs="Arial"/>
                <w:sz w:val="16"/>
                <w:szCs w:val="16"/>
                <w:lang w:val="ru-RU" w:eastAsia="ru-RU"/>
              </w:rPr>
            </w:pPr>
          </w:p>
        </w:tc>
      </w:tr>
      <w:tr w:rsidR="00400EAB" w:rsidRPr="00282056" w:rsidTr="003E30CD">
        <w:tc>
          <w:tcPr>
            <w:tcW w:w="1951" w:type="dxa"/>
          </w:tcPr>
          <w:p w:rsidR="00400EAB" w:rsidRPr="00282056" w:rsidRDefault="00400EAB" w:rsidP="003E30CD">
            <w:pPr>
              <w:overflowPunct/>
              <w:autoSpaceDE/>
              <w:autoSpaceDN/>
              <w:adjustRightInd/>
              <w:textAlignment w:val="auto"/>
              <w:rPr>
                <w:rFonts w:cs="Arial"/>
                <w:sz w:val="16"/>
                <w:szCs w:val="16"/>
                <w:lang w:val="ru-RU" w:eastAsia="ru-RU"/>
              </w:rPr>
            </w:pPr>
          </w:p>
        </w:tc>
        <w:tc>
          <w:tcPr>
            <w:tcW w:w="1168" w:type="dxa"/>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tc>
        <w:tc>
          <w:tcPr>
            <w:tcW w:w="1525" w:type="dxa"/>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tc>
        <w:tc>
          <w:tcPr>
            <w:tcW w:w="1134" w:type="dxa"/>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tc>
        <w:tc>
          <w:tcPr>
            <w:tcW w:w="1560" w:type="dxa"/>
            <w:tcBorders>
              <w:top w:val="single" w:sz="4" w:space="0" w:color="auto"/>
            </w:tcBorders>
          </w:tcPr>
          <w:p w:rsidR="00400EAB" w:rsidRPr="00282056" w:rsidRDefault="00400EAB" w:rsidP="003E30CD">
            <w:pPr>
              <w:overflowPunct/>
              <w:autoSpaceDE/>
              <w:autoSpaceDN/>
              <w:adjustRightInd/>
              <w:jc w:val="right"/>
              <w:textAlignment w:val="auto"/>
              <w:rPr>
                <w:rFonts w:cs="Arial"/>
                <w:b/>
                <w:bCs/>
                <w:sz w:val="16"/>
                <w:szCs w:val="16"/>
                <w:lang w:val="ru-RU" w:eastAsia="ru-RU"/>
              </w:rPr>
            </w:pPr>
          </w:p>
        </w:tc>
        <w:tc>
          <w:tcPr>
            <w:tcW w:w="1275" w:type="dxa"/>
          </w:tcPr>
          <w:p w:rsidR="00400EAB" w:rsidRPr="00282056" w:rsidRDefault="00400EAB" w:rsidP="003E30CD">
            <w:pPr>
              <w:overflowPunct/>
              <w:autoSpaceDE/>
              <w:autoSpaceDN/>
              <w:adjustRightInd/>
              <w:textAlignment w:val="auto"/>
              <w:rPr>
                <w:rFonts w:cs="Arial"/>
                <w:sz w:val="16"/>
                <w:szCs w:val="16"/>
                <w:lang w:val="ru-RU" w:eastAsia="ru-RU"/>
              </w:rPr>
            </w:pPr>
          </w:p>
        </w:tc>
        <w:tc>
          <w:tcPr>
            <w:tcW w:w="993" w:type="dxa"/>
          </w:tcPr>
          <w:p w:rsidR="00400EAB" w:rsidRPr="00282056" w:rsidRDefault="00400EAB" w:rsidP="003E30CD">
            <w:pPr>
              <w:overflowPunct/>
              <w:autoSpaceDE/>
              <w:autoSpaceDN/>
              <w:adjustRightInd/>
              <w:textAlignment w:val="auto"/>
              <w:rPr>
                <w:rFonts w:cs="Arial"/>
                <w:sz w:val="16"/>
                <w:szCs w:val="16"/>
                <w:lang w:val="ru-RU" w:eastAsia="ru-RU"/>
              </w:rPr>
            </w:pPr>
          </w:p>
        </w:tc>
      </w:tr>
      <w:tr w:rsidR="00400EAB" w:rsidRPr="00282056" w:rsidTr="003E30CD">
        <w:trPr>
          <w:trHeight w:val="1268"/>
        </w:trPr>
        <w:tc>
          <w:tcPr>
            <w:tcW w:w="1951" w:type="dxa"/>
          </w:tcPr>
          <w:p w:rsidR="00400EAB" w:rsidRDefault="00400EAB" w:rsidP="003E30CD">
            <w:pPr>
              <w:overflowPunct/>
              <w:autoSpaceDE/>
              <w:autoSpaceDN/>
              <w:adjustRightInd/>
              <w:textAlignment w:val="auto"/>
              <w:rPr>
                <w:rFonts w:cs="Arial"/>
                <w:sz w:val="16"/>
                <w:szCs w:val="16"/>
                <w:lang w:val="ru-RU" w:eastAsia="ru-RU"/>
              </w:rPr>
            </w:pPr>
          </w:p>
          <w:p w:rsidR="00400EAB"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за 31</w:t>
            </w:r>
            <w:r w:rsidRPr="000B6C68">
              <w:rPr>
                <w:rFonts w:cs="Arial"/>
                <w:sz w:val="16"/>
                <w:szCs w:val="16"/>
                <w:lang w:val="ru-RU" w:eastAsia="ru-RU"/>
              </w:rPr>
              <w:t xml:space="preserve"> </w:t>
            </w:r>
            <w:r>
              <w:rPr>
                <w:rFonts w:cs="Arial"/>
                <w:sz w:val="16"/>
                <w:szCs w:val="16"/>
                <w:lang w:val="ru-RU" w:eastAsia="ru-RU"/>
              </w:rPr>
              <w:t>декабря 2017</w:t>
            </w:r>
          </w:p>
          <w:p w:rsidR="00400EAB" w:rsidRDefault="00400EAB" w:rsidP="003E30CD">
            <w:pPr>
              <w:overflowPunct/>
              <w:autoSpaceDE/>
              <w:autoSpaceDN/>
              <w:adjustRightInd/>
              <w:textAlignment w:val="auto"/>
              <w:rPr>
                <w:rFonts w:cs="Arial"/>
                <w:sz w:val="16"/>
                <w:szCs w:val="16"/>
                <w:lang w:val="ru-RU" w:eastAsia="ru-RU"/>
              </w:rPr>
            </w:pPr>
          </w:p>
          <w:p w:rsidR="00400EAB"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Продажа собственных</w:t>
            </w:r>
          </w:p>
          <w:p w:rsidR="00400EAB"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акций Банка,</w:t>
            </w:r>
          </w:p>
          <w:p w:rsidR="00400EAB"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выкупленных у</w:t>
            </w:r>
          </w:p>
          <w:p w:rsidR="00400EAB" w:rsidRPr="00282056"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 xml:space="preserve">акционеров                                    </w:t>
            </w:r>
          </w:p>
        </w:tc>
        <w:tc>
          <w:tcPr>
            <w:tcW w:w="1168"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w:t>
            </w:r>
            <w:r>
              <w:rPr>
                <w:rFonts w:cs="Arial"/>
                <w:sz w:val="16"/>
                <w:szCs w:val="16"/>
                <w:lang w:val="ru-RU" w:eastAsia="ru-RU"/>
              </w:rPr>
              <w:t> </w:t>
            </w:r>
            <w:r w:rsidRPr="00282056">
              <w:rPr>
                <w:rFonts w:cs="Arial"/>
                <w:sz w:val="16"/>
                <w:szCs w:val="16"/>
                <w:lang w:val="ru-RU" w:eastAsia="ru-RU"/>
              </w:rPr>
              <w:t>655</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w:t>
            </w:r>
          </w:p>
        </w:tc>
        <w:tc>
          <w:tcPr>
            <w:tcW w:w="1525"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w:t>
            </w:r>
            <w:r>
              <w:rPr>
                <w:rFonts w:cs="Arial"/>
                <w:sz w:val="16"/>
                <w:szCs w:val="16"/>
                <w:lang w:val="ru-RU" w:eastAsia="ru-RU"/>
              </w:rPr>
              <w:t> </w:t>
            </w:r>
            <w:r w:rsidRPr="00282056">
              <w:rPr>
                <w:rFonts w:cs="Arial"/>
                <w:sz w:val="16"/>
                <w:szCs w:val="16"/>
                <w:lang w:val="ru-RU" w:eastAsia="ru-RU"/>
              </w:rPr>
              <w:t>860</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(6 990 440)</w:t>
            </w:r>
          </w:p>
        </w:tc>
        <w:tc>
          <w:tcPr>
            <w:tcW w:w="1134"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w:t>
            </w: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1560"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w:t>
            </w:r>
            <w:r>
              <w:rPr>
                <w:rFonts w:cs="Arial"/>
                <w:sz w:val="16"/>
                <w:szCs w:val="16"/>
                <w:lang w:val="ru-RU" w:eastAsia="ru-RU"/>
              </w:rPr>
              <w:t> </w:t>
            </w:r>
            <w:r w:rsidRPr="00282056">
              <w:rPr>
                <w:rFonts w:cs="Arial"/>
                <w:sz w:val="16"/>
                <w:szCs w:val="16"/>
                <w:lang w:val="ru-RU" w:eastAsia="ru-RU"/>
              </w:rPr>
              <w:t>707</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(2 586)</w:t>
            </w:r>
          </w:p>
        </w:tc>
        <w:tc>
          <w:tcPr>
            <w:tcW w:w="1275"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(1 864)</w:t>
            </w: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993" w:type="dxa"/>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w:t>
            </w:r>
            <w:r>
              <w:rPr>
                <w:rFonts w:cs="Arial"/>
                <w:sz w:val="16"/>
                <w:szCs w:val="16"/>
                <w:lang w:val="ru-RU" w:eastAsia="ru-RU"/>
              </w:rPr>
              <w:t> </w:t>
            </w:r>
            <w:r w:rsidRPr="00282056">
              <w:rPr>
                <w:rFonts w:cs="Arial"/>
                <w:sz w:val="16"/>
                <w:szCs w:val="16"/>
                <w:lang w:val="ru-RU" w:eastAsia="ru-RU"/>
              </w:rPr>
              <w:t>929</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(4 450)</w:t>
            </w:r>
          </w:p>
        </w:tc>
      </w:tr>
      <w:tr w:rsidR="00400EAB" w:rsidRPr="00D727BA" w:rsidTr="003E30CD">
        <w:trPr>
          <w:trHeight w:val="367"/>
        </w:trPr>
        <w:tc>
          <w:tcPr>
            <w:tcW w:w="1951" w:type="dxa"/>
            <w:tcBorders>
              <w:bottom w:val="double" w:sz="4" w:space="0" w:color="auto"/>
            </w:tcBorders>
          </w:tcPr>
          <w:p w:rsidR="00400EAB" w:rsidRDefault="00400EAB" w:rsidP="003E30CD">
            <w:pPr>
              <w:overflowPunct/>
              <w:autoSpaceDE/>
              <w:autoSpaceDN/>
              <w:adjustRightInd/>
              <w:textAlignment w:val="auto"/>
              <w:rPr>
                <w:rFonts w:cs="Arial"/>
                <w:sz w:val="16"/>
                <w:szCs w:val="16"/>
                <w:lang w:val="ru-RU" w:eastAsia="ru-RU"/>
              </w:rPr>
            </w:pPr>
          </w:p>
          <w:p w:rsidR="00400EAB" w:rsidRDefault="00400EAB" w:rsidP="003E30CD">
            <w:pPr>
              <w:overflowPunct/>
              <w:autoSpaceDE/>
              <w:autoSpaceDN/>
              <w:adjustRightInd/>
              <w:textAlignment w:val="auto"/>
              <w:rPr>
                <w:rFonts w:cs="Arial"/>
                <w:sz w:val="16"/>
                <w:szCs w:val="16"/>
                <w:lang w:val="ru-RU" w:eastAsia="ru-RU"/>
              </w:rPr>
            </w:pPr>
            <w:r>
              <w:rPr>
                <w:rFonts w:cs="Arial"/>
                <w:sz w:val="16"/>
                <w:szCs w:val="16"/>
                <w:lang w:val="ru-RU" w:eastAsia="ru-RU"/>
              </w:rPr>
              <w:t>за 31</w:t>
            </w:r>
            <w:r w:rsidRPr="00ED05CB">
              <w:rPr>
                <w:rFonts w:cs="Arial"/>
                <w:sz w:val="16"/>
                <w:szCs w:val="16"/>
                <w:lang w:val="ru-RU" w:eastAsia="ru-RU"/>
              </w:rPr>
              <w:t xml:space="preserve"> </w:t>
            </w:r>
            <w:r>
              <w:rPr>
                <w:rFonts w:cs="Arial"/>
                <w:sz w:val="16"/>
                <w:szCs w:val="16"/>
                <w:lang w:val="ru-RU" w:eastAsia="ru-RU"/>
              </w:rPr>
              <w:t>декабря 2018</w:t>
            </w:r>
          </w:p>
          <w:p w:rsidR="00400EAB" w:rsidRDefault="00400EAB" w:rsidP="003E30CD">
            <w:pPr>
              <w:overflowPunct/>
              <w:autoSpaceDE/>
              <w:autoSpaceDN/>
              <w:adjustRightInd/>
              <w:textAlignment w:val="auto"/>
              <w:rPr>
                <w:rFonts w:cs="Arial"/>
                <w:sz w:val="16"/>
                <w:szCs w:val="16"/>
                <w:lang w:val="ru-RU" w:eastAsia="ru-RU"/>
              </w:rPr>
            </w:pPr>
          </w:p>
        </w:tc>
        <w:tc>
          <w:tcPr>
            <w:tcW w:w="1168"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w:t>
            </w:r>
            <w:r>
              <w:rPr>
                <w:rFonts w:cs="Arial"/>
                <w:sz w:val="16"/>
                <w:szCs w:val="16"/>
                <w:lang w:val="ru-RU" w:eastAsia="ru-RU"/>
              </w:rPr>
              <w:t> </w:t>
            </w:r>
            <w:r w:rsidRPr="00282056">
              <w:rPr>
                <w:rFonts w:cs="Arial"/>
                <w:sz w:val="16"/>
                <w:szCs w:val="16"/>
                <w:lang w:val="ru-RU" w:eastAsia="ru-RU"/>
              </w:rPr>
              <w:t>655</w:t>
            </w: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1525"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w:t>
            </w:r>
            <w:r>
              <w:rPr>
                <w:rFonts w:cs="Arial"/>
                <w:sz w:val="16"/>
                <w:szCs w:val="16"/>
                <w:lang w:val="ru-RU" w:eastAsia="ru-RU"/>
              </w:rPr>
              <w:t> </w:t>
            </w:r>
            <w:r w:rsidRPr="00282056">
              <w:rPr>
                <w:rFonts w:cs="Arial"/>
                <w:sz w:val="16"/>
                <w:szCs w:val="16"/>
                <w:lang w:val="ru-RU" w:eastAsia="ru-RU"/>
              </w:rPr>
              <w:t>860</w:t>
            </w: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1134"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1560"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Default="00400EAB" w:rsidP="003E30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w:t>
            </w:r>
            <w:r>
              <w:rPr>
                <w:rFonts w:cs="Arial"/>
                <w:sz w:val="16"/>
                <w:szCs w:val="16"/>
                <w:lang w:val="ru-RU" w:eastAsia="ru-RU"/>
              </w:rPr>
              <w:t> </w:t>
            </w:r>
            <w:r w:rsidRPr="00282056">
              <w:rPr>
                <w:rFonts w:cs="Arial"/>
                <w:sz w:val="16"/>
                <w:szCs w:val="16"/>
                <w:lang w:val="ru-RU" w:eastAsia="ru-RU"/>
              </w:rPr>
              <w:t>707</w:t>
            </w:r>
          </w:p>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p>
        </w:tc>
        <w:tc>
          <w:tcPr>
            <w:tcW w:w="1275"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w:t>
            </w:r>
          </w:p>
        </w:tc>
        <w:tc>
          <w:tcPr>
            <w:tcW w:w="993" w:type="dxa"/>
            <w:tcBorders>
              <w:bottom w:val="double" w:sz="4" w:space="0" w:color="auto"/>
            </w:tcBorders>
          </w:tcPr>
          <w:p w:rsidR="00400EAB" w:rsidRDefault="00400EAB" w:rsidP="003E30CD">
            <w:pPr>
              <w:overflowPunct/>
              <w:autoSpaceDE/>
              <w:autoSpaceDN/>
              <w:adjustRightInd/>
              <w:jc w:val="right"/>
              <w:textAlignment w:val="auto"/>
              <w:rPr>
                <w:rFonts w:cs="Arial"/>
                <w:sz w:val="16"/>
                <w:szCs w:val="16"/>
                <w:lang w:val="ru-RU" w:eastAsia="ru-RU"/>
              </w:rPr>
            </w:pPr>
          </w:p>
          <w:p w:rsidR="00400EAB" w:rsidRPr="00282056" w:rsidRDefault="00400EAB" w:rsidP="003E30CD">
            <w:pPr>
              <w:overflowPunct/>
              <w:autoSpaceDE/>
              <w:autoSpaceDN/>
              <w:adjustRightInd/>
              <w:jc w:val="right"/>
              <w:textAlignment w:val="auto"/>
              <w:rPr>
                <w:rFonts w:cs="Arial"/>
                <w:sz w:val="16"/>
                <w:szCs w:val="16"/>
                <w:lang w:val="ru-RU" w:eastAsia="ru-RU"/>
              </w:rPr>
            </w:pPr>
            <w:r>
              <w:rPr>
                <w:rFonts w:cs="Arial"/>
                <w:sz w:val="16"/>
                <w:szCs w:val="16"/>
                <w:lang w:val="ru-RU" w:eastAsia="ru-RU"/>
              </w:rPr>
              <w:t>-</w:t>
            </w:r>
          </w:p>
        </w:tc>
      </w:tr>
    </w:tbl>
    <w:p w:rsidR="00400EAB" w:rsidRDefault="00400EAB" w:rsidP="00400EAB">
      <w:pPr>
        <w:pStyle w:val="em-"/>
        <w:ind w:firstLine="0"/>
        <w:rPr>
          <w:rFonts w:ascii="Arial" w:hAnsi="Arial" w:cs="Arial"/>
          <w:sz w:val="20"/>
          <w:szCs w:val="20"/>
        </w:rPr>
      </w:pPr>
    </w:p>
    <w:p w:rsidR="00400EAB" w:rsidRPr="000C4B6E" w:rsidRDefault="00400EAB" w:rsidP="00400EAB">
      <w:pPr>
        <w:pStyle w:val="em-"/>
        <w:ind w:firstLine="0"/>
        <w:rPr>
          <w:rFonts w:ascii="Arial" w:hAnsi="Arial" w:cs="Arial"/>
          <w:sz w:val="20"/>
          <w:szCs w:val="20"/>
        </w:rPr>
      </w:pPr>
      <w:r w:rsidRPr="000C4B6E">
        <w:rPr>
          <w:rFonts w:ascii="Arial" w:hAnsi="Arial" w:cs="Arial"/>
          <w:sz w:val="20"/>
          <w:szCs w:val="20"/>
        </w:rPr>
        <w:t>Уставный капитал Банка сформирован в размере 1 355 929 200,55 рублей и разделен на 3 664 072 860 штук обыкновенных именных акций номинальной стоимостью 0,37 рубля каждая акция и 600 655 штук привилегированных именных акций, с определенным размером дивиденда, номинальной стоимостью 0,37 рубля каждая акция.  Форма выпуска – бездокументарная.</w:t>
      </w:r>
    </w:p>
    <w:p w:rsidR="00400EAB" w:rsidRPr="000C4B6E" w:rsidRDefault="00400EAB" w:rsidP="00400EAB">
      <w:pPr>
        <w:pStyle w:val="2normal"/>
        <w:spacing w:line="230" w:lineRule="auto"/>
        <w:jc w:val="both"/>
        <w:rPr>
          <w:rFonts w:cs="Arial"/>
          <w:sz w:val="20"/>
          <w:szCs w:val="20"/>
          <w:lang w:val="ru-RU" w:eastAsia="ru-RU"/>
        </w:rPr>
      </w:pPr>
    </w:p>
    <w:p w:rsidR="00400EAB" w:rsidRPr="000C4B6E" w:rsidRDefault="00400EAB" w:rsidP="00400EAB">
      <w:pPr>
        <w:pStyle w:val="2normal"/>
        <w:spacing w:line="230" w:lineRule="auto"/>
        <w:jc w:val="both"/>
        <w:rPr>
          <w:sz w:val="20"/>
          <w:szCs w:val="20"/>
          <w:highlight w:val="yellow"/>
          <w:lang w:val="ru-RU"/>
        </w:rPr>
      </w:pPr>
      <w:r w:rsidRPr="000C4B6E">
        <w:rPr>
          <w:rFonts w:cs="Arial"/>
          <w:sz w:val="20"/>
          <w:szCs w:val="20"/>
          <w:lang w:val="ru-RU" w:eastAsia="ru-RU"/>
        </w:rPr>
        <w:t>Банк вправе к уже размещенным акциям разместить 3</w:t>
      </w:r>
      <w:r w:rsidR="009436A1">
        <w:rPr>
          <w:rFonts w:cs="Arial"/>
          <w:sz w:val="20"/>
          <w:szCs w:val="20"/>
          <w:lang w:val="ru-RU" w:eastAsia="ru-RU"/>
        </w:rPr>
        <w:t> </w:t>
      </w:r>
      <w:r w:rsidRPr="000C4B6E">
        <w:rPr>
          <w:rFonts w:cs="Arial"/>
          <w:sz w:val="20"/>
          <w:szCs w:val="20"/>
          <w:lang w:val="ru-RU" w:eastAsia="ru-RU"/>
        </w:rPr>
        <w:t>783</w:t>
      </w:r>
      <w:r w:rsidR="009436A1">
        <w:rPr>
          <w:rFonts w:cs="Arial"/>
          <w:sz w:val="20"/>
          <w:szCs w:val="20"/>
          <w:lang w:val="ru-RU" w:eastAsia="ru-RU"/>
        </w:rPr>
        <w:t xml:space="preserve"> </w:t>
      </w:r>
      <w:r w:rsidRPr="000C4B6E">
        <w:rPr>
          <w:rFonts w:cs="Arial"/>
          <w:sz w:val="20"/>
          <w:szCs w:val="20"/>
          <w:lang w:val="ru-RU" w:eastAsia="ru-RU"/>
        </w:rPr>
        <w:t>783</w:t>
      </w:r>
      <w:r w:rsidR="009436A1">
        <w:rPr>
          <w:rFonts w:cs="Arial"/>
          <w:sz w:val="20"/>
          <w:szCs w:val="20"/>
          <w:lang w:val="ru-RU" w:eastAsia="ru-RU"/>
        </w:rPr>
        <w:t xml:space="preserve"> </w:t>
      </w:r>
      <w:r w:rsidRPr="000C4B6E">
        <w:rPr>
          <w:rFonts w:cs="Arial"/>
          <w:sz w:val="20"/>
          <w:szCs w:val="20"/>
          <w:lang w:val="ru-RU" w:eastAsia="ru-RU"/>
        </w:rPr>
        <w:t xml:space="preserve">784 обыкновенных именных акций номинальной стоимостью 0,37 рубля акция. Дополнительные акции выпускаются в бездокументарной форме. Данные акции предоставляют им владельцам те же права, что и размещение акций той же категории (типа) </w:t>
      </w:r>
    </w:p>
    <w:p w:rsidR="00400EAB" w:rsidRPr="000C4B6E" w:rsidRDefault="00400EAB" w:rsidP="00400EAB">
      <w:pPr>
        <w:pStyle w:val="2normal"/>
        <w:spacing w:line="230" w:lineRule="auto"/>
        <w:jc w:val="both"/>
        <w:rPr>
          <w:sz w:val="20"/>
          <w:szCs w:val="20"/>
          <w:highlight w:val="yellow"/>
          <w:lang w:val="ru-RU"/>
        </w:rPr>
      </w:pPr>
    </w:p>
    <w:p w:rsidR="00400EAB" w:rsidRPr="000C4B6E" w:rsidRDefault="00400EAB" w:rsidP="00400EAB">
      <w:pPr>
        <w:pStyle w:val="HTML"/>
        <w:jc w:val="both"/>
        <w:rPr>
          <w:rFonts w:ascii="Arial" w:hAnsi="Arial" w:cs="Arial"/>
          <w:color w:val="auto"/>
        </w:rPr>
      </w:pPr>
      <w:r w:rsidRPr="000C4B6E">
        <w:rPr>
          <w:rFonts w:ascii="Arial" w:hAnsi="Arial" w:cs="Arial"/>
          <w:color w:val="auto"/>
        </w:rPr>
        <w:t>Последний выпуск акций зарегистрирован Департаментом лицензирования деятельности и финансового оздоровления кредитных организаций Банка России 11 марта 2011 года. Индивидуальный государственный регистрационный номер ценных бумаг: обыкновенные бездокументарные именные акции - 10400902</w:t>
      </w:r>
      <w:r w:rsidRPr="000C4B6E">
        <w:rPr>
          <w:rFonts w:ascii="Arial" w:hAnsi="Arial" w:cs="Arial"/>
          <w:color w:val="auto"/>
          <w:lang w:val="en-US"/>
        </w:rPr>
        <w:t>B</w:t>
      </w:r>
      <w:r w:rsidRPr="000C4B6E">
        <w:rPr>
          <w:rFonts w:ascii="Arial" w:hAnsi="Arial" w:cs="Arial"/>
          <w:color w:val="auto"/>
        </w:rPr>
        <w:t>004</w:t>
      </w:r>
      <w:r w:rsidRPr="000C4B6E">
        <w:rPr>
          <w:rFonts w:ascii="Arial" w:hAnsi="Arial" w:cs="Arial"/>
          <w:color w:val="auto"/>
          <w:lang w:val="en-US"/>
        </w:rPr>
        <w:t>D</w:t>
      </w:r>
      <w:r w:rsidRPr="000C4B6E">
        <w:rPr>
          <w:rFonts w:ascii="Arial" w:hAnsi="Arial" w:cs="Arial"/>
          <w:color w:val="auto"/>
        </w:rPr>
        <w:t>. Способ размещения – закрытая подписка. В составе выпуска размещено 2 818 457 815 штук обыкновенных бездокументарных именных акций номинальной стоимостью 0,37 рубля каждая акция.  Отчет о выпуске зарегистрирован Департаментом лицензирования деятельности и финансового оздоровления кредитных организаций Банка России 22 июня 2011 года.</w:t>
      </w:r>
    </w:p>
    <w:p w:rsidR="00400EAB" w:rsidRPr="000C4B6E" w:rsidRDefault="00400EAB" w:rsidP="00400EAB">
      <w:pPr>
        <w:pStyle w:val="HTML"/>
        <w:jc w:val="both"/>
        <w:rPr>
          <w:rFonts w:ascii="Arial" w:hAnsi="Arial" w:cs="Arial"/>
        </w:rPr>
      </w:pPr>
      <w:r w:rsidRPr="000C4B6E">
        <w:rPr>
          <w:rFonts w:ascii="Arial" w:hAnsi="Arial" w:cs="Arial"/>
          <w:color w:val="auto"/>
        </w:rPr>
        <w:t xml:space="preserve">    </w:t>
      </w:r>
    </w:p>
    <w:tbl>
      <w:tblPr>
        <w:tblW w:w="0" w:type="auto"/>
        <w:tblLook w:val="01E0" w:firstRow="1" w:lastRow="1" w:firstColumn="1" w:lastColumn="1" w:noHBand="0" w:noVBand="0"/>
      </w:tblPr>
      <w:tblGrid>
        <w:gridCol w:w="9570"/>
      </w:tblGrid>
      <w:tr w:rsidR="00400EAB" w:rsidRPr="006C0DB6" w:rsidTr="003E30CD">
        <w:tc>
          <w:tcPr>
            <w:tcW w:w="9570" w:type="dxa"/>
            <w:shd w:val="clear" w:color="auto" w:fill="auto"/>
          </w:tcPr>
          <w:p w:rsidR="00400EAB" w:rsidRPr="000C4B6E" w:rsidRDefault="00400EAB" w:rsidP="003E30CD">
            <w:pPr>
              <w:ind w:left="-78"/>
              <w:rPr>
                <w:rFonts w:cs="Arial"/>
                <w:sz w:val="20"/>
                <w:szCs w:val="20"/>
                <w:lang w:val="ru-RU"/>
              </w:rPr>
            </w:pPr>
            <w:r w:rsidRPr="000C4B6E">
              <w:rPr>
                <w:rFonts w:cs="Arial"/>
                <w:sz w:val="20"/>
                <w:szCs w:val="20"/>
                <w:lang w:val="ru-RU"/>
              </w:rPr>
              <w:t xml:space="preserve">Каждая обыкновенная акция Банка предоставляет акционеру – ее владельцу одинаковый объем </w:t>
            </w:r>
            <w:r w:rsidRPr="000C4B6E">
              <w:rPr>
                <w:rFonts w:cs="Arial"/>
                <w:sz w:val="20"/>
                <w:szCs w:val="20"/>
                <w:lang w:val="ru-RU"/>
              </w:rPr>
              <w:lastRenderedPageBreak/>
              <w:t>прав. Акционеры - владельцы обыкновенных акций Банка имеют право:</w:t>
            </w:r>
          </w:p>
          <w:p w:rsidR="00400EAB" w:rsidRPr="000C4B6E" w:rsidRDefault="00400EAB" w:rsidP="00FC5D59">
            <w:pPr>
              <w:pStyle w:val="220"/>
              <w:numPr>
                <w:ilvl w:val="0"/>
                <w:numId w:val="70"/>
              </w:numPr>
              <w:tabs>
                <w:tab w:val="clear" w:pos="-2127"/>
                <w:tab w:val="clear" w:pos="0"/>
                <w:tab w:val="left" w:pos="426"/>
                <w:tab w:val="left" w:pos="851"/>
              </w:tabs>
              <w:ind w:left="0" w:firstLine="567"/>
              <w:rPr>
                <w:rFonts w:ascii="Arial" w:hAnsi="Arial" w:cs="Arial"/>
                <w:sz w:val="20"/>
              </w:rPr>
            </w:pPr>
            <w:r w:rsidRPr="000C4B6E">
              <w:rPr>
                <w:rFonts w:ascii="Arial" w:hAnsi="Arial" w:cs="Arial"/>
                <w:sz w:val="20"/>
              </w:rPr>
              <w:t>участвовать в общем собрании акционеров с правом голоса по всем вопросам его компетенции;</w:t>
            </w:r>
          </w:p>
          <w:p w:rsidR="00400EAB" w:rsidRPr="000C4B6E" w:rsidRDefault="00400EAB" w:rsidP="00FC5D59">
            <w:pPr>
              <w:pStyle w:val="afd"/>
              <w:numPr>
                <w:ilvl w:val="0"/>
                <w:numId w:val="70"/>
              </w:numPr>
              <w:tabs>
                <w:tab w:val="left" w:pos="851"/>
              </w:tabs>
              <w:ind w:left="0" w:firstLine="567"/>
              <w:rPr>
                <w:rFonts w:cs="Arial"/>
                <w:sz w:val="20"/>
                <w:szCs w:val="20"/>
                <w:lang w:val="ru-RU"/>
              </w:rPr>
            </w:pPr>
            <w:r w:rsidRPr="000C4B6E">
              <w:rPr>
                <w:rFonts w:cs="Arial"/>
                <w:sz w:val="20"/>
                <w:szCs w:val="20"/>
                <w:lang w:val="ru-RU"/>
              </w:rPr>
              <w:t>на получение дивидендов;</w:t>
            </w:r>
          </w:p>
          <w:p w:rsidR="00400EAB" w:rsidRPr="000C4B6E" w:rsidRDefault="00400EAB" w:rsidP="00FC5D59">
            <w:pPr>
              <w:pStyle w:val="afd"/>
              <w:numPr>
                <w:ilvl w:val="0"/>
                <w:numId w:val="70"/>
              </w:numPr>
              <w:tabs>
                <w:tab w:val="left" w:pos="851"/>
              </w:tabs>
              <w:ind w:left="0" w:firstLine="567"/>
              <w:rPr>
                <w:rFonts w:cs="Arial"/>
                <w:sz w:val="20"/>
                <w:szCs w:val="20"/>
                <w:lang w:val="ru-RU"/>
              </w:rPr>
            </w:pPr>
            <w:r w:rsidRPr="000C4B6E">
              <w:rPr>
                <w:rFonts w:cs="Arial"/>
                <w:sz w:val="20"/>
                <w:szCs w:val="20"/>
                <w:lang w:val="ru-RU"/>
              </w:rPr>
              <w:t xml:space="preserve">получать часть имущества Банка или его стоимость в случае его ликвидации. </w:t>
            </w:r>
          </w:p>
          <w:p w:rsidR="00400EAB" w:rsidRPr="000C4B6E" w:rsidRDefault="00400EAB" w:rsidP="003E30CD">
            <w:pPr>
              <w:pStyle w:val="19"/>
              <w:jc w:val="both"/>
              <w:rPr>
                <w:rFonts w:ascii="Arial" w:hAnsi="Arial" w:cs="Arial"/>
              </w:rPr>
            </w:pPr>
          </w:p>
        </w:tc>
      </w:tr>
    </w:tbl>
    <w:p w:rsidR="00400EAB" w:rsidRPr="000C4B6E" w:rsidRDefault="00400EAB" w:rsidP="00400EAB">
      <w:pPr>
        <w:tabs>
          <w:tab w:val="left" w:pos="576"/>
          <w:tab w:val="left" w:pos="1872"/>
          <w:tab w:val="left" w:pos="2016"/>
        </w:tabs>
        <w:ind w:left="-78"/>
        <w:jc w:val="both"/>
        <w:rPr>
          <w:rFonts w:cs="Arial"/>
          <w:sz w:val="20"/>
          <w:szCs w:val="20"/>
          <w:lang w:val="ru-RU"/>
        </w:rPr>
      </w:pPr>
      <w:r w:rsidRPr="000C4B6E">
        <w:rPr>
          <w:rFonts w:cs="Arial"/>
          <w:sz w:val="20"/>
          <w:szCs w:val="20"/>
          <w:lang w:val="ru-RU"/>
        </w:rPr>
        <w:lastRenderedPageBreak/>
        <w:t xml:space="preserve">Привилегированные акции Банка имеют одинаковую номинальную стоимость и предоставляют акционерам - их владельцам одинаковый объем прав. </w:t>
      </w:r>
    </w:p>
    <w:p w:rsidR="00400EAB" w:rsidRPr="000C4B6E" w:rsidRDefault="00400EAB" w:rsidP="00400EAB">
      <w:pPr>
        <w:tabs>
          <w:tab w:val="left" w:pos="576"/>
          <w:tab w:val="left" w:pos="1872"/>
          <w:tab w:val="left" w:pos="2016"/>
        </w:tabs>
        <w:ind w:left="-78"/>
        <w:jc w:val="both"/>
        <w:rPr>
          <w:rFonts w:cs="Arial"/>
          <w:sz w:val="20"/>
          <w:szCs w:val="20"/>
          <w:lang w:val="ru-RU"/>
        </w:rPr>
      </w:pPr>
      <w:r w:rsidRPr="000C4B6E">
        <w:rPr>
          <w:rFonts w:cs="Arial"/>
          <w:sz w:val="20"/>
          <w:szCs w:val="20"/>
          <w:lang w:val="ru-RU"/>
        </w:rPr>
        <w:t>Акционеры - владельцы привилегированных акций Банка не имеют   права голоса на общих   собраниях   акционеров   Банка   за исключением:</w:t>
      </w:r>
    </w:p>
    <w:p w:rsidR="00400EAB" w:rsidRPr="000C4B6E" w:rsidRDefault="00400EAB" w:rsidP="00FC5D59">
      <w:pPr>
        <w:pStyle w:val="aff0"/>
        <w:numPr>
          <w:ilvl w:val="0"/>
          <w:numId w:val="69"/>
        </w:numPr>
        <w:tabs>
          <w:tab w:val="left" w:pos="284"/>
          <w:tab w:val="left" w:pos="851"/>
        </w:tabs>
        <w:spacing w:after="0"/>
        <w:ind w:left="0" w:firstLine="567"/>
        <w:jc w:val="both"/>
        <w:rPr>
          <w:rFonts w:cs="Arial"/>
          <w:sz w:val="20"/>
          <w:szCs w:val="20"/>
          <w:lang w:val="ru-RU"/>
        </w:rPr>
      </w:pPr>
      <w:r w:rsidRPr="000C4B6E">
        <w:rPr>
          <w:rFonts w:cs="Arial"/>
          <w:sz w:val="20"/>
          <w:szCs w:val="20"/>
          <w:lang w:val="ru-RU"/>
        </w:rPr>
        <w:t>решения вопросов о реорганизации или ликвидации Банка;</w:t>
      </w:r>
    </w:p>
    <w:p w:rsidR="00400EAB" w:rsidRPr="000C4B6E" w:rsidRDefault="00400EAB" w:rsidP="00FC5D59">
      <w:pPr>
        <w:pStyle w:val="aff0"/>
        <w:numPr>
          <w:ilvl w:val="0"/>
          <w:numId w:val="69"/>
        </w:numPr>
        <w:tabs>
          <w:tab w:val="left" w:pos="284"/>
          <w:tab w:val="left" w:pos="851"/>
        </w:tabs>
        <w:spacing w:after="0"/>
        <w:ind w:left="0" w:firstLine="567"/>
        <w:jc w:val="both"/>
        <w:rPr>
          <w:rFonts w:cs="Arial"/>
          <w:sz w:val="20"/>
          <w:szCs w:val="20"/>
          <w:lang w:val="ru-RU"/>
        </w:rPr>
      </w:pPr>
      <w:r w:rsidRPr="000C4B6E">
        <w:rPr>
          <w:rFonts w:cs="Arial"/>
          <w:sz w:val="20"/>
          <w:szCs w:val="20"/>
          <w:lang w:val="ru-RU"/>
        </w:rPr>
        <w:t>решения вопросов о внесении изменений или дополнений в Устав Банка, ограничивающих права акционеров - владельцев привилегированных акций;</w:t>
      </w:r>
    </w:p>
    <w:p w:rsidR="00400EAB" w:rsidRPr="000C4B6E" w:rsidRDefault="00400EAB" w:rsidP="00FC5D59">
      <w:pPr>
        <w:pStyle w:val="aff0"/>
        <w:numPr>
          <w:ilvl w:val="0"/>
          <w:numId w:val="69"/>
        </w:numPr>
        <w:tabs>
          <w:tab w:val="left" w:pos="284"/>
          <w:tab w:val="left" w:pos="851"/>
        </w:tabs>
        <w:spacing w:after="0"/>
        <w:ind w:left="0" w:firstLine="567"/>
        <w:jc w:val="both"/>
        <w:rPr>
          <w:rFonts w:cs="Arial"/>
          <w:sz w:val="20"/>
          <w:szCs w:val="20"/>
          <w:lang w:val="ru-RU"/>
        </w:rPr>
      </w:pPr>
      <w:r w:rsidRPr="000C4B6E">
        <w:rPr>
          <w:rFonts w:cs="Arial"/>
          <w:sz w:val="20"/>
          <w:szCs w:val="20"/>
          <w:lang w:val="ru-RU"/>
        </w:rPr>
        <w:t>решения вопросов, в соответствии со статьей 92.1 Федерального закона «Об акционерных обществах;</w:t>
      </w:r>
    </w:p>
    <w:p w:rsidR="00400EAB" w:rsidRPr="000C4B6E" w:rsidRDefault="00400EAB" w:rsidP="00FC5D59">
      <w:pPr>
        <w:pStyle w:val="aff0"/>
        <w:numPr>
          <w:ilvl w:val="0"/>
          <w:numId w:val="69"/>
        </w:numPr>
        <w:tabs>
          <w:tab w:val="left" w:pos="284"/>
          <w:tab w:val="left" w:pos="851"/>
        </w:tabs>
        <w:spacing w:after="0"/>
        <w:ind w:left="0" w:firstLine="567"/>
        <w:jc w:val="both"/>
        <w:rPr>
          <w:rFonts w:cs="Arial"/>
          <w:sz w:val="20"/>
          <w:szCs w:val="20"/>
          <w:lang w:val="ru-RU"/>
        </w:rPr>
      </w:pPr>
      <w:r w:rsidRPr="000C4B6E">
        <w:rPr>
          <w:rFonts w:cs="Arial"/>
          <w:sz w:val="20"/>
          <w:szCs w:val="20"/>
          <w:lang w:val="ru-RU"/>
        </w:rPr>
        <w:t>решения всех вопросов, отнесенных к компетенции общего собрания акционеров Банка, начиная с собрания, следующего за годовым общим собранием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 право прекращается с момента первой выплаты дивидендов по привилегированным акциям в полном размере).</w:t>
      </w:r>
    </w:p>
    <w:p w:rsidR="00400EAB" w:rsidRPr="000C4B6E" w:rsidRDefault="00400EAB" w:rsidP="00400EAB">
      <w:pPr>
        <w:pStyle w:val="aff0"/>
        <w:tabs>
          <w:tab w:val="left" w:pos="284"/>
          <w:tab w:val="left" w:pos="851"/>
        </w:tabs>
        <w:spacing w:after="0"/>
        <w:jc w:val="both"/>
        <w:rPr>
          <w:rFonts w:cs="Arial"/>
          <w:sz w:val="20"/>
          <w:szCs w:val="20"/>
          <w:lang w:val="ru-RU"/>
        </w:rPr>
      </w:pPr>
    </w:p>
    <w:p w:rsidR="00400EAB" w:rsidRPr="000C4B6E" w:rsidRDefault="00400EAB" w:rsidP="00400EAB">
      <w:pPr>
        <w:pStyle w:val="aff0"/>
        <w:tabs>
          <w:tab w:val="left" w:pos="432"/>
          <w:tab w:val="left" w:pos="2160"/>
        </w:tabs>
        <w:spacing w:after="0"/>
        <w:ind w:left="-78"/>
        <w:jc w:val="both"/>
        <w:rPr>
          <w:rFonts w:cs="Arial"/>
          <w:sz w:val="20"/>
          <w:szCs w:val="20"/>
          <w:lang w:val="ru-RU"/>
        </w:rPr>
      </w:pPr>
      <w:r w:rsidRPr="000C4B6E">
        <w:rPr>
          <w:rFonts w:cs="Arial"/>
          <w:sz w:val="20"/>
          <w:szCs w:val="20"/>
          <w:lang w:val="ru-RU"/>
        </w:rPr>
        <w:t>Акционеры - владельцы привилегированных акций Банка имеют право на размер годового дивиденда по привилегированным акциям Банка не менее 80 процентов от номинальной стоимости этих акций.</w:t>
      </w:r>
    </w:p>
    <w:p w:rsidR="00400EAB" w:rsidRPr="000C4B6E" w:rsidRDefault="00400EAB" w:rsidP="00400EAB">
      <w:pPr>
        <w:pStyle w:val="aff0"/>
        <w:tabs>
          <w:tab w:val="left" w:pos="432"/>
          <w:tab w:val="left" w:pos="2160"/>
        </w:tabs>
        <w:spacing w:after="0"/>
        <w:ind w:left="-78"/>
        <w:jc w:val="both"/>
        <w:rPr>
          <w:rFonts w:cs="Arial"/>
          <w:sz w:val="20"/>
          <w:szCs w:val="20"/>
          <w:lang w:val="ru-RU"/>
        </w:rPr>
      </w:pPr>
      <w:r w:rsidRPr="000C4B6E">
        <w:rPr>
          <w:rFonts w:cs="Arial"/>
          <w:sz w:val="20"/>
          <w:szCs w:val="20"/>
          <w:lang w:val="ru-RU"/>
        </w:rPr>
        <w:t>Ликвидационная стоимость всех размещенных привилегированных акций составляет 100% их номинальной стоимости.</w:t>
      </w:r>
    </w:p>
    <w:p w:rsidR="00400EAB" w:rsidRPr="000C4B6E" w:rsidRDefault="00400EAB" w:rsidP="00400EAB">
      <w:pPr>
        <w:pStyle w:val="aff0"/>
        <w:tabs>
          <w:tab w:val="left" w:pos="432"/>
          <w:tab w:val="left" w:pos="2160"/>
        </w:tabs>
        <w:spacing w:after="0"/>
        <w:ind w:left="-78"/>
        <w:jc w:val="both"/>
        <w:rPr>
          <w:rFonts w:cs="Arial"/>
          <w:sz w:val="20"/>
          <w:szCs w:val="20"/>
          <w:lang w:val="ru-RU"/>
        </w:rPr>
      </w:pPr>
      <w:r w:rsidRPr="000C4B6E">
        <w:rPr>
          <w:rFonts w:cs="Arial"/>
          <w:sz w:val="20"/>
          <w:szCs w:val="20"/>
          <w:lang w:val="ru-RU"/>
        </w:rPr>
        <w:t>Акционеры – владельцы обыкновенных и привилегированных акций Банка имеют также другие права, предусмотренные Федеральным законом “Об акционерных обществах” и Уставом Банка.</w:t>
      </w:r>
    </w:p>
    <w:p w:rsidR="00400EAB" w:rsidRPr="000C4B6E" w:rsidRDefault="00400EAB" w:rsidP="00400EAB">
      <w:pPr>
        <w:pStyle w:val="aff0"/>
        <w:tabs>
          <w:tab w:val="left" w:pos="432"/>
          <w:tab w:val="left" w:pos="2160"/>
        </w:tabs>
        <w:spacing w:after="0"/>
        <w:ind w:left="-78"/>
        <w:jc w:val="both"/>
        <w:rPr>
          <w:rFonts w:cs="Arial"/>
          <w:sz w:val="20"/>
          <w:szCs w:val="20"/>
          <w:lang w:val="ru-RU"/>
        </w:rPr>
      </w:pPr>
      <w:r w:rsidRPr="000C4B6E">
        <w:rPr>
          <w:rFonts w:cs="Arial"/>
          <w:sz w:val="20"/>
          <w:szCs w:val="20"/>
          <w:lang w:val="ru-RU"/>
        </w:rPr>
        <w:t>Решение о выплате (объявлении) дивидендов принимается общим собранием акционеров Банка. Указанным решением должны быть определены размер дивидендов по акциям каждой категории (типа), форма их выплаты,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Банка. Размер дивидендов не может быть больше размера дивидендов, рекомендованного Советом директоров Банка.</w:t>
      </w:r>
    </w:p>
    <w:p w:rsidR="00400EAB" w:rsidRPr="000C4B6E" w:rsidRDefault="00400EAB" w:rsidP="00400EAB">
      <w:pPr>
        <w:pStyle w:val="aff0"/>
        <w:tabs>
          <w:tab w:val="left" w:pos="432"/>
          <w:tab w:val="left" w:pos="2160"/>
        </w:tabs>
        <w:spacing w:after="0"/>
        <w:ind w:left="-78"/>
        <w:jc w:val="both"/>
        <w:rPr>
          <w:rFonts w:cs="Arial"/>
          <w:sz w:val="20"/>
          <w:szCs w:val="20"/>
          <w:lang w:val="ru-RU"/>
        </w:rPr>
      </w:pPr>
      <w:r w:rsidRPr="000C4B6E">
        <w:rPr>
          <w:rFonts w:cs="Arial"/>
          <w:sz w:val="20"/>
          <w:szCs w:val="20"/>
          <w:lang w:val="ru-RU"/>
        </w:rPr>
        <w:t>Банк вправе по результатам первого квартала, полугодия, девяти месяцев финансового года и (или) по результатам финансового года принимать решения (объявлять) о выплате дивидендов по размещенным акциям. Дивиденды выплачиваются денежными средствами из чистой прибыли Банка.</w:t>
      </w:r>
    </w:p>
    <w:p w:rsidR="00322E04" w:rsidRPr="00884713" w:rsidRDefault="00322E04" w:rsidP="00AD5225">
      <w:pPr>
        <w:jc w:val="both"/>
        <w:rPr>
          <w:b/>
          <w:sz w:val="20"/>
          <w:szCs w:val="20"/>
          <w:highlight w:val="yellow"/>
          <w:lang w:val="ru-RU"/>
        </w:rPr>
      </w:pPr>
    </w:p>
    <w:p w:rsidR="00646EB5" w:rsidRDefault="00646EB5" w:rsidP="00646EB5">
      <w:pPr>
        <w:jc w:val="both"/>
        <w:rPr>
          <w:b/>
          <w:sz w:val="20"/>
          <w:szCs w:val="20"/>
          <w:lang w:val="ru-RU"/>
        </w:rPr>
      </w:pPr>
      <w:r>
        <w:rPr>
          <w:b/>
          <w:sz w:val="20"/>
          <w:szCs w:val="20"/>
          <w:lang w:val="ru-RU"/>
        </w:rPr>
        <w:t>6.2 Сопроводительная информация к статьям отчета о финансовых результатах</w:t>
      </w:r>
    </w:p>
    <w:p w:rsidR="00646EB5" w:rsidRDefault="00646EB5" w:rsidP="00646EB5">
      <w:pPr>
        <w:jc w:val="both"/>
        <w:rPr>
          <w:b/>
          <w:sz w:val="20"/>
          <w:szCs w:val="20"/>
          <w:lang w:val="ru-RU"/>
        </w:rPr>
      </w:pPr>
    </w:p>
    <w:p w:rsidR="00646EB5" w:rsidRDefault="00646EB5" w:rsidP="00646EB5">
      <w:pPr>
        <w:jc w:val="both"/>
        <w:rPr>
          <w:b/>
          <w:sz w:val="20"/>
          <w:szCs w:val="20"/>
          <w:lang w:val="ru-RU"/>
        </w:rPr>
      </w:pPr>
      <w:r>
        <w:rPr>
          <w:b/>
          <w:sz w:val="20"/>
          <w:szCs w:val="20"/>
          <w:lang w:val="ru-RU"/>
        </w:rPr>
        <w:t>Информация о характере и величине каждой существенной статьи доходов и расходов</w:t>
      </w:r>
    </w:p>
    <w:p w:rsidR="00646EB5" w:rsidRDefault="00646EB5" w:rsidP="00646EB5">
      <w:pPr>
        <w:jc w:val="both"/>
        <w:rPr>
          <w:b/>
          <w:sz w:val="20"/>
          <w:szCs w:val="20"/>
          <w:lang w:val="ru-RU"/>
        </w:rPr>
      </w:pPr>
    </w:p>
    <w:p w:rsidR="00646EB5" w:rsidRPr="00C9151A" w:rsidRDefault="00646EB5" w:rsidP="00646EB5">
      <w:pPr>
        <w:jc w:val="both"/>
        <w:rPr>
          <w:b/>
          <w:sz w:val="20"/>
          <w:szCs w:val="20"/>
          <w:lang w:val="ru-RU"/>
        </w:rPr>
      </w:pPr>
      <w:r w:rsidRPr="00C9151A">
        <w:rPr>
          <w:b/>
          <w:sz w:val="20"/>
          <w:szCs w:val="20"/>
          <w:lang w:val="ru-RU"/>
        </w:rPr>
        <w:t>Процентные доходы и процентные расходы</w:t>
      </w:r>
    </w:p>
    <w:p w:rsidR="00646EB5" w:rsidRPr="00C9151A" w:rsidRDefault="00646EB5" w:rsidP="00646EB5">
      <w:pPr>
        <w:jc w:val="both"/>
        <w:rPr>
          <w:b/>
          <w:sz w:val="20"/>
          <w:szCs w:val="20"/>
          <w:lang w:val="ru-RU"/>
        </w:rPr>
      </w:pPr>
    </w:p>
    <w:tbl>
      <w:tblPr>
        <w:tblW w:w="9371" w:type="dxa"/>
        <w:tblInd w:w="93" w:type="dxa"/>
        <w:tblLook w:val="04A0" w:firstRow="1" w:lastRow="0" w:firstColumn="1" w:lastColumn="0" w:noHBand="0" w:noVBand="1"/>
      </w:tblPr>
      <w:tblGrid>
        <w:gridCol w:w="5685"/>
        <w:gridCol w:w="1701"/>
        <w:gridCol w:w="1985"/>
      </w:tblGrid>
      <w:tr w:rsidR="00646EB5" w:rsidRPr="00367D3E" w:rsidTr="00646EB5">
        <w:trPr>
          <w:trHeight w:val="300"/>
          <w:tblHeader/>
        </w:trPr>
        <w:tc>
          <w:tcPr>
            <w:tcW w:w="5685" w:type="dxa"/>
            <w:tcBorders>
              <w:top w:val="single" w:sz="4" w:space="0" w:color="auto"/>
              <w:bottom w:val="single" w:sz="4" w:space="0" w:color="auto"/>
            </w:tcBorders>
            <w:shd w:val="clear" w:color="auto" w:fill="auto"/>
            <w:vAlign w:val="center"/>
            <w:hideMark/>
          </w:tcPr>
          <w:p w:rsidR="00646EB5" w:rsidRPr="00C9151A" w:rsidRDefault="00646EB5" w:rsidP="00646EB5">
            <w:pPr>
              <w:overflowPunct/>
              <w:autoSpaceDE/>
              <w:autoSpaceDN/>
              <w:adjustRightInd/>
              <w:jc w:val="center"/>
              <w:textAlignment w:val="auto"/>
              <w:rPr>
                <w:rFonts w:cs="Arial"/>
                <w:b/>
                <w:bCs/>
                <w:sz w:val="16"/>
                <w:szCs w:val="16"/>
                <w:lang w:val="ru-RU" w:eastAsia="ru-RU"/>
              </w:rPr>
            </w:pPr>
          </w:p>
        </w:tc>
        <w:tc>
          <w:tcPr>
            <w:tcW w:w="1701" w:type="dxa"/>
            <w:tcBorders>
              <w:top w:val="single" w:sz="4" w:space="0" w:color="auto"/>
              <w:bottom w:val="single" w:sz="4" w:space="0" w:color="auto"/>
            </w:tcBorders>
            <w:shd w:val="clear" w:color="auto" w:fill="auto"/>
            <w:noWrap/>
            <w:vAlign w:val="center"/>
            <w:hideMark/>
          </w:tcPr>
          <w:p w:rsidR="00646EB5" w:rsidRPr="00C9151A" w:rsidRDefault="00646EB5" w:rsidP="00646EB5">
            <w:pPr>
              <w:overflowPunct/>
              <w:autoSpaceDE/>
              <w:autoSpaceDN/>
              <w:adjustRightInd/>
              <w:jc w:val="center"/>
              <w:textAlignment w:val="auto"/>
              <w:rPr>
                <w:rFonts w:cs="Arial"/>
                <w:b/>
                <w:bCs/>
                <w:sz w:val="16"/>
                <w:szCs w:val="16"/>
                <w:lang w:val="ru-RU" w:eastAsia="ru-RU"/>
              </w:rPr>
            </w:pPr>
            <w:r w:rsidRPr="00C9151A">
              <w:rPr>
                <w:rFonts w:cs="Arial"/>
                <w:b/>
                <w:bCs/>
                <w:sz w:val="16"/>
                <w:szCs w:val="16"/>
                <w:lang w:val="ru-RU" w:eastAsia="ru-RU"/>
              </w:rPr>
              <w:t>201</w:t>
            </w:r>
            <w:r>
              <w:rPr>
                <w:rFonts w:cs="Arial"/>
                <w:b/>
                <w:bCs/>
                <w:sz w:val="16"/>
                <w:szCs w:val="16"/>
                <w:lang w:val="ru-RU" w:eastAsia="ru-RU"/>
              </w:rPr>
              <w:t>8</w:t>
            </w:r>
            <w:r w:rsidRPr="00C9151A">
              <w:rPr>
                <w:rFonts w:cs="Arial"/>
                <w:b/>
                <w:bCs/>
                <w:sz w:val="16"/>
                <w:szCs w:val="16"/>
                <w:lang w:val="ru-RU" w:eastAsia="ru-RU"/>
              </w:rPr>
              <w:t xml:space="preserve"> год</w:t>
            </w:r>
          </w:p>
        </w:tc>
        <w:tc>
          <w:tcPr>
            <w:tcW w:w="1985" w:type="dxa"/>
            <w:tcBorders>
              <w:top w:val="single" w:sz="4" w:space="0" w:color="auto"/>
              <w:bottom w:val="single" w:sz="4" w:space="0" w:color="auto"/>
            </w:tcBorders>
            <w:vAlign w:val="center"/>
          </w:tcPr>
          <w:p w:rsidR="00646EB5" w:rsidRPr="00C9151A" w:rsidRDefault="00646EB5" w:rsidP="00646EB5">
            <w:pPr>
              <w:overflowPunct/>
              <w:autoSpaceDE/>
              <w:autoSpaceDN/>
              <w:adjustRightInd/>
              <w:jc w:val="center"/>
              <w:textAlignment w:val="auto"/>
              <w:rPr>
                <w:rFonts w:cs="Arial"/>
                <w:b/>
                <w:bCs/>
                <w:sz w:val="16"/>
                <w:szCs w:val="16"/>
                <w:lang w:val="ru-RU" w:eastAsia="ru-RU"/>
              </w:rPr>
            </w:pPr>
            <w:r w:rsidRPr="00C9151A">
              <w:rPr>
                <w:rFonts w:cs="Arial"/>
                <w:b/>
                <w:bCs/>
                <w:sz w:val="16"/>
                <w:szCs w:val="16"/>
                <w:lang w:val="ru-RU" w:eastAsia="ru-RU"/>
              </w:rPr>
              <w:t>2017 год</w:t>
            </w:r>
          </w:p>
        </w:tc>
      </w:tr>
      <w:tr w:rsidR="00646EB5" w:rsidRPr="00367D3E" w:rsidTr="00646EB5">
        <w:trPr>
          <w:trHeight w:val="300"/>
        </w:trPr>
        <w:tc>
          <w:tcPr>
            <w:tcW w:w="5685" w:type="dxa"/>
            <w:tcBorders>
              <w:top w:val="single" w:sz="4" w:space="0" w:color="auto"/>
            </w:tcBorders>
            <w:shd w:val="clear" w:color="auto" w:fill="auto"/>
            <w:vAlign w:val="bottom"/>
            <w:hideMark/>
          </w:tcPr>
          <w:p w:rsidR="00646EB5" w:rsidRPr="00C9151A" w:rsidRDefault="00646EB5" w:rsidP="00646EB5">
            <w:pPr>
              <w:overflowPunct/>
              <w:autoSpaceDE/>
              <w:autoSpaceDN/>
              <w:adjustRightInd/>
              <w:textAlignment w:val="auto"/>
              <w:rPr>
                <w:rFonts w:ascii="Calibri" w:hAnsi="Calibri" w:cs="Times New Roman"/>
                <w:b/>
                <w:bCs/>
                <w:sz w:val="16"/>
                <w:szCs w:val="16"/>
                <w:lang w:eastAsia="ru-RU"/>
              </w:rPr>
            </w:pPr>
            <w:r w:rsidRPr="00C9151A">
              <w:rPr>
                <w:rFonts w:cs="Arial"/>
                <w:b/>
                <w:bCs/>
                <w:sz w:val="16"/>
                <w:szCs w:val="16"/>
                <w:lang w:val="ru-RU" w:eastAsia="ru-RU"/>
              </w:rPr>
              <w:t>Процентные доходы</w:t>
            </w:r>
          </w:p>
        </w:tc>
        <w:tc>
          <w:tcPr>
            <w:tcW w:w="1701" w:type="dxa"/>
            <w:tcBorders>
              <w:top w:val="single" w:sz="4" w:space="0" w:color="auto"/>
            </w:tcBorders>
            <w:shd w:val="clear" w:color="auto" w:fill="auto"/>
            <w:noWrap/>
            <w:vAlign w:val="bottom"/>
            <w:hideMark/>
          </w:tcPr>
          <w:p w:rsidR="00646EB5" w:rsidRPr="00C9151A" w:rsidRDefault="00646EB5" w:rsidP="00646EB5">
            <w:pPr>
              <w:rPr>
                <w:rFonts w:ascii="Calibri" w:hAnsi="Calibri" w:cs="Times New Roman"/>
                <w:sz w:val="16"/>
                <w:szCs w:val="16"/>
                <w:lang w:eastAsia="ru-RU"/>
              </w:rPr>
            </w:pPr>
            <w:r w:rsidRPr="00C9151A">
              <w:rPr>
                <w:rFonts w:ascii="Calibri" w:hAnsi="Calibri" w:cs="Times New Roman"/>
                <w:sz w:val="16"/>
                <w:szCs w:val="16"/>
                <w:lang w:eastAsia="ru-RU"/>
              </w:rPr>
              <w:t> </w:t>
            </w:r>
          </w:p>
        </w:tc>
        <w:tc>
          <w:tcPr>
            <w:tcW w:w="1985" w:type="dxa"/>
            <w:tcBorders>
              <w:top w:val="single" w:sz="4" w:space="0" w:color="auto"/>
            </w:tcBorders>
            <w:vAlign w:val="bottom"/>
          </w:tcPr>
          <w:p w:rsidR="00646EB5" w:rsidRPr="00C9151A" w:rsidRDefault="00646EB5" w:rsidP="00646EB5">
            <w:pPr>
              <w:rPr>
                <w:rFonts w:ascii="Calibri" w:hAnsi="Calibri" w:cs="Times New Roman"/>
                <w:sz w:val="16"/>
                <w:szCs w:val="16"/>
                <w:lang w:eastAsia="ru-RU"/>
              </w:rPr>
            </w:pPr>
            <w:r w:rsidRPr="00C9151A">
              <w:rPr>
                <w:rFonts w:ascii="Calibri" w:hAnsi="Calibri" w:cs="Times New Roman"/>
                <w:sz w:val="16"/>
                <w:szCs w:val="16"/>
                <w:lang w:eastAsia="ru-RU"/>
              </w:rPr>
              <w:t> </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по предоставленным кредитам юридическим лицам и ИП</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473 166</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495 482</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по предоставленным кредитам физическим лицам</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240 980</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253 745</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по предоставленным кредитам кредитным организациям</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12 799</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sidRPr="00C9151A">
              <w:rPr>
                <w:rFonts w:cs="Arial"/>
                <w:sz w:val="16"/>
                <w:szCs w:val="16"/>
                <w:lang w:val="ru-RU" w:eastAsia="ru-RU"/>
              </w:rPr>
              <w:t>11 588</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по размещенным средствам на счетах кредитных организаций</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1 566</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sidRPr="00C9151A">
              <w:rPr>
                <w:rFonts w:cs="Arial"/>
                <w:sz w:val="16"/>
                <w:szCs w:val="16"/>
                <w:lang w:val="ru-RU" w:eastAsia="ru-RU"/>
              </w:rPr>
              <w:t>110</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по депозитам, размещенным в Банке России</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7 503</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sidRPr="00C9151A">
              <w:rPr>
                <w:rFonts w:cs="Arial"/>
                <w:sz w:val="16"/>
                <w:szCs w:val="16"/>
                <w:lang w:val="ru-RU" w:eastAsia="ru-RU"/>
              </w:rPr>
              <w:t>1 390</w:t>
            </w:r>
          </w:p>
        </w:tc>
      </w:tr>
      <w:tr w:rsidR="00646EB5" w:rsidRPr="00367D3E" w:rsidTr="00646EB5">
        <w:trPr>
          <w:trHeight w:val="300"/>
        </w:trPr>
        <w:tc>
          <w:tcPr>
            <w:tcW w:w="5685" w:type="dxa"/>
            <w:shd w:val="clear" w:color="auto" w:fill="auto"/>
            <w:vAlign w:val="bottom"/>
            <w:hideMark/>
          </w:tcPr>
          <w:p w:rsidR="00646EB5" w:rsidRPr="00C9151A" w:rsidRDefault="00646EB5" w:rsidP="00646EB5">
            <w:pPr>
              <w:overflowPunct/>
              <w:autoSpaceDE/>
              <w:autoSpaceDN/>
              <w:adjustRightInd/>
              <w:textAlignment w:val="auto"/>
              <w:rPr>
                <w:rFonts w:cs="Arial"/>
                <w:sz w:val="16"/>
                <w:szCs w:val="16"/>
                <w:lang w:val="ru-RU" w:eastAsia="ru-RU"/>
              </w:rPr>
            </w:pPr>
            <w:r w:rsidRPr="00C9151A">
              <w:rPr>
                <w:rFonts w:cs="Arial"/>
                <w:sz w:val="16"/>
                <w:szCs w:val="16"/>
                <w:lang w:val="ru-RU" w:eastAsia="ru-RU"/>
              </w:rPr>
              <w:t>от вложений в ценные бумаги</w:t>
            </w:r>
          </w:p>
        </w:tc>
        <w:tc>
          <w:tcPr>
            <w:tcW w:w="1701" w:type="dxa"/>
            <w:shd w:val="clear" w:color="auto" w:fill="auto"/>
            <w:noWrap/>
            <w:vAlign w:val="bottom"/>
          </w:tcPr>
          <w:p w:rsidR="00646EB5" w:rsidRPr="00374EE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472 403</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en-US" w:eastAsia="ru-RU"/>
              </w:rPr>
            </w:pPr>
            <w:r w:rsidRPr="00C9151A">
              <w:rPr>
                <w:rFonts w:cs="Arial"/>
                <w:sz w:val="16"/>
                <w:szCs w:val="16"/>
                <w:lang w:val="en-US" w:eastAsia="ru-RU"/>
              </w:rPr>
              <w:t>510 523</w:t>
            </w:r>
          </w:p>
        </w:tc>
      </w:tr>
      <w:tr w:rsidR="00646EB5" w:rsidRPr="00367D3E" w:rsidTr="00646EB5">
        <w:trPr>
          <w:trHeight w:val="300"/>
        </w:trPr>
        <w:tc>
          <w:tcPr>
            <w:tcW w:w="5685" w:type="dxa"/>
            <w:tcBorders>
              <w:bottom w:val="single" w:sz="4" w:space="0" w:color="auto"/>
            </w:tcBorders>
            <w:shd w:val="clear" w:color="auto" w:fill="auto"/>
            <w:vAlign w:val="bottom"/>
            <w:hideMark/>
          </w:tcPr>
          <w:p w:rsidR="00646EB5" w:rsidRPr="00C9151A" w:rsidRDefault="00646EB5" w:rsidP="00646EB5">
            <w:pPr>
              <w:overflowPunct/>
              <w:autoSpaceDE/>
              <w:autoSpaceDN/>
              <w:adjustRightInd/>
              <w:textAlignment w:val="auto"/>
              <w:rPr>
                <w:rFonts w:ascii="Calibri" w:hAnsi="Calibri" w:cs="Times New Roman"/>
                <w:b/>
                <w:bCs/>
                <w:sz w:val="16"/>
                <w:szCs w:val="16"/>
                <w:lang w:eastAsia="ru-RU"/>
              </w:rPr>
            </w:pPr>
            <w:r w:rsidRPr="00C9151A">
              <w:rPr>
                <w:rFonts w:cs="Arial"/>
                <w:b/>
                <w:bCs/>
                <w:sz w:val="16"/>
                <w:szCs w:val="16"/>
                <w:lang w:val="ru-RU" w:eastAsia="ru-RU"/>
              </w:rPr>
              <w:t>Итого процентных доходов</w:t>
            </w:r>
          </w:p>
        </w:tc>
        <w:tc>
          <w:tcPr>
            <w:tcW w:w="1701" w:type="dxa"/>
            <w:tcBorders>
              <w:bottom w:val="single" w:sz="4" w:space="0" w:color="auto"/>
            </w:tcBorders>
            <w:shd w:val="clear" w:color="auto" w:fill="auto"/>
            <w:noWrap/>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1 208 417</w:t>
            </w:r>
          </w:p>
        </w:tc>
        <w:tc>
          <w:tcPr>
            <w:tcW w:w="1985" w:type="dxa"/>
            <w:tcBorders>
              <w:bottom w:val="single" w:sz="4" w:space="0" w:color="auto"/>
            </w:tcBorders>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1 272 838</w:t>
            </w:r>
          </w:p>
        </w:tc>
      </w:tr>
      <w:tr w:rsidR="00646EB5" w:rsidRPr="00367D3E" w:rsidTr="00646EB5">
        <w:trPr>
          <w:trHeight w:val="300"/>
        </w:trPr>
        <w:tc>
          <w:tcPr>
            <w:tcW w:w="5685" w:type="dxa"/>
            <w:tcBorders>
              <w:top w:val="single" w:sz="4" w:space="0" w:color="auto"/>
            </w:tcBorders>
            <w:shd w:val="clear" w:color="auto" w:fill="auto"/>
            <w:vAlign w:val="bottom"/>
            <w:hideMark/>
          </w:tcPr>
          <w:p w:rsidR="00646EB5" w:rsidRPr="004C21B7" w:rsidRDefault="00646EB5" w:rsidP="00646EB5">
            <w:pPr>
              <w:rPr>
                <w:rFonts w:ascii="Calibri" w:hAnsi="Calibri" w:cs="Times New Roman"/>
                <w:b/>
                <w:bCs/>
                <w:sz w:val="16"/>
                <w:szCs w:val="16"/>
                <w:lang w:eastAsia="ru-RU"/>
              </w:rPr>
            </w:pPr>
            <w:r w:rsidRPr="004C21B7">
              <w:rPr>
                <w:rFonts w:cs="Arial"/>
                <w:b/>
                <w:bCs/>
                <w:sz w:val="16"/>
                <w:szCs w:val="16"/>
                <w:lang w:val="ru-RU" w:eastAsia="ru-RU"/>
              </w:rPr>
              <w:t>Процентные расходы</w:t>
            </w:r>
          </w:p>
        </w:tc>
        <w:tc>
          <w:tcPr>
            <w:tcW w:w="1701" w:type="dxa"/>
            <w:tcBorders>
              <w:top w:val="single" w:sz="4" w:space="0" w:color="auto"/>
            </w:tcBorders>
            <w:shd w:val="clear" w:color="auto" w:fill="auto"/>
            <w:noWrap/>
            <w:vAlign w:val="bottom"/>
            <w:hideMark/>
          </w:tcPr>
          <w:p w:rsidR="00646EB5" w:rsidRPr="004C21B7" w:rsidRDefault="00646EB5" w:rsidP="00646EB5">
            <w:pPr>
              <w:jc w:val="center"/>
              <w:rPr>
                <w:rFonts w:ascii="Calibri" w:hAnsi="Calibri" w:cs="Times New Roman"/>
                <w:b/>
                <w:bCs/>
                <w:sz w:val="16"/>
                <w:szCs w:val="16"/>
                <w:lang w:eastAsia="ru-RU"/>
              </w:rPr>
            </w:pPr>
          </w:p>
        </w:tc>
        <w:tc>
          <w:tcPr>
            <w:tcW w:w="1985" w:type="dxa"/>
            <w:tcBorders>
              <w:top w:val="single" w:sz="4" w:space="0" w:color="auto"/>
            </w:tcBorders>
            <w:vAlign w:val="bottom"/>
          </w:tcPr>
          <w:p w:rsidR="00646EB5" w:rsidRPr="004C21B7" w:rsidRDefault="00646EB5" w:rsidP="00646EB5">
            <w:pPr>
              <w:jc w:val="center"/>
              <w:rPr>
                <w:rFonts w:ascii="Calibri" w:hAnsi="Calibri" w:cs="Times New Roman"/>
                <w:b/>
                <w:bCs/>
                <w:sz w:val="16"/>
                <w:szCs w:val="16"/>
                <w:lang w:eastAsia="ru-RU"/>
              </w:rPr>
            </w:pP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sidRPr="004C21B7">
              <w:rPr>
                <w:rFonts w:cs="Arial"/>
                <w:sz w:val="16"/>
                <w:szCs w:val="16"/>
                <w:lang w:val="ru-RU" w:eastAsia="ru-RU"/>
              </w:rPr>
              <w:t>по привлеченным средствам юридических лиц и ИП</w:t>
            </w:r>
          </w:p>
        </w:tc>
        <w:tc>
          <w:tcPr>
            <w:tcW w:w="1701" w:type="dxa"/>
            <w:shd w:val="clear" w:color="auto" w:fill="auto"/>
            <w:noWrap/>
            <w:vAlign w:val="bottom"/>
            <w:hideMark/>
          </w:tcPr>
          <w:p w:rsidR="00646EB5" w:rsidRPr="004C21B7" w:rsidRDefault="00646EB5" w:rsidP="00646EB5">
            <w:pPr>
              <w:overflowPunct/>
              <w:autoSpaceDE/>
              <w:autoSpaceDN/>
              <w:adjustRightInd/>
              <w:jc w:val="center"/>
              <w:textAlignment w:val="auto"/>
              <w:rPr>
                <w:rFonts w:cs="Arial"/>
                <w:sz w:val="16"/>
                <w:szCs w:val="16"/>
                <w:lang w:val="ru-RU" w:eastAsia="ru-RU"/>
              </w:rPr>
            </w:pPr>
            <w:r w:rsidRPr="004C21B7">
              <w:rPr>
                <w:rFonts w:cs="Arial"/>
                <w:sz w:val="16"/>
                <w:szCs w:val="16"/>
                <w:lang w:val="ru-RU" w:eastAsia="ru-RU"/>
              </w:rPr>
              <w:t>(</w:t>
            </w:r>
            <w:r>
              <w:rPr>
                <w:rFonts w:cs="Arial"/>
                <w:sz w:val="16"/>
                <w:szCs w:val="16"/>
                <w:lang w:val="ru-RU" w:eastAsia="ru-RU"/>
              </w:rPr>
              <w:t>18 753</w:t>
            </w:r>
            <w:r w:rsidRPr="004C21B7">
              <w:rPr>
                <w:rFonts w:cs="Arial"/>
                <w:sz w:val="16"/>
                <w:szCs w:val="16"/>
                <w:lang w:val="ru-RU" w:eastAsia="ru-RU"/>
              </w:rPr>
              <w:t>)</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sidRPr="004C21B7">
              <w:rPr>
                <w:rFonts w:cs="Arial"/>
                <w:sz w:val="16"/>
                <w:szCs w:val="16"/>
                <w:lang w:val="ru-RU" w:eastAsia="ru-RU"/>
              </w:rPr>
              <w:t>(52 735)</w:t>
            </w: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sidRPr="004C21B7">
              <w:rPr>
                <w:rFonts w:cs="Arial"/>
                <w:sz w:val="16"/>
                <w:szCs w:val="16"/>
                <w:lang w:val="ru-RU" w:eastAsia="ru-RU"/>
              </w:rPr>
              <w:t>по привлеченным средствам физических лиц</w:t>
            </w:r>
          </w:p>
        </w:tc>
        <w:tc>
          <w:tcPr>
            <w:tcW w:w="1701" w:type="dxa"/>
            <w:shd w:val="clear" w:color="auto" w:fill="auto"/>
            <w:noWrap/>
            <w:vAlign w:val="bottom"/>
            <w:hideMark/>
          </w:tcPr>
          <w:p w:rsidR="00646EB5" w:rsidRPr="004C21B7" w:rsidRDefault="00646EB5" w:rsidP="00646EB5">
            <w:pPr>
              <w:overflowPunct/>
              <w:autoSpaceDE/>
              <w:autoSpaceDN/>
              <w:adjustRightInd/>
              <w:jc w:val="center"/>
              <w:textAlignment w:val="auto"/>
              <w:rPr>
                <w:rFonts w:cs="Arial"/>
                <w:sz w:val="16"/>
                <w:szCs w:val="16"/>
                <w:lang w:val="ru-RU" w:eastAsia="ru-RU"/>
              </w:rPr>
            </w:pPr>
            <w:r w:rsidRPr="004C21B7">
              <w:rPr>
                <w:rFonts w:cs="Arial"/>
                <w:sz w:val="16"/>
                <w:szCs w:val="16"/>
                <w:lang w:val="ru-RU" w:eastAsia="ru-RU"/>
              </w:rPr>
              <w:t>(</w:t>
            </w:r>
            <w:r>
              <w:rPr>
                <w:rFonts w:cs="Arial"/>
                <w:sz w:val="16"/>
                <w:szCs w:val="16"/>
                <w:lang w:val="ru-RU" w:eastAsia="ru-RU"/>
              </w:rPr>
              <w:t>541 736</w:t>
            </w:r>
            <w:r w:rsidRPr="004C21B7">
              <w:rPr>
                <w:rFonts w:cs="Arial"/>
                <w:sz w:val="16"/>
                <w:szCs w:val="16"/>
                <w:lang w:val="ru-RU" w:eastAsia="ru-RU"/>
              </w:rPr>
              <w:t>)</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sidRPr="004C21B7">
              <w:rPr>
                <w:rFonts w:cs="Arial"/>
                <w:sz w:val="16"/>
                <w:szCs w:val="16"/>
                <w:lang w:val="ru-RU" w:eastAsia="ru-RU"/>
              </w:rPr>
              <w:t>(663 880)</w:t>
            </w:r>
          </w:p>
        </w:tc>
      </w:tr>
      <w:tr w:rsidR="00646EB5" w:rsidRPr="00367D3E" w:rsidTr="00646EB5">
        <w:trPr>
          <w:trHeight w:val="300"/>
        </w:trPr>
        <w:tc>
          <w:tcPr>
            <w:tcW w:w="5685" w:type="dxa"/>
            <w:shd w:val="clear" w:color="auto" w:fill="auto"/>
            <w:vAlign w:val="bottom"/>
          </w:tcPr>
          <w:p w:rsidR="00646EB5" w:rsidRPr="00817FA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по привлеченным средствам кредитных организаций</w:t>
            </w:r>
          </w:p>
        </w:tc>
        <w:tc>
          <w:tcPr>
            <w:tcW w:w="1701" w:type="dxa"/>
            <w:shd w:val="clear" w:color="auto" w:fill="auto"/>
            <w:noWrap/>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(70</w:t>
            </w:r>
            <w:r w:rsidRPr="00817FA6">
              <w:rPr>
                <w:rFonts w:cs="Arial"/>
                <w:sz w:val="16"/>
                <w:szCs w:val="16"/>
                <w:lang w:val="ru-RU" w:eastAsia="ru-RU"/>
              </w:rPr>
              <w:t>)</w:t>
            </w:r>
          </w:p>
        </w:tc>
        <w:tc>
          <w:tcPr>
            <w:tcW w:w="1985" w:type="dxa"/>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sidRPr="00817FA6">
              <w:rPr>
                <w:rFonts w:cs="Arial"/>
                <w:sz w:val="16"/>
                <w:szCs w:val="16"/>
                <w:lang w:val="ru-RU" w:eastAsia="ru-RU"/>
              </w:rPr>
              <w:t>(</w:t>
            </w:r>
            <w:r>
              <w:rPr>
                <w:rFonts w:cs="Arial"/>
                <w:sz w:val="16"/>
                <w:szCs w:val="16"/>
                <w:lang w:val="ru-RU" w:eastAsia="ru-RU"/>
              </w:rPr>
              <w:t>16</w:t>
            </w:r>
            <w:r w:rsidRPr="00817FA6">
              <w:rPr>
                <w:rFonts w:cs="Arial"/>
                <w:sz w:val="16"/>
                <w:szCs w:val="16"/>
                <w:lang w:val="ru-RU" w:eastAsia="ru-RU"/>
              </w:rPr>
              <w:t>)</w:t>
            </w: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w:t>
            </w:r>
            <w:r w:rsidRPr="004C21B7">
              <w:rPr>
                <w:rFonts w:cs="Arial"/>
                <w:sz w:val="16"/>
                <w:szCs w:val="16"/>
                <w:lang w:val="ru-RU" w:eastAsia="ru-RU"/>
              </w:rPr>
              <w:t>о выпущенным долговым обязательствам</w:t>
            </w:r>
          </w:p>
        </w:tc>
        <w:tc>
          <w:tcPr>
            <w:tcW w:w="1701" w:type="dxa"/>
            <w:shd w:val="clear" w:color="auto" w:fill="auto"/>
            <w:noWrap/>
            <w:vAlign w:val="bottom"/>
            <w:hideMark/>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sidRPr="004C21B7">
              <w:rPr>
                <w:rFonts w:cs="Arial"/>
                <w:sz w:val="16"/>
                <w:szCs w:val="16"/>
                <w:lang w:val="ru-RU" w:eastAsia="ru-RU"/>
              </w:rPr>
              <w:t>(84)</w:t>
            </w:r>
          </w:p>
        </w:tc>
      </w:tr>
      <w:tr w:rsidR="00646EB5" w:rsidRPr="00367D3E" w:rsidTr="00646EB5">
        <w:trPr>
          <w:trHeight w:val="300"/>
        </w:trPr>
        <w:tc>
          <w:tcPr>
            <w:tcW w:w="5685" w:type="dxa"/>
            <w:tcBorders>
              <w:bottom w:val="single" w:sz="4" w:space="0" w:color="auto"/>
            </w:tcBorders>
            <w:shd w:val="clear" w:color="auto" w:fill="auto"/>
            <w:vAlign w:val="bottom"/>
            <w:hideMark/>
          </w:tcPr>
          <w:p w:rsidR="00646EB5" w:rsidRPr="004C21B7" w:rsidRDefault="00646EB5" w:rsidP="00646EB5">
            <w:pPr>
              <w:rPr>
                <w:rFonts w:cs="Arial"/>
                <w:b/>
                <w:bCs/>
                <w:sz w:val="16"/>
                <w:szCs w:val="16"/>
                <w:lang w:val="ru-RU" w:eastAsia="ru-RU"/>
              </w:rPr>
            </w:pPr>
            <w:r w:rsidRPr="004C21B7">
              <w:rPr>
                <w:rFonts w:cs="Arial"/>
                <w:b/>
                <w:bCs/>
                <w:sz w:val="16"/>
                <w:szCs w:val="16"/>
                <w:lang w:val="ru-RU" w:eastAsia="ru-RU"/>
              </w:rPr>
              <w:lastRenderedPageBreak/>
              <w:t>Итого процентных расходов</w:t>
            </w:r>
          </w:p>
        </w:tc>
        <w:tc>
          <w:tcPr>
            <w:tcW w:w="1701" w:type="dxa"/>
            <w:tcBorders>
              <w:bottom w:val="single" w:sz="4" w:space="0" w:color="auto"/>
            </w:tcBorders>
            <w:shd w:val="clear" w:color="auto" w:fill="auto"/>
            <w:noWrap/>
            <w:vAlign w:val="bottom"/>
            <w:hideMark/>
          </w:tcPr>
          <w:p w:rsidR="00646EB5" w:rsidRPr="004C21B7" w:rsidRDefault="00646EB5" w:rsidP="00646EB5">
            <w:pPr>
              <w:jc w:val="center"/>
              <w:rPr>
                <w:rFonts w:cs="Arial"/>
                <w:b/>
                <w:bCs/>
                <w:sz w:val="16"/>
                <w:szCs w:val="16"/>
                <w:lang w:val="ru-RU" w:eastAsia="ru-RU"/>
              </w:rPr>
            </w:pPr>
            <w:r w:rsidRPr="004C21B7">
              <w:rPr>
                <w:rFonts w:cs="Arial"/>
                <w:b/>
                <w:bCs/>
                <w:sz w:val="16"/>
                <w:szCs w:val="16"/>
                <w:lang w:val="ru-RU" w:eastAsia="ru-RU"/>
              </w:rPr>
              <w:t>(</w:t>
            </w:r>
            <w:r>
              <w:rPr>
                <w:rFonts w:cs="Arial"/>
                <w:b/>
                <w:bCs/>
                <w:sz w:val="16"/>
                <w:szCs w:val="16"/>
                <w:lang w:val="ru-RU" w:eastAsia="ru-RU"/>
              </w:rPr>
              <w:t>560 559</w:t>
            </w:r>
            <w:r w:rsidRPr="004C21B7">
              <w:rPr>
                <w:rFonts w:cs="Arial"/>
                <w:b/>
                <w:bCs/>
                <w:sz w:val="16"/>
                <w:szCs w:val="16"/>
                <w:lang w:val="ru-RU" w:eastAsia="ru-RU"/>
              </w:rPr>
              <w:t>)</w:t>
            </w:r>
          </w:p>
        </w:tc>
        <w:tc>
          <w:tcPr>
            <w:tcW w:w="1985" w:type="dxa"/>
            <w:tcBorders>
              <w:bottom w:val="single" w:sz="4" w:space="0" w:color="auto"/>
            </w:tcBorders>
            <w:vAlign w:val="bottom"/>
          </w:tcPr>
          <w:p w:rsidR="00646EB5" w:rsidRPr="004C21B7" w:rsidRDefault="00646EB5" w:rsidP="00646EB5">
            <w:pPr>
              <w:jc w:val="center"/>
              <w:rPr>
                <w:rFonts w:cs="Arial"/>
                <w:b/>
                <w:bCs/>
                <w:sz w:val="16"/>
                <w:szCs w:val="16"/>
                <w:lang w:val="ru-RU" w:eastAsia="ru-RU"/>
              </w:rPr>
            </w:pPr>
            <w:r w:rsidRPr="004C21B7">
              <w:rPr>
                <w:rFonts w:cs="Arial"/>
                <w:b/>
                <w:bCs/>
                <w:sz w:val="16"/>
                <w:szCs w:val="16"/>
                <w:lang w:val="ru-RU" w:eastAsia="ru-RU"/>
              </w:rPr>
              <w:t>(716 715)</w:t>
            </w:r>
          </w:p>
        </w:tc>
      </w:tr>
      <w:tr w:rsidR="00646EB5" w:rsidRPr="00367D3E" w:rsidTr="00646EB5">
        <w:trPr>
          <w:trHeight w:val="300"/>
        </w:trPr>
        <w:tc>
          <w:tcPr>
            <w:tcW w:w="5685" w:type="dxa"/>
            <w:tcBorders>
              <w:top w:val="single" w:sz="4" w:space="0" w:color="auto"/>
              <w:bottom w:val="double" w:sz="4" w:space="0" w:color="auto"/>
            </w:tcBorders>
            <w:shd w:val="clear" w:color="auto" w:fill="auto"/>
            <w:vAlign w:val="center"/>
            <w:hideMark/>
          </w:tcPr>
          <w:p w:rsidR="00646EB5" w:rsidRPr="004C21B7" w:rsidRDefault="00646EB5" w:rsidP="00646EB5">
            <w:pPr>
              <w:rPr>
                <w:rFonts w:cs="Arial"/>
                <w:b/>
                <w:bCs/>
                <w:sz w:val="16"/>
                <w:szCs w:val="16"/>
                <w:lang w:val="ru-RU" w:eastAsia="ru-RU"/>
              </w:rPr>
            </w:pPr>
            <w:r w:rsidRPr="004C21B7">
              <w:rPr>
                <w:rFonts w:cs="Arial"/>
                <w:b/>
                <w:bCs/>
                <w:sz w:val="16"/>
                <w:szCs w:val="16"/>
                <w:lang w:val="ru-RU" w:eastAsia="ru-RU"/>
              </w:rPr>
              <w:t>Чистые процентные доходы (расходы)</w:t>
            </w:r>
          </w:p>
        </w:tc>
        <w:tc>
          <w:tcPr>
            <w:tcW w:w="1701" w:type="dxa"/>
            <w:tcBorders>
              <w:top w:val="single" w:sz="4" w:space="0" w:color="auto"/>
              <w:bottom w:val="double" w:sz="4" w:space="0" w:color="auto"/>
            </w:tcBorders>
            <w:shd w:val="clear" w:color="auto" w:fill="auto"/>
            <w:noWrap/>
            <w:vAlign w:val="center"/>
            <w:hideMark/>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647 858</w:t>
            </w:r>
          </w:p>
        </w:tc>
        <w:tc>
          <w:tcPr>
            <w:tcW w:w="1985" w:type="dxa"/>
            <w:tcBorders>
              <w:top w:val="single" w:sz="4" w:space="0" w:color="auto"/>
              <w:bottom w:val="double" w:sz="4" w:space="0" w:color="auto"/>
            </w:tcBorders>
            <w:vAlign w:val="center"/>
          </w:tcPr>
          <w:p w:rsidR="00646EB5" w:rsidRPr="004C21B7" w:rsidRDefault="00646EB5" w:rsidP="00646EB5">
            <w:pPr>
              <w:jc w:val="center"/>
              <w:rPr>
                <w:rFonts w:cs="Arial"/>
                <w:b/>
                <w:bCs/>
                <w:sz w:val="16"/>
                <w:szCs w:val="16"/>
                <w:lang w:val="ru-RU" w:eastAsia="ru-RU"/>
              </w:rPr>
            </w:pPr>
            <w:r w:rsidRPr="004C21B7">
              <w:rPr>
                <w:rFonts w:cs="Arial"/>
                <w:b/>
                <w:bCs/>
                <w:sz w:val="16"/>
                <w:szCs w:val="16"/>
                <w:lang w:val="ru-RU" w:eastAsia="ru-RU"/>
              </w:rPr>
              <w:t>556 123</w:t>
            </w:r>
          </w:p>
        </w:tc>
      </w:tr>
    </w:tbl>
    <w:p w:rsidR="00646EB5" w:rsidRDefault="00646EB5" w:rsidP="00646EB5">
      <w:pPr>
        <w:jc w:val="both"/>
        <w:rPr>
          <w:rFonts w:cs="Arial"/>
          <w:b/>
          <w:sz w:val="20"/>
          <w:szCs w:val="20"/>
          <w:highlight w:val="yellow"/>
          <w:lang w:val="ru-RU"/>
        </w:rPr>
      </w:pPr>
    </w:p>
    <w:p w:rsidR="00646EB5" w:rsidRPr="00C9151A" w:rsidRDefault="00646EB5" w:rsidP="00646EB5">
      <w:pPr>
        <w:jc w:val="both"/>
        <w:rPr>
          <w:b/>
          <w:sz w:val="20"/>
          <w:szCs w:val="20"/>
          <w:lang w:val="ru-RU"/>
        </w:rPr>
      </w:pPr>
      <w:r>
        <w:rPr>
          <w:b/>
          <w:sz w:val="20"/>
          <w:szCs w:val="20"/>
          <w:lang w:val="ru-RU"/>
        </w:rPr>
        <w:t>Чистые доходы от операций с финансовыми активами, оцениваемыми по справедливой стоимости через прибыль или убыток</w:t>
      </w:r>
    </w:p>
    <w:p w:rsidR="00646EB5" w:rsidRPr="00C9151A" w:rsidRDefault="00646EB5" w:rsidP="00646EB5">
      <w:pPr>
        <w:jc w:val="both"/>
        <w:rPr>
          <w:b/>
          <w:sz w:val="20"/>
          <w:szCs w:val="20"/>
          <w:lang w:val="ru-RU"/>
        </w:rPr>
      </w:pPr>
    </w:p>
    <w:tbl>
      <w:tblPr>
        <w:tblW w:w="9371" w:type="dxa"/>
        <w:tblInd w:w="93" w:type="dxa"/>
        <w:tblLook w:val="04A0" w:firstRow="1" w:lastRow="0" w:firstColumn="1" w:lastColumn="0" w:noHBand="0" w:noVBand="1"/>
      </w:tblPr>
      <w:tblGrid>
        <w:gridCol w:w="5685"/>
        <w:gridCol w:w="1701"/>
        <w:gridCol w:w="1985"/>
      </w:tblGrid>
      <w:tr w:rsidR="00646EB5" w:rsidRPr="00367D3E" w:rsidTr="00646EB5">
        <w:trPr>
          <w:trHeight w:val="300"/>
          <w:tblHeader/>
        </w:trPr>
        <w:tc>
          <w:tcPr>
            <w:tcW w:w="5685" w:type="dxa"/>
            <w:tcBorders>
              <w:top w:val="single" w:sz="4" w:space="0" w:color="auto"/>
              <w:bottom w:val="single" w:sz="4" w:space="0" w:color="auto"/>
            </w:tcBorders>
            <w:shd w:val="clear" w:color="auto" w:fill="auto"/>
            <w:vAlign w:val="center"/>
            <w:hideMark/>
          </w:tcPr>
          <w:p w:rsidR="00646EB5" w:rsidRPr="00C9151A" w:rsidRDefault="00646EB5" w:rsidP="00646EB5">
            <w:pPr>
              <w:overflowPunct/>
              <w:autoSpaceDE/>
              <w:autoSpaceDN/>
              <w:adjustRightInd/>
              <w:jc w:val="center"/>
              <w:textAlignment w:val="auto"/>
              <w:rPr>
                <w:rFonts w:cs="Arial"/>
                <w:b/>
                <w:bCs/>
                <w:sz w:val="16"/>
                <w:szCs w:val="16"/>
                <w:lang w:val="ru-RU" w:eastAsia="ru-RU"/>
              </w:rPr>
            </w:pPr>
          </w:p>
        </w:tc>
        <w:tc>
          <w:tcPr>
            <w:tcW w:w="1701" w:type="dxa"/>
            <w:tcBorders>
              <w:top w:val="single" w:sz="4" w:space="0" w:color="auto"/>
              <w:bottom w:val="single" w:sz="4" w:space="0" w:color="auto"/>
            </w:tcBorders>
            <w:shd w:val="clear" w:color="auto" w:fill="auto"/>
            <w:noWrap/>
            <w:vAlign w:val="center"/>
            <w:hideMark/>
          </w:tcPr>
          <w:p w:rsidR="00646EB5" w:rsidRPr="00C9151A" w:rsidRDefault="00646EB5" w:rsidP="00646EB5">
            <w:pPr>
              <w:overflowPunct/>
              <w:autoSpaceDE/>
              <w:autoSpaceDN/>
              <w:adjustRightInd/>
              <w:jc w:val="center"/>
              <w:textAlignment w:val="auto"/>
              <w:rPr>
                <w:rFonts w:cs="Arial"/>
                <w:b/>
                <w:bCs/>
                <w:sz w:val="16"/>
                <w:szCs w:val="16"/>
                <w:lang w:val="ru-RU" w:eastAsia="ru-RU"/>
              </w:rPr>
            </w:pPr>
            <w:r w:rsidRPr="00C9151A">
              <w:rPr>
                <w:rFonts w:cs="Arial"/>
                <w:b/>
                <w:bCs/>
                <w:sz w:val="16"/>
                <w:szCs w:val="16"/>
                <w:lang w:val="ru-RU" w:eastAsia="ru-RU"/>
              </w:rPr>
              <w:t>201</w:t>
            </w:r>
            <w:r>
              <w:rPr>
                <w:rFonts w:cs="Arial"/>
                <w:b/>
                <w:bCs/>
                <w:sz w:val="16"/>
                <w:szCs w:val="16"/>
                <w:lang w:val="ru-RU" w:eastAsia="ru-RU"/>
              </w:rPr>
              <w:t>8</w:t>
            </w:r>
            <w:r w:rsidRPr="00C9151A">
              <w:rPr>
                <w:rFonts w:cs="Arial"/>
                <w:b/>
                <w:bCs/>
                <w:sz w:val="16"/>
                <w:szCs w:val="16"/>
                <w:lang w:val="ru-RU" w:eastAsia="ru-RU"/>
              </w:rPr>
              <w:t xml:space="preserve"> год</w:t>
            </w:r>
          </w:p>
        </w:tc>
        <w:tc>
          <w:tcPr>
            <w:tcW w:w="1985" w:type="dxa"/>
            <w:tcBorders>
              <w:top w:val="single" w:sz="4" w:space="0" w:color="auto"/>
              <w:bottom w:val="single" w:sz="4" w:space="0" w:color="auto"/>
            </w:tcBorders>
            <w:vAlign w:val="center"/>
          </w:tcPr>
          <w:p w:rsidR="00646EB5" w:rsidRPr="00C9151A" w:rsidRDefault="00646EB5" w:rsidP="00646EB5">
            <w:pPr>
              <w:overflowPunct/>
              <w:autoSpaceDE/>
              <w:autoSpaceDN/>
              <w:adjustRightInd/>
              <w:jc w:val="center"/>
              <w:textAlignment w:val="auto"/>
              <w:rPr>
                <w:rFonts w:cs="Arial"/>
                <w:b/>
                <w:bCs/>
                <w:sz w:val="16"/>
                <w:szCs w:val="16"/>
                <w:lang w:val="ru-RU" w:eastAsia="ru-RU"/>
              </w:rPr>
            </w:pPr>
            <w:r w:rsidRPr="00C9151A">
              <w:rPr>
                <w:rFonts w:cs="Arial"/>
                <w:b/>
                <w:bCs/>
                <w:sz w:val="16"/>
                <w:szCs w:val="16"/>
                <w:lang w:val="ru-RU" w:eastAsia="ru-RU"/>
              </w:rPr>
              <w:t>2017 год</w:t>
            </w:r>
          </w:p>
        </w:tc>
      </w:tr>
      <w:tr w:rsidR="00646EB5" w:rsidRPr="006C0DB6" w:rsidTr="00646EB5">
        <w:trPr>
          <w:trHeight w:val="300"/>
        </w:trPr>
        <w:tc>
          <w:tcPr>
            <w:tcW w:w="5685" w:type="dxa"/>
            <w:tcBorders>
              <w:top w:val="single" w:sz="4" w:space="0" w:color="auto"/>
            </w:tcBorders>
            <w:shd w:val="clear" w:color="auto" w:fill="auto"/>
            <w:vAlign w:val="bottom"/>
            <w:hideMark/>
          </w:tcPr>
          <w:p w:rsidR="00646EB5" w:rsidRPr="004E6A8D" w:rsidRDefault="00646EB5" w:rsidP="00646EB5">
            <w:pPr>
              <w:overflowPunct/>
              <w:autoSpaceDE/>
              <w:autoSpaceDN/>
              <w:adjustRightInd/>
              <w:textAlignment w:val="auto"/>
              <w:rPr>
                <w:rFonts w:ascii="Calibri" w:hAnsi="Calibri" w:cs="Times New Roman"/>
                <w:b/>
                <w:bCs/>
                <w:sz w:val="16"/>
                <w:szCs w:val="16"/>
                <w:lang w:val="ru-RU" w:eastAsia="ru-RU"/>
              </w:rPr>
            </w:pPr>
            <w:r>
              <w:rPr>
                <w:rFonts w:cs="Arial"/>
                <w:b/>
                <w:bCs/>
                <w:sz w:val="16"/>
                <w:szCs w:val="16"/>
                <w:lang w:val="ru-RU" w:eastAsia="ru-RU"/>
              </w:rPr>
              <w:t>Доходы от операций с приобретенными долговыми ценными бумагами, оцениваемыми по справедливой стоимости через прибыль или убыток (кроме векселей)</w:t>
            </w:r>
          </w:p>
        </w:tc>
        <w:tc>
          <w:tcPr>
            <w:tcW w:w="1701" w:type="dxa"/>
            <w:tcBorders>
              <w:top w:val="single" w:sz="4" w:space="0" w:color="auto"/>
            </w:tcBorders>
            <w:shd w:val="clear" w:color="auto" w:fill="auto"/>
            <w:noWrap/>
            <w:vAlign w:val="bottom"/>
            <w:hideMark/>
          </w:tcPr>
          <w:p w:rsidR="00646EB5" w:rsidRPr="004E6A8D" w:rsidRDefault="00646EB5" w:rsidP="00646EB5">
            <w:pPr>
              <w:rPr>
                <w:rFonts w:ascii="Calibri" w:hAnsi="Calibri" w:cs="Times New Roman"/>
                <w:sz w:val="16"/>
                <w:szCs w:val="16"/>
                <w:lang w:val="ru-RU" w:eastAsia="ru-RU"/>
              </w:rPr>
            </w:pPr>
            <w:r w:rsidRPr="00C9151A">
              <w:rPr>
                <w:rFonts w:ascii="Calibri" w:hAnsi="Calibri" w:cs="Times New Roman"/>
                <w:sz w:val="16"/>
                <w:szCs w:val="16"/>
                <w:lang w:eastAsia="ru-RU"/>
              </w:rPr>
              <w:t> </w:t>
            </w:r>
          </w:p>
        </w:tc>
        <w:tc>
          <w:tcPr>
            <w:tcW w:w="1985" w:type="dxa"/>
            <w:tcBorders>
              <w:top w:val="single" w:sz="4" w:space="0" w:color="auto"/>
            </w:tcBorders>
            <w:vAlign w:val="bottom"/>
          </w:tcPr>
          <w:p w:rsidR="00646EB5" w:rsidRPr="004E6A8D" w:rsidRDefault="00646EB5" w:rsidP="00646EB5">
            <w:pPr>
              <w:rPr>
                <w:rFonts w:ascii="Calibri" w:hAnsi="Calibri" w:cs="Times New Roman"/>
                <w:sz w:val="16"/>
                <w:szCs w:val="16"/>
                <w:lang w:val="ru-RU" w:eastAsia="ru-RU"/>
              </w:rPr>
            </w:pPr>
            <w:r w:rsidRPr="00C9151A">
              <w:rPr>
                <w:rFonts w:ascii="Calibri" w:hAnsi="Calibri" w:cs="Times New Roman"/>
                <w:sz w:val="16"/>
                <w:szCs w:val="16"/>
                <w:lang w:eastAsia="ru-RU"/>
              </w:rPr>
              <w:t> </w:t>
            </w:r>
          </w:p>
        </w:tc>
      </w:tr>
      <w:tr w:rsidR="00646EB5" w:rsidRPr="00367D3E"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Российской Федерации</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1 167</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7 011</w:t>
            </w:r>
          </w:p>
        </w:tc>
      </w:tr>
      <w:tr w:rsidR="00646EB5" w:rsidRPr="004E6A8D"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субъектов РФ и органов местного самоуправления</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532</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646EB5" w:rsidRPr="004E6A8D"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кредитных организаций</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2 102</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5 520</w:t>
            </w:r>
          </w:p>
        </w:tc>
      </w:tr>
      <w:tr w:rsidR="00646EB5" w:rsidRPr="004E6A8D"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резидентов</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41 044</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30 754</w:t>
            </w:r>
          </w:p>
        </w:tc>
      </w:tr>
      <w:tr w:rsidR="00646EB5" w:rsidRPr="004E6A8D"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нерезидентов</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492</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13 351</w:t>
            </w:r>
          </w:p>
        </w:tc>
      </w:tr>
      <w:tr w:rsidR="00646EB5" w:rsidRPr="00367D3E" w:rsidTr="00646EB5">
        <w:trPr>
          <w:trHeight w:val="300"/>
        </w:trPr>
        <w:tc>
          <w:tcPr>
            <w:tcW w:w="5685" w:type="dxa"/>
            <w:tcBorders>
              <w:bottom w:val="single" w:sz="4" w:space="0" w:color="auto"/>
            </w:tcBorders>
            <w:shd w:val="clear" w:color="auto" w:fill="auto"/>
            <w:vAlign w:val="bottom"/>
            <w:hideMark/>
          </w:tcPr>
          <w:p w:rsidR="00646EB5" w:rsidRPr="00C9151A" w:rsidRDefault="00646EB5" w:rsidP="00646EB5">
            <w:pPr>
              <w:overflowPunct/>
              <w:autoSpaceDE/>
              <w:autoSpaceDN/>
              <w:adjustRightInd/>
              <w:textAlignment w:val="auto"/>
              <w:rPr>
                <w:rFonts w:ascii="Calibri" w:hAnsi="Calibri" w:cs="Times New Roman"/>
                <w:b/>
                <w:bCs/>
                <w:sz w:val="16"/>
                <w:szCs w:val="16"/>
                <w:lang w:eastAsia="ru-RU"/>
              </w:rPr>
            </w:pPr>
            <w:r w:rsidRPr="00C9151A">
              <w:rPr>
                <w:rFonts w:cs="Arial"/>
                <w:b/>
                <w:bCs/>
                <w:sz w:val="16"/>
                <w:szCs w:val="16"/>
                <w:lang w:val="ru-RU" w:eastAsia="ru-RU"/>
              </w:rPr>
              <w:t xml:space="preserve">Итого </w:t>
            </w:r>
            <w:r>
              <w:rPr>
                <w:rFonts w:cs="Arial"/>
                <w:b/>
                <w:bCs/>
                <w:sz w:val="16"/>
                <w:szCs w:val="16"/>
                <w:lang w:val="ru-RU" w:eastAsia="ru-RU"/>
              </w:rPr>
              <w:t>доходов от операций</w:t>
            </w:r>
          </w:p>
        </w:tc>
        <w:tc>
          <w:tcPr>
            <w:tcW w:w="1701" w:type="dxa"/>
            <w:tcBorders>
              <w:bottom w:val="single" w:sz="4" w:space="0" w:color="auto"/>
            </w:tcBorders>
            <w:shd w:val="clear" w:color="auto" w:fill="auto"/>
            <w:noWrap/>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45 337</w:t>
            </w:r>
          </w:p>
        </w:tc>
        <w:tc>
          <w:tcPr>
            <w:tcW w:w="1985" w:type="dxa"/>
            <w:tcBorders>
              <w:bottom w:val="single" w:sz="4" w:space="0" w:color="auto"/>
            </w:tcBorders>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56 636</w:t>
            </w:r>
          </w:p>
        </w:tc>
      </w:tr>
      <w:tr w:rsidR="00646EB5" w:rsidRPr="006C0DB6" w:rsidTr="00646EB5">
        <w:trPr>
          <w:trHeight w:val="300"/>
        </w:trPr>
        <w:tc>
          <w:tcPr>
            <w:tcW w:w="5685" w:type="dxa"/>
            <w:tcBorders>
              <w:top w:val="single" w:sz="4" w:space="0" w:color="auto"/>
            </w:tcBorders>
            <w:shd w:val="clear" w:color="auto" w:fill="auto"/>
            <w:vAlign w:val="bottom"/>
            <w:hideMark/>
          </w:tcPr>
          <w:p w:rsidR="00646EB5" w:rsidRPr="00F4068F" w:rsidRDefault="00646EB5" w:rsidP="00646EB5">
            <w:pPr>
              <w:rPr>
                <w:rFonts w:ascii="Calibri" w:hAnsi="Calibri" w:cs="Times New Roman"/>
                <w:b/>
                <w:bCs/>
                <w:sz w:val="16"/>
                <w:szCs w:val="16"/>
                <w:lang w:val="ru-RU" w:eastAsia="ru-RU"/>
              </w:rPr>
            </w:pPr>
            <w:r>
              <w:rPr>
                <w:rFonts w:cs="Arial"/>
                <w:b/>
                <w:bCs/>
                <w:sz w:val="16"/>
                <w:szCs w:val="16"/>
                <w:lang w:val="ru-RU" w:eastAsia="ru-RU"/>
              </w:rPr>
              <w:t>Доходы от переоценки приобретенных долговых ценных бумаг, оцениваемых по справедливой стоимости через прибыль или убыток</w:t>
            </w:r>
          </w:p>
        </w:tc>
        <w:tc>
          <w:tcPr>
            <w:tcW w:w="1701" w:type="dxa"/>
            <w:tcBorders>
              <w:top w:val="single" w:sz="4" w:space="0" w:color="auto"/>
            </w:tcBorders>
            <w:shd w:val="clear" w:color="auto" w:fill="auto"/>
            <w:noWrap/>
            <w:vAlign w:val="bottom"/>
            <w:hideMark/>
          </w:tcPr>
          <w:p w:rsidR="00646EB5" w:rsidRPr="00F4068F" w:rsidRDefault="00646EB5" w:rsidP="00646EB5">
            <w:pPr>
              <w:jc w:val="center"/>
              <w:rPr>
                <w:rFonts w:ascii="Calibri" w:hAnsi="Calibri" w:cs="Times New Roman"/>
                <w:b/>
                <w:bCs/>
                <w:sz w:val="16"/>
                <w:szCs w:val="16"/>
                <w:lang w:val="ru-RU" w:eastAsia="ru-RU"/>
              </w:rPr>
            </w:pPr>
          </w:p>
        </w:tc>
        <w:tc>
          <w:tcPr>
            <w:tcW w:w="1985" w:type="dxa"/>
            <w:tcBorders>
              <w:top w:val="single" w:sz="4" w:space="0" w:color="auto"/>
            </w:tcBorders>
            <w:vAlign w:val="bottom"/>
          </w:tcPr>
          <w:p w:rsidR="00646EB5" w:rsidRPr="00F4068F" w:rsidRDefault="00646EB5" w:rsidP="00646EB5">
            <w:pPr>
              <w:jc w:val="center"/>
              <w:rPr>
                <w:rFonts w:ascii="Calibri" w:hAnsi="Calibri" w:cs="Times New Roman"/>
                <w:b/>
                <w:bCs/>
                <w:sz w:val="16"/>
                <w:szCs w:val="16"/>
                <w:lang w:val="ru-RU" w:eastAsia="ru-RU"/>
              </w:rPr>
            </w:pP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Российской Федерации</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536</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283</w:t>
            </w: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Банка России</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71</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740</w:t>
            </w:r>
          </w:p>
        </w:tc>
      </w:tr>
      <w:tr w:rsidR="00646EB5" w:rsidRPr="00367D3E" w:rsidTr="00646EB5">
        <w:trPr>
          <w:trHeight w:val="300"/>
        </w:trPr>
        <w:tc>
          <w:tcPr>
            <w:tcW w:w="5685" w:type="dxa"/>
            <w:shd w:val="clear" w:color="auto" w:fill="auto"/>
            <w:vAlign w:val="bottom"/>
          </w:tcPr>
          <w:p w:rsidR="00646EB5" w:rsidRPr="00817FA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кредитных организаций</w:t>
            </w:r>
          </w:p>
        </w:tc>
        <w:tc>
          <w:tcPr>
            <w:tcW w:w="1701" w:type="dxa"/>
            <w:shd w:val="clear" w:color="auto" w:fill="auto"/>
            <w:noWrap/>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441</w:t>
            </w:r>
          </w:p>
        </w:tc>
        <w:tc>
          <w:tcPr>
            <w:tcW w:w="1985" w:type="dxa"/>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2 732</w:t>
            </w:r>
          </w:p>
        </w:tc>
      </w:tr>
      <w:tr w:rsidR="00646EB5" w:rsidRPr="00367D3E"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резидентов</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2 679</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27 593</w:t>
            </w:r>
          </w:p>
        </w:tc>
      </w:tr>
      <w:tr w:rsidR="00646EB5" w:rsidRPr="00367D3E" w:rsidTr="00646EB5">
        <w:trPr>
          <w:trHeight w:val="300"/>
        </w:trPr>
        <w:tc>
          <w:tcPr>
            <w:tcW w:w="5685" w:type="dxa"/>
            <w:tcBorders>
              <w:bottom w:val="single" w:sz="4" w:space="0" w:color="auto"/>
            </w:tcBorders>
            <w:shd w:val="clear" w:color="auto" w:fill="auto"/>
            <w:vAlign w:val="bottom"/>
          </w:tcPr>
          <w:p w:rsidR="00646EB5" w:rsidRPr="00F4068F" w:rsidRDefault="00646EB5" w:rsidP="00646EB5">
            <w:pPr>
              <w:rPr>
                <w:rFonts w:cs="Arial"/>
                <w:bCs/>
                <w:sz w:val="16"/>
                <w:szCs w:val="16"/>
                <w:lang w:val="ru-RU" w:eastAsia="ru-RU"/>
              </w:rPr>
            </w:pPr>
            <w:r w:rsidRPr="00F4068F">
              <w:rPr>
                <w:rFonts w:cs="Arial"/>
                <w:bCs/>
                <w:sz w:val="16"/>
                <w:szCs w:val="16"/>
                <w:lang w:val="ru-RU" w:eastAsia="ru-RU"/>
              </w:rPr>
              <w:t>прочих нерезидентов</w:t>
            </w:r>
          </w:p>
        </w:tc>
        <w:tc>
          <w:tcPr>
            <w:tcW w:w="1701" w:type="dxa"/>
            <w:tcBorders>
              <w:bottom w:val="single" w:sz="4" w:space="0" w:color="auto"/>
            </w:tcBorders>
            <w:shd w:val="clear" w:color="auto" w:fill="auto"/>
            <w:noWrap/>
            <w:vAlign w:val="bottom"/>
          </w:tcPr>
          <w:p w:rsidR="00646EB5" w:rsidRPr="00F4068F" w:rsidRDefault="00646EB5" w:rsidP="00646EB5">
            <w:pPr>
              <w:jc w:val="center"/>
              <w:rPr>
                <w:rFonts w:cs="Arial"/>
                <w:bCs/>
                <w:sz w:val="16"/>
                <w:szCs w:val="16"/>
                <w:lang w:val="ru-RU" w:eastAsia="ru-RU"/>
              </w:rPr>
            </w:pPr>
            <w:r w:rsidRPr="00F4068F">
              <w:rPr>
                <w:rFonts w:cs="Arial"/>
                <w:bCs/>
                <w:sz w:val="16"/>
                <w:szCs w:val="16"/>
                <w:lang w:val="ru-RU" w:eastAsia="ru-RU"/>
              </w:rPr>
              <w:t>928</w:t>
            </w:r>
          </w:p>
        </w:tc>
        <w:tc>
          <w:tcPr>
            <w:tcW w:w="1985" w:type="dxa"/>
            <w:tcBorders>
              <w:bottom w:val="single" w:sz="4" w:space="0" w:color="auto"/>
            </w:tcBorders>
            <w:vAlign w:val="bottom"/>
          </w:tcPr>
          <w:p w:rsidR="00646EB5" w:rsidRPr="006665B2" w:rsidRDefault="00646EB5" w:rsidP="00646EB5">
            <w:pPr>
              <w:jc w:val="center"/>
              <w:rPr>
                <w:rFonts w:cs="Arial"/>
                <w:bCs/>
                <w:sz w:val="16"/>
                <w:szCs w:val="16"/>
                <w:lang w:val="ru-RU" w:eastAsia="ru-RU"/>
              </w:rPr>
            </w:pPr>
            <w:r w:rsidRPr="006665B2">
              <w:rPr>
                <w:rFonts w:cs="Arial"/>
                <w:bCs/>
                <w:sz w:val="16"/>
                <w:szCs w:val="16"/>
                <w:lang w:val="ru-RU" w:eastAsia="ru-RU"/>
              </w:rPr>
              <w:t>18 778</w:t>
            </w:r>
          </w:p>
        </w:tc>
      </w:tr>
      <w:tr w:rsidR="00646EB5" w:rsidRPr="00367D3E" w:rsidTr="00646EB5">
        <w:trPr>
          <w:trHeight w:val="300"/>
        </w:trPr>
        <w:tc>
          <w:tcPr>
            <w:tcW w:w="5685" w:type="dxa"/>
            <w:tcBorders>
              <w:bottom w:val="single" w:sz="4" w:space="0" w:color="auto"/>
            </w:tcBorders>
            <w:shd w:val="clear" w:color="auto" w:fill="auto"/>
            <w:vAlign w:val="bottom"/>
            <w:hideMark/>
          </w:tcPr>
          <w:p w:rsidR="00646EB5" w:rsidRPr="004C21B7" w:rsidRDefault="00646EB5" w:rsidP="00646EB5">
            <w:pPr>
              <w:rPr>
                <w:rFonts w:cs="Arial"/>
                <w:b/>
                <w:bCs/>
                <w:sz w:val="16"/>
                <w:szCs w:val="16"/>
                <w:lang w:val="ru-RU" w:eastAsia="ru-RU"/>
              </w:rPr>
            </w:pPr>
            <w:r w:rsidRPr="004C21B7">
              <w:rPr>
                <w:rFonts w:cs="Arial"/>
                <w:b/>
                <w:bCs/>
                <w:sz w:val="16"/>
                <w:szCs w:val="16"/>
                <w:lang w:val="ru-RU" w:eastAsia="ru-RU"/>
              </w:rPr>
              <w:t xml:space="preserve">Итого </w:t>
            </w:r>
            <w:r>
              <w:rPr>
                <w:rFonts w:cs="Arial"/>
                <w:b/>
                <w:bCs/>
                <w:sz w:val="16"/>
                <w:szCs w:val="16"/>
                <w:lang w:val="ru-RU" w:eastAsia="ru-RU"/>
              </w:rPr>
              <w:t>доходов от переоценки</w:t>
            </w:r>
          </w:p>
        </w:tc>
        <w:tc>
          <w:tcPr>
            <w:tcW w:w="1701" w:type="dxa"/>
            <w:tcBorders>
              <w:bottom w:val="single" w:sz="4" w:space="0" w:color="auto"/>
            </w:tcBorders>
            <w:shd w:val="clear" w:color="auto" w:fill="auto"/>
            <w:noWrap/>
            <w:vAlign w:val="bottom"/>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4 655</w:t>
            </w:r>
          </w:p>
        </w:tc>
        <w:tc>
          <w:tcPr>
            <w:tcW w:w="1985" w:type="dxa"/>
            <w:tcBorders>
              <w:bottom w:val="single" w:sz="4" w:space="0" w:color="auto"/>
            </w:tcBorders>
            <w:vAlign w:val="bottom"/>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50 126</w:t>
            </w:r>
          </w:p>
        </w:tc>
      </w:tr>
      <w:tr w:rsidR="00646EB5" w:rsidRPr="006C0DB6" w:rsidTr="00646EB5">
        <w:trPr>
          <w:trHeight w:val="723"/>
        </w:trPr>
        <w:tc>
          <w:tcPr>
            <w:tcW w:w="5685" w:type="dxa"/>
            <w:tcBorders>
              <w:top w:val="single" w:sz="4" w:space="0" w:color="auto"/>
            </w:tcBorders>
            <w:shd w:val="clear" w:color="auto" w:fill="auto"/>
            <w:vAlign w:val="bottom"/>
            <w:hideMark/>
          </w:tcPr>
          <w:p w:rsidR="00646EB5" w:rsidRPr="004E6A8D" w:rsidRDefault="00646EB5" w:rsidP="00646EB5">
            <w:pPr>
              <w:overflowPunct/>
              <w:autoSpaceDE/>
              <w:autoSpaceDN/>
              <w:adjustRightInd/>
              <w:textAlignment w:val="auto"/>
              <w:rPr>
                <w:rFonts w:ascii="Calibri" w:hAnsi="Calibri" w:cs="Times New Roman"/>
                <w:b/>
                <w:bCs/>
                <w:sz w:val="16"/>
                <w:szCs w:val="16"/>
                <w:lang w:val="ru-RU" w:eastAsia="ru-RU"/>
              </w:rPr>
            </w:pPr>
            <w:r>
              <w:rPr>
                <w:rFonts w:cs="Arial"/>
                <w:b/>
                <w:bCs/>
                <w:sz w:val="16"/>
                <w:szCs w:val="16"/>
                <w:lang w:val="ru-RU" w:eastAsia="ru-RU"/>
              </w:rPr>
              <w:t>Расходы по операциям с приобретенными долговыми ценными бумагами, оцениваемыми по справедливой стоимости через прибыль или убыток (кроме векселей)</w:t>
            </w:r>
          </w:p>
        </w:tc>
        <w:tc>
          <w:tcPr>
            <w:tcW w:w="1701" w:type="dxa"/>
            <w:tcBorders>
              <w:top w:val="single" w:sz="4" w:space="0" w:color="auto"/>
            </w:tcBorders>
            <w:shd w:val="clear" w:color="auto" w:fill="auto"/>
            <w:noWrap/>
            <w:vAlign w:val="bottom"/>
            <w:hideMark/>
          </w:tcPr>
          <w:p w:rsidR="00646EB5" w:rsidRPr="004E6A8D" w:rsidRDefault="00646EB5" w:rsidP="00646EB5">
            <w:pPr>
              <w:rPr>
                <w:rFonts w:ascii="Calibri" w:hAnsi="Calibri" w:cs="Times New Roman"/>
                <w:sz w:val="16"/>
                <w:szCs w:val="16"/>
                <w:lang w:val="ru-RU" w:eastAsia="ru-RU"/>
              </w:rPr>
            </w:pPr>
            <w:r w:rsidRPr="00C9151A">
              <w:rPr>
                <w:rFonts w:ascii="Calibri" w:hAnsi="Calibri" w:cs="Times New Roman"/>
                <w:sz w:val="16"/>
                <w:szCs w:val="16"/>
                <w:lang w:eastAsia="ru-RU"/>
              </w:rPr>
              <w:t> </w:t>
            </w:r>
          </w:p>
        </w:tc>
        <w:tc>
          <w:tcPr>
            <w:tcW w:w="1985" w:type="dxa"/>
            <w:tcBorders>
              <w:top w:val="single" w:sz="4" w:space="0" w:color="auto"/>
            </w:tcBorders>
            <w:vAlign w:val="bottom"/>
          </w:tcPr>
          <w:p w:rsidR="00646EB5" w:rsidRPr="004E6A8D" w:rsidRDefault="00646EB5" w:rsidP="00646EB5">
            <w:pPr>
              <w:rPr>
                <w:rFonts w:ascii="Calibri" w:hAnsi="Calibri" w:cs="Times New Roman"/>
                <w:sz w:val="16"/>
                <w:szCs w:val="16"/>
                <w:lang w:val="ru-RU" w:eastAsia="ru-RU"/>
              </w:rPr>
            </w:pPr>
            <w:r w:rsidRPr="00C9151A">
              <w:rPr>
                <w:rFonts w:ascii="Calibri" w:hAnsi="Calibri" w:cs="Times New Roman"/>
                <w:sz w:val="16"/>
                <w:szCs w:val="16"/>
                <w:lang w:eastAsia="ru-RU"/>
              </w:rPr>
              <w:t> </w:t>
            </w:r>
          </w:p>
        </w:tc>
      </w:tr>
      <w:tr w:rsidR="00646EB5" w:rsidRPr="00C9151A"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Российской Федерации</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(6 974)</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(495)</w:t>
            </w:r>
          </w:p>
        </w:tc>
      </w:tr>
      <w:tr w:rsidR="00646EB5" w:rsidRPr="00C9151A"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субъектов РФ и органов местного самоуправления</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(33)</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646EB5" w:rsidRPr="00C9151A" w:rsidTr="00646EB5">
        <w:trPr>
          <w:trHeight w:val="300"/>
        </w:trPr>
        <w:tc>
          <w:tcPr>
            <w:tcW w:w="5685" w:type="dxa"/>
            <w:shd w:val="clear" w:color="auto" w:fill="auto"/>
            <w:vAlign w:val="bottom"/>
          </w:tcPr>
          <w:p w:rsidR="00646EB5"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Банка России</w:t>
            </w:r>
          </w:p>
        </w:tc>
        <w:tc>
          <w:tcPr>
            <w:tcW w:w="1701" w:type="dxa"/>
            <w:shd w:val="clear" w:color="auto" w:fill="auto"/>
            <w:noWrap/>
            <w:vAlign w:val="bottom"/>
          </w:tcPr>
          <w:p w:rsidR="00646EB5"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(1 740)</w:t>
            </w:r>
          </w:p>
        </w:tc>
        <w:tc>
          <w:tcPr>
            <w:tcW w:w="1985" w:type="dxa"/>
            <w:vAlign w:val="bottom"/>
          </w:tcPr>
          <w:p w:rsidR="00646EB5"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(267)</w:t>
            </w:r>
          </w:p>
        </w:tc>
      </w:tr>
      <w:tr w:rsidR="00646EB5" w:rsidRPr="00C9151A"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кредитных организаций</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(4 363)</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(627)</w:t>
            </w:r>
          </w:p>
        </w:tc>
      </w:tr>
      <w:tr w:rsidR="00646EB5" w:rsidRPr="00C9151A"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резидентов</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(16 598)</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(11 750)</w:t>
            </w:r>
          </w:p>
        </w:tc>
      </w:tr>
      <w:tr w:rsidR="00646EB5" w:rsidRPr="00C9151A" w:rsidTr="00646EB5">
        <w:trPr>
          <w:trHeight w:val="300"/>
        </w:trPr>
        <w:tc>
          <w:tcPr>
            <w:tcW w:w="5685" w:type="dxa"/>
            <w:shd w:val="clear" w:color="auto" w:fill="auto"/>
            <w:vAlign w:val="bottom"/>
          </w:tcPr>
          <w:p w:rsidR="00646EB5" w:rsidRPr="00C9151A"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нерезидентов</w:t>
            </w:r>
          </w:p>
        </w:tc>
        <w:tc>
          <w:tcPr>
            <w:tcW w:w="1701" w:type="dxa"/>
            <w:shd w:val="clear" w:color="auto" w:fill="auto"/>
            <w:noWrap/>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(45 409)</w:t>
            </w:r>
          </w:p>
        </w:tc>
        <w:tc>
          <w:tcPr>
            <w:tcW w:w="1985" w:type="dxa"/>
            <w:vAlign w:val="bottom"/>
          </w:tcPr>
          <w:p w:rsidR="00646EB5" w:rsidRPr="00C9151A"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(7 951)</w:t>
            </w:r>
          </w:p>
        </w:tc>
      </w:tr>
      <w:tr w:rsidR="00646EB5" w:rsidRPr="00C9151A" w:rsidTr="00646EB5">
        <w:trPr>
          <w:trHeight w:val="300"/>
        </w:trPr>
        <w:tc>
          <w:tcPr>
            <w:tcW w:w="5685" w:type="dxa"/>
            <w:tcBorders>
              <w:bottom w:val="single" w:sz="4" w:space="0" w:color="auto"/>
            </w:tcBorders>
            <w:shd w:val="clear" w:color="auto" w:fill="auto"/>
            <w:vAlign w:val="bottom"/>
            <w:hideMark/>
          </w:tcPr>
          <w:p w:rsidR="00646EB5" w:rsidRPr="00C9151A" w:rsidRDefault="00646EB5" w:rsidP="00646EB5">
            <w:pPr>
              <w:overflowPunct/>
              <w:autoSpaceDE/>
              <w:autoSpaceDN/>
              <w:adjustRightInd/>
              <w:textAlignment w:val="auto"/>
              <w:rPr>
                <w:rFonts w:ascii="Calibri" w:hAnsi="Calibri" w:cs="Times New Roman"/>
                <w:b/>
                <w:bCs/>
                <w:sz w:val="16"/>
                <w:szCs w:val="16"/>
                <w:lang w:eastAsia="ru-RU"/>
              </w:rPr>
            </w:pPr>
            <w:r w:rsidRPr="00C9151A">
              <w:rPr>
                <w:rFonts w:cs="Arial"/>
                <w:b/>
                <w:bCs/>
                <w:sz w:val="16"/>
                <w:szCs w:val="16"/>
                <w:lang w:val="ru-RU" w:eastAsia="ru-RU"/>
              </w:rPr>
              <w:t xml:space="preserve">Итого </w:t>
            </w:r>
            <w:r>
              <w:rPr>
                <w:rFonts w:cs="Arial"/>
                <w:b/>
                <w:bCs/>
                <w:sz w:val="16"/>
                <w:szCs w:val="16"/>
                <w:lang w:val="ru-RU" w:eastAsia="ru-RU"/>
              </w:rPr>
              <w:t>расходов от операций</w:t>
            </w:r>
          </w:p>
        </w:tc>
        <w:tc>
          <w:tcPr>
            <w:tcW w:w="1701" w:type="dxa"/>
            <w:tcBorders>
              <w:bottom w:val="single" w:sz="4" w:space="0" w:color="auto"/>
            </w:tcBorders>
            <w:shd w:val="clear" w:color="auto" w:fill="auto"/>
            <w:noWrap/>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(75 117)</w:t>
            </w:r>
          </w:p>
        </w:tc>
        <w:tc>
          <w:tcPr>
            <w:tcW w:w="1985" w:type="dxa"/>
            <w:tcBorders>
              <w:bottom w:val="single" w:sz="4" w:space="0" w:color="auto"/>
            </w:tcBorders>
            <w:vAlign w:val="bottom"/>
          </w:tcPr>
          <w:p w:rsidR="00646EB5" w:rsidRPr="00C9151A"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(21 090)</w:t>
            </w:r>
          </w:p>
        </w:tc>
      </w:tr>
      <w:tr w:rsidR="00646EB5" w:rsidRPr="006C0DB6" w:rsidTr="00646EB5">
        <w:trPr>
          <w:trHeight w:val="300"/>
        </w:trPr>
        <w:tc>
          <w:tcPr>
            <w:tcW w:w="5685" w:type="dxa"/>
            <w:tcBorders>
              <w:top w:val="single" w:sz="4" w:space="0" w:color="auto"/>
            </w:tcBorders>
            <w:shd w:val="clear" w:color="auto" w:fill="auto"/>
            <w:vAlign w:val="bottom"/>
            <w:hideMark/>
          </w:tcPr>
          <w:p w:rsidR="00646EB5" w:rsidRPr="00F4068F" w:rsidRDefault="00646EB5" w:rsidP="00646EB5">
            <w:pPr>
              <w:rPr>
                <w:rFonts w:ascii="Calibri" w:hAnsi="Calibri" w:cs="Times New Roman"/>
                <w:b/>
                <w:bCs/>
                <w:sz w:val="16"/>
                <w:szCs w:val="16"/>
                <w:lang w:val="ru-RU" w:eastAsia="ru-RU"/>
              </w:rPr>
            </w:pPr>
            <w:r>
              <w:rPr>
                <w:rFonts w:cs="Arial"/>
                <w:b/>
                <w:bCs/>
                <w:sz w:val="16"/>
                <w:szCs w:val="16"/>
                <w:lang w:val="ru-RU" w:eastAsia="ru-RU"/>
              </w:rPr>
              <w:t>Расходы от переоценки приобретенных долговых ценных бумаг, оцениваемых по справедливой стоимости через прибыль или убыток</w:t>
            </w:r>
          </w:p>
        </w:tc>
        <w:tc>
          <w:tcPr>
            <w:tcW w:w="1701" w:type="dxa"/>
            <w:tcBorders>
              <w:top w:val="single" w:sz="4" w:space="0" w:color="auto"/>
            </w:tcBorders>
            <w:shd w:val="clear" w:color="auto" w:fill="auto"/>
            <w:noWrap/>
            <w:vAlign w:val="bottom"/>
            <w:hideMark/>
          </w:tcPr>
          <w:p w:rsidR="00646EB5" w:rsidRPr="00F4068F" w:rsidRDefault="00646EB5" w:rsidP="00646EB5">
            <w:pPr>
              <w:jc w:val="center"/>
              <w:rPr>
                <w:rFonts w:ascii="Calibri" w:hAnsi="Calibri" w:cs="Times New Roman"/>
                <w:b/>
                <w:bCs/>
                <w:sz w:val="16"/>
                <w:szCs w:val="16"/>
                <w:lang w:val="ru-RU" w:eastAsia="ru-RU"/>
              </w:rPr>
            </w:pPr>
          </w:p>
        </w:tc>
        <w:tc>
          <w:tcPr>
            <w:tcW w:w="1985" w:type="dxa"/>
            <w:tcBorders>
              <w:top w:val="single" w:sz="4" w:space="0" w:color="auto"/>
            </w:tcBorders>
            <w:vAlign w:val="bottom"/>
          </w:tcPr>
          <w:p w:rsidR="00646EB5" w:rsidRPr="00F4068F" w:rsidRDefault="00646EB5" w:rsidP="00646EB5">
            <w:pPr>
              <w:jc w:val="center"/>
              <w:rPr>
                <w:rFonts w:ascii="Calibri" w:hAnsi="Calibri" w:cs="Times New Roman"/>
                <w:b/>
                <w:bCs/>
                <w:sz w:val="16"/>
                <w:szCs w:val="16"/>
                <w:lang w:val="ru-RU" w:eastAsia="ru-RU"/>
              </w:rPr>
            </w:pPr>
          </w:p>
        </w:tc>
      </w:tr>
      <w:tr w:rsidR="00646EB5" w:rsidRPr="004C21B7"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Российской Федерации</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(908)</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646EB5" w:rsidRPr="004C21B7" w:rsidTr="00646EB5">
        <w:trPr>
          <w:trHeight w:val="300"/>
        </w:trPr>
        <w:tc>
          <w:tcPr>
            <w:tcW w:w="5685" w:type="dxa"/>
            <w:shd w:val="clear" w:color="auto" w:fill="auto"/>
            <w:vAlign w:val="bottom"/>
          </w:tcPr>
          <w:p w:rsidR="00646EB5" w:rsidRDefault="00646EB5" w:rsidP="00646EB5">
            <w:pPr>
              <w:overflowPunct/>
              <w:autoSpaceDE/>
              <w:autoSpaceDN/>
              <w:adjustRightInd/>
              <w:textAlignment w:val="auto"/>
              <w:rPr>
                <w:rFonts w:cs="Arial"/>
                <w:sz w:val="16"/>
                <w:szCs w:val="16"/>
                <w:lang w:val="ru-RU" w:eastAsia="ru-RU"/>
              </w:rPr>
            </w:pPr>
            <w:r w:rsidRPr="003928DD">
              <w:rPr>
                <w:rFonts w:cs="Arial"/>
                <w:sz w:val="16"/>
                <w:szCs w:val="16"/>
                <w:lang w:val="ru-RU" w:eastAsia="ru-RU"/>
              </w:rPr>
              <w:t>субъектов РФ и органов местного самоуправления</w:t>
            </w:r>
          </w:p>
        </w:tc>
        <w:tc>
          <w:tcPr>
            <w:tcW w:w="1701" w:type="dxa"/>
            <w:shd w:val="clear" w:color="auto" w:fill="auto"/>
            <w:noWrap/>
            <w:vAlign w:val="bottom"/>
          </w:tcPr>
          <w:p w:rsidR="00646EB5"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(1 820)</w:t>
            </w:r>
          </w:p>
        </w:tc>
        <w:tc>
          <w:tcPr>
            <w:tcW w:w="1985" w:type="dxa"/>
            <w:vAlign w:val="bottom"/>
          </w:tcPr>
          <w:p w:rsidR="00646EB5"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646EB5" w:rsidRPr="004C21B7"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Банка России</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(757)</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w:t>
            </w:r>
          </w:p>
        </w:tc>
      </w:tr>
      <w:tr w:rsidR="00646EB5" w:rsidRPr="00817FA6" w:rsidTr="00646EB5">
        <w:trPr>
          <w:trHeight w:val="300"/>
        </w:trPr>
        <w:tc>
          <w:tcPr>
            <w:tcW w:w="5685" w:type="dxa"/>
            <w:shd w:val="clear" w:color="auto" w:fill="auto"/>
            <w:vAlign w:val="bottom"/>
          </w:tcPr>
          <w:p w:rsidR="00646EB5" w:rsidRPr="00817FA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кредитных организаций</w:t>
            </w:r>
          </w:p>
        </w:tc>
        <w:tc>
          <w:tcPr>
            <w:tcW w:w="1701" w:type="dxa"/>
            <w:shd w:val="clear" w:color="auto" w:fill="auto"/>
            <w:noWrap/>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(7 114)</w:t>
            </w:r>
          </w:p>
        </w:tc>
        <w:tc>
          <w:tcPr>
            <w:tcW w:w="1985" w:type="dxa"/>
            <w:vAlign w:val="bottom"/>
          </w:tcPr>
          <w:p w:rsidR="00646EB5" w:rsidRPr="00817FA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(2 541)</w:t>
            </w:r>
          </w:p>
        </w:tc>
      </w:tr>
      <w:tr w:rsidR="00646EB5" w:rsidRPr="004C21B7" w:rsidTr="00646EB5">
        <w:trPr>
          <w:trHeight w:val="300"/>
        </w:trPr>
        <w:tc>
          <w:tcPr>
            <w:tcW w:w="5685" w:type="dxa"/>
            <w:shd w:val="clear" w:color="auto" w:fill="auto"/>
            <w:vAlign w:val="bottom"/>
            <w:hideMark/>
          </w:tcPr>
          <w:p w:rsidR="00646EB5" w:rsidRPr="004C21B7"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прочих резидентов</w:t>
            </w:r>
          </w:p>
        </w:tc>
        <w:tc>
          <w:tcPr>
            <w:tcW w:w="1701" w:type="dxa"/>
            <w:shd w:val="clear" w:color="auto" w:fill="auto"/>
            <w:noWrap/>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(121 020)</w:t>
            </w:r>
          </w:p>
        </w:tc>
        <w:tc>
          <w:tcPr>
            <w:tcW w:w="1985" w:type="dxa"/>
            <w:vAlign w:val="bottom"/>
          </w:tcPr>
          <w:p w:rsidR="00646EB5" w:rsidRPr="004C21B7"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(13 151)</w:t>
            </w:r>
          </w:p>
        </w:tc>
      </w:tr>
      <w:tr w:rsidR="00646EB5" w:rsidRPr="006665B2" w:rsidTr="00646EB5">
        <w:trPr>
          <w:trHeight w:val="300"/>
        </w:trPr>
        <w:tc>
          <w:tcPr>
            <w:tcW w:w="5685" w:type="dxa"/>
            <w:tcBorders>
              <w:bottom w:val="single" w:sz="4" w:space="0" w:color="auto"/>
            </w:tcBorders>
            <w:shd w:val="clear" w:color="auto" w:fill="auto"/>
            <w:vAlign w:val="bottom"/>
          </w:tcPr>
          <w:p w:rsidR="00646EB5" w:rsidRPr="00F4068F" w:rsidRDefault="00646EB5" w:rsidP="00646EB5">
            <w:pPr>
              <w:rPr>
                <w:rFonts w:cs="Arial"/>
                <w:bCs/>
                <w:sz w:val="16"/>
                <w:szCs w:val="16"/>
                <w:lang w:val="ru-RU" w:eastAsia="ru-RU"/>
              </w:rPr>
            </w:pPr>
            <w:r w:rsidRPr="00F4068F">
              <w:rPr>
                <w:rFonts w:cs="Arial"/>
                <w:bCs/>
                <w:sz w:val="16"/>
                <w:szCs w:val="16"/>
                <w:lang w:val="ru-RU" w:eastAsia="ru-RU"/>
              </w:rPr>
              <w:t>прочих нерезидентов</w:t>
            </w:r>
          </w:p>
        </w:tc>
        <w:tc>
          <w:tcPr>
            <w:tcW w:w="1701" w:type="dxa"/>
            <w:tcBorders>
              <w:bottom w:val="single" w:sz="4" w:space="0" w:color="auto"/>
            </w:tcBorders>
            <w:shd w:val="clear" w:color="auto" w:fill="auto"/>
            <w:noWrap/>
            <w:vAlign w:val="bottom"/>
          </w:tcPr>
          <w:p w:rsidR="00646EB5" w:rsidRPr="00F4068F" w:rsidRDefault="00646EB5" w:rsidP="00646EB5">
            <w:pPr>
              <w:jc w:val="center"/>
              <w:rPr>
                <w:rFonts w:cs="Arial"/>
                <w:bCs/>
                <w:sz w:val="16"/>
                <w:szCs w:val="16"/>
                <w:lang w:val="ru-RU" w:eastAsia="ru-RU"/>
              </w:rPr>
            </w:pPr>
            <w:r>
              <w:rPr>
                <w:rFonts w:cs="Arial"/>
                <w:bCs/>
                <w:sz w:val="16"/>
                <w:szCs w:val="16"/>
                <w:lang w:val="ru-RU" w:eastAsia="ru-RU"/>
              </w:rPr>
              <w:t>(2 970)</w:t>
            </w:r>
          </w:p>
        </w:tc>
        <w:tc>
          <w:tcPr>
            <w:tcW w:w="1985" w:type="dxa"/>
            <w:tcBorders>
              <w:bottom w:val="single" w:sz="4" w:space="0" w:color="auto"/>
            </w:tcBorders>
            <w:vAlign w:val="bottom"/>
          </w:tcPr>
          <w:p w:rsidR="00646EB5" w:rsidRPr="006665B2" w:rsidRDefault="00646EB5" w:rsidP="00646EB5">
            <w:pPr>
              <w:jc w:val="center"/>
              <w:rPr>
                <w:rFonts w:cs="Arial"/>
                <w:bCs/>
                <w:sz w:val="16"/>
                <w:szCs w:val="16"/>
                <w:lang w:val="ru-RU" w:eastAsia="ru-RU"/>
              </w:rPr>
            </w:pPr>
            <w:r>
              <w:rPr>
                <w:rFonts w:cs="Arial"/>
                <w:bCs/>
                <w:sz w:val="16"/>
                <w:szCs w:val="16"/>
                <w:lang w:val="ru-RU" w:eastAsia="ru-RU"/>
              </w:rPr>
              <w:t>(2 378)</w:t>
            </w:r>
          </w:p>
        </w:tc>
      </w:tr>
      <w:tr w:rsidR="00646EB5" w:rsidRPr="004C21B7" w:rsidTr="00646EB5">
        <w:trPr>
          <w:trHeight w:val="300"/>
        </w:trPr>
        <w:tc>
          <w:tcPr>
            <w:tcW w:w="5685" w:type="dxa"/>
            <w:tcBorders>
              <w:bottom w:val="single" w:sz="4" w:space="0" w:color="auto"/>
            </w:tcBorders>
            <w:shd w:val="clear" w:color="auto" w:fill="auto"/>
            <w:vAlign w:val="bottom"/>
            <w:hideMark/>
          </w:tcPr>
          <w:p w:rsidR="00646EB5" w:rsidRPr="004C21B7" w:rsidRDefault="00646EB5" w:rsidP="00646EB5">
            <w:pPr>
              <w:rPr>
                <w:rFonts w:cs="Arial"/>
                <w:b/>
                <w:bCs/>
                <w:sz w:val="16"/>
                <w:szCs w:val="16"/>
                <w:lang w:val="ru-RU" w:eastAsia="ru-RU"/>
              </w:rPr>
            </w:pPr>
            <w:r w:rsidRPr="004C21B7">
              <w:rPr>
                <w:rFonts w:cs="Arial"/>
                <w:b/>
                <w:bCs/>
                <w:sz w:val="16"/>
                <w:szCs w:val="16"/>
                <w:lang w:val="ru-RU" w:eastAsia="ru-RU"/>
              </w:rPr>
              <w:t xml:space="preserve">Итого </w:t>
            </w:r>
            <w:r>
              <w:rPr>
                <w:rFonts w:cs="Arial"/>
                <w:b/>
                <w:bCs/>
                <w:sz w:val="16"/>
                <w:szCs w:val="16"/>
                <w:lang w:val="ru-RU" w:eastAsia="ru-RU"/>
              </w:rPr>
              <w:t>расходов от переоценки</w:t>
            </w:r>
          </w:p>
        </w:tc>
        <w:tc>
          <w:tcPr>
            <w:tcW w:w="1701" w:type="dxa"/>
            <w:tcBorders>
              <w:bottom w:val="single" w:sz="4" w:space="0" w:color="auto"/>
            </w:tcBorders>
            <w:shd w:val="clear" w:color="auto" w:fill="auto"/>
            <w:noWrap/>
            <w:vAlign w:val="bottom"/>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(134 589)</w:t>
            </w:r>
          </w:p>
        </w:tc>
        <w:tc>
          <w:tcPr>
            <w:tcW w:w="1985" w:type="dxa"/>
            <w:tcBorders>
              <w:bottom w:val="single" w:sz="4" w:space="0" w:color="auto"/>
            </w:tcBorders>
            <w:vAlign w:val="bottom"/>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(18 070)</w:t>
            </w:r>
          </w:p>
        </w:tc>
      </w:tr>
      <w:tr w:rsidR="00646EB5" w:rsidRPr="00C01530" w:rsidTr="00646EB5">
        <w:trPr>
          <w:trHeight w:val="300"/>
        </w:trPr>
        <w:tc>
          <w:tcPr>
            <w:tcW w:w="5685" w:type="dxa"/>
            <w:tcBorders>
              <w:top w:val="single" w:sz="4" w:space="0" w:color="auto"/>
              <w:bottom w:val="single" w:sz="4" w:space="0" w:color="auto"/>
            </w:tcBorders>
            <w:shd w:val="clear" w:color="auto" w:fill="auto"/>
            <w:vAlign w:val="center"/>
          </w:tcPr>
          <w:p w:rsidR="00646EB5" w:rsidRPr="004C21B7" w:rsidRDefault="00646EB5" w:rsidP="00646EB5">
            <w:pPr>
              <w:rPr>
                <w:rFonts w:cs="Arial"/>
                <w:b/>
                <w:bCs/>
                <w:sz w:val="16"/>
                <w:szCs w:val="16"/>
                <w:lang w:val="ru-RU" w:eastAsia="ru-RU"/>
              </w:rPr>
            </w:pPr>
            <w:r>
              <w:rPr>
                <w:rFonts w:cs="Arial"/>
                <w:b/>
                <w:bCs/>
                <w:sz w:val="16"/>
                <w:szCs w:val="16"/>
                <w:lang w:val="ru-RU" w:eastAsia="ru-RU"/>
              </w:rPr>
              <w:t>Расходы по операциям с приобретенными долевыми ценными бумагами</w:t>
            </w:r>
          </w:p>
        </w:tc>
        <w:tc>
          <w:tcPr>
            <w:tcW w:w="1701" w:type="dxa"/>
            <w:tcBorders>
              <w:top w:val="single" w:sz="4" w:space="0" w:color="auto"/>
              <w:bottom w:val="single" w:sz="4" w:space="0" w:color="auto"/>
            </w:tcBorders>
            <w:shd w:val="clear" w:color="auto" w:fill="auto"/>
            <w:noWrap/>
            <w:vAlign w:val="center"/>
          </w:tcPr>
          <w:p w:rsidR="00646EB5" w:rsidRDefault="00646EB5" w:rsidP="00646EB5">
            <w:pPr>
              <w:jc w:val="center"/>
              <w:rPr>
                <w:rFonts w:cs="Arial"/>
                <w:b/>
                <w:bCs/>
                <w:sz w:val="16"/>
                <w:szCs w:val="16"/>
                <w:lang w:val="ru-RU" w:eastAsia="ru-RU"/>
              </w:rPr>
            </w:pPr>
            <w:r>
              <w:rPr>
                <w:rFonts w:cs="Arial"/>
                <w:b/>
                <w:bCs/>
                <w:sz w:val="16"/>
                <w:szCs w:val="16"/>
                <w:lang w:val="ru-RU" w:eastAsia="ru-RU"/>
              </w:rPr>
              <w:t>-</w:t>
            </w:r>
          </w:p>
        </w:tc>
        <w:tc>
          <w:tcPr>
            <w:tcW w:w="1985" w:type="dxa"/>
            <w:tcBorders>
              <w:top w:val="single" w:sz="4" w:space="0" w:color="auto"/>
              <w:bottom w:val="single" w:sz="4" w:space="0" w:color="auto"/>
            </w:tcBorders>
            <w:vAlign w:val="center"/>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(5)</w:t>
            </w:r>
          </w:p>
        </w:tc>
      </w:tr>
      <w:tr w:rsidR="00646EB5" w:rsidRPr="00C01530" w:rsidTr="00646EB5">
        <w:trPr>
          <w:trHeight w:val="300"/>
        </w:trPr>
        <w:tc>
          <w:tcPr>
            <w:tcW w:w="5685" w:type="dxa"/>
            <w:tcBorders>
              <w:top w:val="single" w:sz="4" w:space="0" w:color="auto"/>
              <w:bottom w:val="double" w:sz="4" w:space="0" w:color="auto"/>
            </w:tcBorders>
            <w:shd w:val="clear" w:color="auto" w:fill="auto"/>
            <w:vAlign w:val="center"/>
            <w:hideMark/>
          </w:tcPr>
          <w:p w:rsidR="00646EB5" w:rsidRPr="004C21B7" w:rsidRDefault="00646EB5" w:rsidP="00646EB5">
            <w:pPr>
              <w:rPr>
                <w:rFonts w:cs="Arial"/>
                <w:b/>
                <w:bCs/>
                <w:sz w:val="16"/>
                <w:szCs w:val="16"/>
                <w:lang w:val="ru-RU" w:eastAsia="ru-RU"/>
              </w:rPr>
            </w:pPr>
            <w:r w:rsidRPr="004C21B7">
              <w:rPr>
                <w:rFonts w:cs="Arial"/>
                <w:b/>
                <w:bCs/>
                <w:sz w:val="16"/>
                <w:szCs w:val="16"/>
                <w:lang w:val="ru-RU" w:eastAsia="ru-RU"/>
              </w:rPr>
              <w:t>Чистые доходы (расходы)</w:t>
            </w:r>
            <w:r>
              <w:rPr>
                <w:rFonts w:cs="Arial"/>
                <w:b/>
                <w:bCs/>
                <w:sz w:val="16"/>
                <w:szCs w:val="16"/>
                <w:lang w:val="ru-RU" w:eastAsia="ru-RU"/>
              </w:rPr>
              <w:t xml:space="preserve"> от операций с финансовыми активами, оцениваемыми по справедливой стоимости через прибыль или убыток</w:t>
            </w:r>
          </w:p>
        </w:tc>
        <w:tc>
          <w:tcPr>
            <w:tcW w:w="1701" w:type="dxa"/>
            <w:tcBorders>
              <w:top w:val="single" w:sz="4" w:space="0" w:color="auto"/>
              <w:bottom w:val="double" w:sz="4" w:space="0" w:color="auto"/>
            </w:tcBorders>
            <w:shd w:val="clear" w:color="auto" w:fill="auto"/>
            <w:noWrap/>
            <w:vAlign w:val="center"/>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(159 714)</w:t>
            </w:r>
          </w:p>
        </w:tc>
        <w:tc>
          <w:tcPr>
            <w:tcW w:w="1985" w:type="dxa"/>
            <w:tcBorders>
              <w:top w:val="single" w:sz="4" w:space="0" w:color="auto"/>
              <w:bottom w:val="double" w:sz="4" w:space="0" w:color="auto"/>
            </w:tcBorders>
            <w:vAlign w:val="center"/>
          </w:tcPr>
          <w:p w:rsidR="00646EB5" w:rsidRPr="004C21B7" w:rsidRDefault="00646EB5" w:rsidP="00646EB5">
            <w:pPr>
              <w:jc w:val="center"/>
              <w:rPr>
                <w:rFonts w:cs="Arial"/>
                <w:b/>
                <w:bCs/>
                <w:sz w:val="16"/>
                <w:szCs w:val="16"/>
                <w:lang w:val="ru-RU" w:eastAsia="ru-RU"/>
              </w:rPr>
            </w:pPr>
            <w:r>
              <w:rPr>
                <w:rFonts w:cs="Arial"/>
                <w:b/>
                <w:bCs/>
                <w:sz w:val="16"/>
                <w:szCs w:val="16"/>
                <w:lang w:val="ru-RU" w:eastAsia="ru-RU"/>
              </w:rPr>
              <w:t>67 597</w:t>
            </w:r>
          </w:p>
        </w:tc>
      </w:tr>
    </w:tbl>
    <w:p w:rsidR="00646EB5" w:rsidRDefault="00646EB5" w:rsidP="00646EB5">
      <w:pPr>
        <w:jc w:val="both"/>
        <w:rPr>
          <w:rFonts w:cs="Arial"/>
          <w:b/>
          <w:sz w:val="20"/>
          <w:szCs w:val="20"/>
          <w:lang w:val="ru-RU"/>
        </w:rPr>
      </w:pPr>
    </w:p>
    <w:p w:rsidR="00646EB5" w:rsidRPr="00F21826" w:rsidRDefault="00646EB5" w:rsidP="00646EB5">
      <w:pPr>
        <w:jc w:val="both"/>
        <w:rPr>
          <w:rFonts w:cs="Arial"/>
          <w:b/>
          <w:sz w:val="20"/>
          <w:szCs w:val="20"/>
          <w:lang w:val="ru-RU"/>
        </w:rPr>
      </w:pPr>
      <w:r w:rsidRPr="00F21826">
        <w:rPr>
          <w:rFonts w:cs="Arial"/>
          <w:b/>
          <w:sz w:val="20"/>
          <w:szCs w:val="20"/>
          <w:lang w:val="ru-RU"/>
        </w:rPr>
        <w:t>Чистые доходы от операций с иностранной валютой и от переоценки иностранной валюты</w:t>
      </w:r>
    </w:p>
    <w:p w:rsidR="00646EB5" w:rsidRPr="00F21826" w:rsidRDefault="00646EB5" w:rsidP="00646EB5">
      <w:pPr>
        <w:jc w:val="both"/>
        <w:rPr>
          <w:rFonts w:cs="Arial"/>
          <w:b/>
          <w:sz w:val="20"/>
          <w:szCs w:val="20"/>
          <w:lang w:val="ru-RU"/>
        </w:rPr>
      </w:pPr>
    </w:p>
    <w:tbl>
      <w:tblPr>
        <w:tblW w:w="9371" w:type="dxa"/>
        <w:tblInd w:w="93" w:type="dxa"/>
        <w:tblLook w:val="04A0" w:firstRow="1" w:lastRow="0" w:firstColumn="1" w:lastColumn="0" w:noHBand="0" w:noVBand="1"/>
      </w:tblPr>
      <w:tblGrid>
        <w:gridCol w:w="5685"/>
        <w:gridCol w:w="1701"/>
        <w:gridCol w:w="1985"/>
      </w:tblGrid>
      <w:tr w:rsidR="00646EB5" w:rsidRPr="00F21826" w:rsidTr="003D5AC4">
        <w:trPr>
          <w:trHeight w:val="300"/>
          <w:tblHeader/>
        </w:trPr>
        <w:tc>
          <w:tcPr>
            <w:tcW w:w="5685" w:type="dxa"/>
            <w:tcBorders>
              <w:top w:val="single" w:sz="4" w:space="0" w:color="auto"/>
              <w:bottom w:val="single" w:sz="4" w:space="0" w:color="auto"/>
            </w:tcBorders>
            <w:shd w:val="clear" w:color="auto" w:fill="auto"/>
            <w:vAlign w:val="center"/>
            <w:hideMark/>
          </w:tcPr>
          <w:p w:rsidR="00646EB5" w:rsidRPr="00F21826" w:rsidRDefault="00646EB5" w:rsidP="00646EB5">
            <w:pPr>
              <w:overflowPunct/>
              <w:autoSpaceDE/>
              <w:autoSpaceDN/>
              <w:adjustRightInd/>
              <w:jc w:val="center"/>
              <w:textAlignment w:val="auto"/>
              <w:rPr>
                <w:rFonts w:cs="Arial"/>
                <w:b/>
                <w:bCs/>
                <w:sz w:val="16"/>
                <w:szCs w:val="16"/>
                <w:lang w:val="ru-RU" w:eastAsia="ru-RU"/>
              </w:rPr>
            </w:pPr>
          </w:p>
        </w:tc>
        <w:tc>
          <w:tcPr>
            <w:tcW w:w="1701" w:type="dxa"/>
            <w:tcBorders>
              <w:top w:val="single" w:sz="4" w:space="0" w:color="auto"/>
              <w:bottom w:val="single" w:sz="4" w:space="0" w:color="auto"/>
            </w:tcBorders>
            <w:shd w:val="clear" w:color="auto" w:fill="auto"/>
            <w:noWrap/>
            <w:vAlign w:val="center"/>
            <w:hideMark/>
          </w:tcPr>
          <w:p w:rsidR="00646EB5" w:rsidRPr="00F21826" w:rsidRDefault="00646EB5" w:rsidP="00646EB5">
            <w:pPr>
              <w:overflowPunct/>
              <w:autoSpaceDE/>
              <w:autoSpaceDN/>
              <w:adjustRightInd/>
              <w:jc w:val="center"/>
              <w:textAlignment w:val="auto"/>
              <w:rPr>
                <w:rFonts w:cs="Arial"/>
                <w:b/>
                <w:bCs/>
                <w:sz w:val="16"/>
                <w:szCs w:val="16"/>
                <w:lang w:val="ru-RU" w:eastAsia="ru-RU"/>
              </w:rPr>
            </w:pPr>
            <w:r w:rsidRPr="00F21826">
              <w:rPr>
                <w:rFonts w:cs="Arial"/>
                <w:b/>
                <w:bCs/>
                <w:sz w:val="16"/>
                <w:szCs w:val="16"/>
                <w:lang w:val="ru-RU" w:eastAsia="ru-RU"/>
              </w:rPr>
              <w:t>201</w:t>
            </w:r>
            <w:r>
              <w:rPr>
                <w:rFonts w:cs="Arial"/>
                <w:b/>
                <w:bCs/>
                <w:sz w:val="16"/>
                <w:szCs w:val="16"/>
                <w:lang w:val="ru-RU" w:eastAsia="ru-RU"/>
              </w:rPr>
              <w:t>8</w:t>
            </w:r>
            <w:r w:rsidRPr="00F21826">
              <w:rPr>
                <w:rFonts w:cs="Arial"/>
                <w:b/>
                <w:bCs/>
                <w:sz w:val="16"/>
                <w:szCs w:val="16"/>
                <w:lang w:val="ru-RU" w:eastAsia="ru-RU"/>
              </w:rPr>
              <w:t xml:space="preserve"> год</w:t>
            </w:r>
          </w:p>
        </w:tc>
        <w:tc>
          <w:tcPr>
            <w:tcW w:w="1985" w:type="dxa"/>
            <w:tcBorders>
              <w:top w:val="single" w:sz="4" w:space="0" w:color="auto"/>
              <w:bottom w:val="single" w:sz="4" w:space="0" w:color="auto"/>
            </w:tcBorders>
            <w:shd w:val="clear" w:color="auto" w:fill="auto"/>
            <w:noWrap/>
            <w:vAlign w:val="center"/>
            <w:hideMark/>
          </w:tcPr>
          <w:p w:rsidR="00646EB5" w:rsidRPr="00F21826" w:rsidRDefault="00646EB5" w:rsidP="00646EB5">
            <w:pPr>
              <w:overflowPunct/>
              <w:autoSpaceDE/>
              <w:autoSpaceDN/>
              <w:adjustRightInd/>
              <w:jc w:val="center"/>
              <w:textAlignment w:val="auto"/>
              <w:rPr>
                <w:rFonts w:cs="Arial"/>
                <w:b/>
                <w:bCs/>
                <w:sz w:val="16"/>
                <w:szCs w:val="16"/>
                <w:lang w:val="ru-RU" w:eastAsia="ru-RU"/>
              </w:rPr>
            </w:pPr>
            <w:r w:rsidRPr="00F21826">
              <w:rPr>
                <w:rFonts w:cs="Arial"/>
                <w:b/>
                <w:bCs/>
                <w:sz w:val="16"/>
                <w:szCs w:val="16"/>
                <w:lang w:val="ru-RU" w:eastAsia="ru-RU"/>
              </w:rPr>
              <w:t>201</w:t>
            </w:r>
            <w:r>
              <w:rPr>
                <w:rFonts w:cs="Arial"/>
                <w:b/>
                <w:bCs/>
                <w:sz w:val="16"/>
                <w:szCs w:val="16"/>
                <w:lang w:val="ru-RU" w:eastAsia="ru-RU"/>
              </w:rPr>
              <w:t>7</w:t>
            </w:r>
            <w:r w:rsidRPr="00F21826">
              <w:rPr>
                <w:rFonts w:cs="Arial"/>
                <w:b/>
                <w:bCs/>
                <w:sz w:val="16"/>
                <w:szCs w:val="16"/>
                <w:lang w:val="ru-RU" w:eastAsia="ru-RU"/>
              </w:rPr>
              <w:t xml:space="preserve"> год</w:t>
            </w:r>
          </w:p>
        </w:tc>
      </w:tr>
      <w:tr w:rsidR="00646EB5" w:rsidRPr="006C0DB6" w:rsidTr="00646EB5">
        <w:trPr>
          <w:trHeight w:val="300"/>
        </w:trPr>
        <w:tc>
          <w:tcPr>
            <w:tcW w:w="5685" w:type="dxa"/>
            <w:shd w:val="clear" w:color="auto" w:fill="auto"/>
            <w:vAlign w:val="bottom"/>
          </w:tcPr>
          <w:p w:rsidR="00646EB5" w:rsidRPr="00CE1993" w:rsidRDefault="00646EB5" w:rsidP="00646EB5">
            <w:pPr>
              <w:overflowPunct/>
              <w:autoSpaceDE/>
              <w:autoSpaceDN/>
              <w:adjustRightInd/>
              <w:textAlignment w:val="auto"/>
              <w:rPr>
                <w:rFonts w:cs="Arial"/>
                <w:b/>
                <w:sz w:val="16"/>
                <w:szCs w:val="16"/>
                <w:lang w:val="ru-RU" w:eastAsia="ru-RU"/>
              </w:rPr>
            </w:pPr>
            <w:r w:rsidRPr="00CE1993">
              <w:rPr>
                <w:rFonts w:cs="Arial"/>
                <w:b/>
                <w:sz w:val="16"/>
                <w:szCs w:val="16"/>
                <w:lang w:val="ru-RU" w:eastAsia="ru-RU"/>
              </w:rPr>
              <w:t>Доходы от операций с иностранной валютой и их переоценки</w:t>
            </w:r>
          </w:p>
        </w:tc>
        <w:tc>
          <w:tcPr>
            <w:tcW w:w="1701" w:type="dxa"/>
            <w:shd w:val="clear" w:color="auto" w:fill="auto"/>
            <w:noWrap/>
            <w:vAlign w:val="bottom"/>
          </w:tcPr>
          <w:p w:rsidR="00646EB5" w:rsidRDefault="00646EB5" w:rsidP="00646EB5">
            <w:pPr>
              <w:overflowPunct/>
              <w:autoSpaceDE/>
              <w:autoSpaceDN/>
              <w:adjustRightInd/>
              <w:jc w:val="center"/>
              <w:textAlignment w:val="auto"/>
              <w:rPr>
                <w:rFonts w:cs="Arial"/>
                <w:sz w:val="16"/>
                <w:szCs w:val="16"/>
                <w:lang w:val="ru-RU" w:eastAsia="ru-RU"/>
              </w:rPr>
            </w:pPr>
          </w:p>
        </w:tc>
        <w:tc>
          <w:tcPr>
            <w:tcW w:w="1985"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p>
        </w:tc>
      </w:tr>
      <w:tr w:rsidR="00646EB5" w:rsidRPr="00995F50" w:rsidTr="00646EB5">
        <w:trPr>
          <w:trHeight w:val="300"/>
        </w:trPr>
        <w:tc>
          <w:tcPr>
            <w:tcW w:w="5685" w:type="dxa"/>
            <w:shd w:val="clear" w:color="auto" w:fill="auto"/>
            <w:vAlign w:val="bottom"/>
          </w:tcPr>
          <w:p w:rsidR="00646EB5" w:rsidRPr="00F2182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lastRenderedPageBreak/>
              <w:t>от операций купли-продажи иностранной валюты в наличной форме</w:t>
            </w:r>
          </w:p>
        </w:tc>
        <w:tc>
          <w:tcPr>
            <w:tcW w:w="1701"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16 140</w:t>
            </w:r>
          </w:p>
        </w:tc>
        <w:tc>
          <w:tcPr>
            <w:tcW w:w="1985"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10 876</w:t>
            </w:r>
          </w:p>
        </w:tc>
      </w:tr>
      <w:tr w:rsidR="00646EB5" w:rsidRPr="00995F50" w:rsidTr="00646EB5">
        <w:trPr>
          <w:trHeight w:val="300"/>
        </w:trPr>
        <w:tc>
          <w:tcPr>
            <w:tcW w:w="5685" w:type="dxa"/>
            <w:shd w:val="clear" w:color="auto" w:fill="auto"/>
            <w:vAlign w:val="bottom"/>
          </w:tcPr>
          <w:p w:rsidR="00646EB5" w:rsidRPr="00F2182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от операций купли-продажи иностранной валюты в безналичной форме</w:t>
            </w:r>
          </w:p>
        </w:tc>
        <w:tc>
          <w:tcPr>
            <w:tcW w:w="1701"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1 000 499</w:t>
            </w:r>
          </w:p>
        </w:tc>
        <w:tc>
          <w:tcPr>
            <w:tcW w:w="1985"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1 848 851</w:t>
            </w:r>
          </w:p>
        </w:tc>
      </w:tr>
      <w:tr w:rsidR="00646EB5" w:rsidRPr="00995F50" w:rsidTr="00646EB5">
        <w:trPr>
          <w:trHeight w:val="300"/>
        </w:trPr>
        <w:tc>
          <w:tcPr>
            <w:tcW w:w="5685" w:type="dxa"/>
            <w:shd w:val="clear" w:color="auto" w:fill="auto"/>
            <w:vAlign w:val="bottom"/>
          </w:tcPr>
          <w:p w:rsidR="00646EB5"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от переоценки средств в иностранной валюте</w:t>
            </w:r>
          </w:p>
        </w:tc>
        <w:tc>
          <w:tcPr>
            <w:tcW w:w="1701" w:type="dxa"/>
            <w:shd w:val="clear" w:color="auto" w:fill="auto"/>
            <w:noWrap/>
            <w:vAlign w:val="bottom"/>
          </w:tcPr>
          <w:p w:rsidR="00646EB5"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6 425 538</w:t>
            </w:r>
          </w:p>
        </w:tc>
        <w:tc>
          <w:tcPr>
            <w:tcW w:w="1985" w:type="dxa"/>
            <w:shd w:val="clear" w:color="auto" w:fill="auto"/>
            <w:noWrap/>
            <w:vAlign w:val="bottom"/>
          </w:tcPr>
          <w:p w:rsidR="00646EB5" w:rsidRPr="00F21826"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6 293 649</w:t>
            </w:r>
          </w:p>
        </w:tc>
      </w:tr>
      <w:tr w:rsidR="00646EB5" w:rsidRPr="006C0DB6" w:rsidTr="00646EB5">
        <w:trPr>
          <w:trHeight w:val="300"/>
        </w:trPr>
        <w:tc>
          <w:tcPr>
            <w:tcW w:w="5685" w:type="dxa"/>
            <w:shd w:val="clear" w:color="auto" w:fill="auto"/>
            <w:vAlign w:val="bottom"/>
          </w:tcPr>
          <w:p w:rsidR="00646EB5" w:rsidRDefault="00646EB5" w:rsidP="00646EB5">
            <w:pPr>
              <w:overflowPunct/>
              <w:autoSpaceDE/>
              <w:autoSpaceDN/>
              <w:adjustRightInd/>
              <w:textAlignment w:val="auto"/>
              <w:rPr>
                <w:rFonts w:cs="Arial"/>
                <w:sz w:val="16"/>
                <w:szCs w:val="16"/>
                <w:lang w:val="ru-RU" w:eastAsia="ru-RU"/>
              </w:rPr>
            </w:pPr>
            <w:r>
              <w:rPr>
                <w:rFonts w:cs="Arial"/>
                <w:b/>
                <w:sz w:val="16"/>
                <w:szCs w:val="16"/>
                <w:lang w:val="ru-RU" w:eastAsia="ru-RU"/>
              </w:rPr>
              <w:t>Расходы</w:t>
            </w:r>
            <w:r w:rsidRPr="00CE1993">
              <w:rPr>
                <w:rFonts w:cs="Arial"/>
                <w:b/>
                <w:sz w:val="16"/>
                <w:szCs w:val="16"/>
                <w:lang w:val="ru-RU" w:eastAsia="ru-RU"/>
              </w:rPr>
              <w:t xml:space="preserve"> от операций с иностранной валютой и их переоценки</w:t>
            </w:r>
          </w:p>
        </w:tc>
        <w:tc>
          <w:tcPr>
            <w:tcW w:w="1701" w:type="dxa"/>
            <w:shd w:val="clear" w:color="auto" w:fill="auto"/>
            <w:noWrap/>
            <w:vAlign w:val="bottom"/>
          </w:tcPr>
          <w:p w:rsidR="00646EB5" w:rsidRPr="00F21826" w:rsidRDefault="00646EB5" w:rsidP="00646EB5">
            <w:pPr>
              <w:jc w:val="center"/>
              <w:rPr>
                <w:rFonts w:cs="Arial"/>
                <w:b/>
                <w:bCs/>
                <w:sz w:val="16"/>
                <w:szCs w:val="16"/>
                <w:lang w:val="ru-RU" w:eastAsia="ru-RU"/>
              </w:rPr>
            </w:pPr>
          </w:p>
        </w:tc>
        <w:tc>
          <w:tcPr>
            <w:tcW w:w="1985" w:type="dxa"/>
            <w:shd w:val="clear" w:color="auto" w:fill="auto"/>
            <w:noWrap/>
            <w:vAlign w:val="bottom"/>
          </w:tcPr>
          <w:p w:rsidR="00646EB5" w:rsidRPr="00F21826" w:rsidRDefault="00646EB5" w:rsidP="00646EB5">
            <w:pPr>
              <w:jc w:val="center"/>
              <w:rPr>
                <w:rFonts w:cs="Arial"/>
                <w:b/>
                <w:bCs/>
                <w:sz w:val="16"/>
                <w:szCs w:val="16"/>
                <w:lang w:val="ru-RU" w:eastAsia="ru-RU"/>
              </w:rPr>
            </w:pPr>
          </w:p>
        </w:tc>
      </w:tr>
      <w:tr w:rsidR="00646EB5" w:rsidRPr="00CE1993" w:rsidTr="00646EB5">
        <w:trPr>
          <w:trHeight w:val="300"/>
        </w:trPr>
        <w:tc>
          <w:tcPr>
            <w:tcW w:w="5685" w:type="dxa"/>
            <w:shd w:val="clear" w:color="auto" w:fill="auto"/>
            <w:vAlign w:val="bottom"/>
          </w:tcPr>
          <w:p w:rsidR="00646EB5" w:rsidRPr="00F2182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от операций купли-продажи иностранной валюты в наличной форме</w:t>
            </w:r>
          </w:p>
        </w:tc>
        <w:tc>
          <w:tcPr>
            <w:tcW w:w="1701" w:type="dxa"/>
            <w:shd w:val="clear" w:color="auto" w:fill="auto"/>
            <w:noWrap/>
            <w:vAlign w:val="bottom"/>
          </w:tcPr>
          <w:p w:rsidR="00646EB5" w:rsidRPr="00CE1993" w:rsidRDefault="00646EB5" w:rsidP="00646EB5">
            <w:pPr>
              <w:jc w:val="center"/>
              <w:rPr>
                <w:rFonts w:cs="Arial"/>
                <w:bCs/>
                <w:sz w:val="16"/>
                <w:szCs w:val="16"/>
                <w:lang w:val="ru-RU" w:eastAsia="ru-RU"/>
              </w:rPr>
            </w:pPr>
            <w:r w:rsidRPr="00CE1993">
              <w:rPr>
                <w:rFonts w:cs="Arial"/>
                <w:bCs/>
                <w:sz w:val="16"/>
                <w:szCs w:val="16"/>
                <w:lang w:val="ru-RU" w:eastAsia="ru-RU"/>
              </w:rPr>
              <w:t>(626)</w:t>
            </w:r>
          </w:p>
        </w:tc>
        <w:tc>
          <w:tcPr>
            <w:tcW w:w="1985" w:type="dxa"/>
            <w:shd w:val="clear" w:color="auto" w:fill="auto"/>
            <w:noWrap/>
            <w:vAlign w:val="bottom"/>
          </w:tcPr>
          <w:p w:rsidR="00646EB5" w:rsidRPr="00CE1993" w:rsidRDefault="00646EB5" w:rsidP="00646EB5">
            <w:pPr>
              <w:jc w:val="center"/>
              <w:rPr>
                <w:rFonts w:cs="Arial"/>
                <w:bCs/>
                <w:sz w:val="16"/>
                <w:szCs w:val="16"/>
                <w:lang w:val="ru-RU" w:eastAsia="ru-RU"/>
              </w:rPr>
            </w:pPr>
            <w:r w:rsidRPr="00CE1993">
              <w:rPr>
                <w:rFonts w:cs="Arial"/>
                <w:bCs/>
                <w:sz w:val="16"/>
                <w:szCs w:val="16"/>
                <w:lang w:val="ru-RU" w:eastAsia="ru-RU"/>
              </w:rPr>
              <w:t>(28)</w:t>
            </w:r>
          </w:p>
        </w:tc>
      </w:tr>
      <w:tr w:rsidR="00646EB5" w:rsidRPr="00CE1993" w:rsidTr="00646EB5">
        <w:trPr>
          <w:trHeight w:val="300"/>
        </w:trPr>
        <w:tc>
          <w:tcPr>
            <w:tcW w:w="5685" w:type="dxa"/>
            <w:shd w:val="clear" w:color="auto" w:fill="auto"/>
            <w:vAlign w:val="bottom"/>
          </w:tcPr>
          <w:p w:rsidR="00646EB5" w:rsidRPr="00F21826"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от операций купли-продажи иностранной валюты в безналичной форме</w:t>
            </w:r>
          </w:p>
        </w:tc>
        <w:tc>
          <w:tcPr>
            <w:tcW w:w="1701" w:type="dxa"/>
            <w:shd w:val="clear" w:color="auto" w:fill="auto"/>
            <w:noWrap/>
            <w:vAlign w:val="bottom"/>
          </w:tcPr>
          <w:p w:rsidR="00646EB5" w:rsidRPr="00CE1993" w:rsidRDefault="00646EB5" w:rsidP="00646EB5">
            <w:pPr>
              <w:jc w:val="center"/>
              <w:rPr>
                <w:rFonts w:cs="Arial"/>
                <w:bCs/>
                <w:sz w:val="16"/>
                <w:szCs w:val="16"/>
                <w:lang w:val="ru-RU" w:eastAsia="ru-RU"/>
              </w:rPr>
            </w:pPr>
            <w:r>
              <w:rPr>
                <w:rFonts w:cs="Arial"/>
                <w:bCs/>
                <w:sz w:val="16"/>
                <w:szCs w:val="16"/>
                <w:lang w:val="ru-RU" w:eastAsia="ru-RU"/>
              </w:rPr>
              <w:t>(1 160 546)</w:t>
            </w:r>
          </w:p>
        </w:tc>
        <w:tc>
          <w:tcPr>
            <w:tcW w:w="1985" w:type="dxa"/>
            <w:shd w:val="clear" w:color="auto" w:fill="auto"/>
            <w:noWrap/>
            <w:vAlign w:val="bottom"/>
          </w:tcPr>
          <w:p w:rsidR="00646EB5" w:rsidRPr="00CE1993" w:rsidRDefault="00646EB5" w:rsidP="00646EB5">
            <w:pPr>
              <w:jc w:val="center"/>
              <w:rPr>
                <w:rFonts w:cs="Arial"/>
                <w:bCs/>
                <w:sz w:val="16"/>
                <w:szCs w:val="16"/>
                <w:lang w:val="ru-RU" w:eastAsia="ru-RU"/>
              </w:rPr>
            </w:pPr>
            <w:r w:rsidRPr="00CE1993">
              <w:rPr>
                <w:rFonts w:cs="Arial"/>
                <w:bCs/>
                <w:sz w:val="16"/>
                <w:szCs w:val="16"/>
                <w:lang w:val="ru-RU" w:eastAsia="ru-RU"/>
              </w:rPr>
              <w:t>(1 695 079)</w:t>
            </w:r>
          </w:p>
        </w:tc>
      </w:tr>
      <w:tr w:rsidR="00646EB5" w:rsidRPr="00CE1993" w:rsidTr="009436A1">
        <w:trPr>
          <w:trHeight w:val="300"/>
        </w:trPr>
        <w:tc>
          <w:tcPr>
            <w:tcW w:w="5685" w:type="dxa"/>
            <w:tcBorders>
              <w:bottom w:val="single" w:sz="4" w:space="0" w:color="auto"/>
            </w:tcBorders>
            <w:shd w:val="clear" w:color="auto" w:fill="auto"/>
            <w:vAlign w:val="bottom"/>
          </w:tcPr>
          <w:p w:rsidR="00646EB5" w:rsidRDefault="00646EB5" w:rsidP="00646EB5">
            <w:pPr>
              <w:overflowPunct/>
              <w:autoSpaceDE/>
              <w:autoSpaceDN/>
              <w:adjustRightInd/>
              <w:textAlignment w:val="auto"/>
              <w:rPr>
                <w:rFonts w:cs="Arial"/>
                <w:sz w:val="16"/>
                <w:szCs w:val="16"/>
                <w:lang w:val="ru-RU" w:eastAsia="ru-RU"/>
              </w:rPr>
            </w:pPr>
            <w:r>
              <w:rPr>
                <w:rFonts w:cs="Arial"/>
                <w:sz w:val="16"/>
                <w:szCs w:val="16"/>
                <w:lang w:val="ru-RU" w:eastAsia="ru-RU"/>
              </w:rPr>
              <w:t>от переоценки средств в иностранной валюте</w:t>
            </w:r>
          </w:p>
        </w:tc>
        <w:tc>
          <w:tcPr>
            <w:tcW w:w="1701" w:type="dxa"/>
            <w:tcBorders>
              <w:bottom w:val="single" w:sz="4" w:space="0" w:color="auto"/>
            </w:tcBorders>
            <w:shd w:val="clear" w:color="auto" w:fill="auto"/>
            <w:noWrap/>
            <w:vAlign w:val="bottom"/>
          </w:tcPr>
          <w:p w:rsidR="00646EB5" w:rsidRPr="00CE1993" w:rsidRDefault="00646EB5" w:rsidP="00646EB5">
            <w:pPr>
              <w:jc w:val="center"/>
              <w:rPr>
                <w:rFonts w:cs="Arial"/>
                <w:bCs/>
                <w:sz w:val="16"/>
                <w:szCs w:val="16"/>
                <w:lang w:val="ru-RU" w:eastAsia="ru-RU"/>
              </w:rPr>
            </w:pPr>
            <w:r>
              <w:rPr>
                <w:rFonts w:cs="Arial"/>
                <w:bCs/>
                <w:sz w:val="16"/>
                <w:szCs w:val="16"/>
                <w:lang w:val="ru-RU" w:eastAsia="ru-RU"/>
              </w:rPr>
              <w:t>(6 209 751)</w:t>
            </w:r>
          </w:p>
        </w:tc>
        <w:tc>
          <w:tcPr>
            <w:tcW w:w="1985" w:type="dxa"/>
            <w:tcBorders>
              <w:bottom w:val="single" w:sz="4" w:space="0" w:color="auto"/>
            </w:tcBorders>
            <w:shd w:val="clear" w:color="auto" w:fill="auto"/>
            <w:noWrap/>
            <w:vAlign w:val="bottom"/>
          </w:tcPr>
          <w:p w:rsidR="00646EB5" w:rsidRPr="00CE1993" w:rsidRDefault="00646EB5" w:rsidP="00646EB5">
            <w:pPr>
              <w:jc w:val="center"/>
              <w:rPr>
                <w:rFonts w:cs="Arial"/>
                <w:bCs/>
                <w:sz w:val="16"/>
                <w:szCs w:val="16"/>
                <w:lang w:val="ru-RU" w:eastAsia="ru-RU"/>
              </w:rPr>
            </w:pPr>
            <w:r w:rsidRPr="00CE1993">
              <w:rPr>
                <w:rFonts w:cs="Arial"/>
                <w:bCs/>
                <w:sz w:val="16"/>
                <w:szCs w:val="16"/>
                <w:lang w:val="ru-RU" w:eastAsia="ru-RU"/>
              </w:rPr>
              <w:t>(6 283 802)</w:t>
            </w:r>
          </w:p>
        </w:tc>
      </w:tr>
      <w:tr w:rsidR="00646EB5" w:rsidRPr="00367D3E" w:rsidTr="009436A1">
        <w:trPr>
          <w:trHeight w:val="300"/>
        </w:trPr>
        <w:tc>
          <w:tcPr>
            <w:tcW w:w="5685" w:type="dxa"/>
            <w:tcBorders>
              <w:top w:val="single" w:sz="4" w:space="0" w:color="auto"/>
              <w:bottom w:val="double" w:sz="4" w:space="0" w:color="auto"/>
            </w:tcBorders>
            <w:shd w:val="clear" w:color="auto" w:fill="auto"/>
            <w:vAlign w:val="bottom"/>
            <w:hideMark/>
          </w:tcPr>
          <w:p w:rsidR="00646EB5" w:rsidRDefault="00646EB5" w:rsidP="00646EB5">
            <w:pPr>
              <w:rPr>
                <w:rFonts w:cs="Arial"/>
                <w:b/>
                <w:bCs/>
                <w:sz w:val="16"/>
                <w:szCs w:val="16"/>
                <w:lang w:val="ru-RU" w:eastAsia="ru-RU"/>
              </w:rPr>
            </w:pPr>
          </w:p>
          <w:p w:rsidR="00646EB5" w:rsidRPr="00F21826" w:rsidRDefault="00646EB5" w:rsidP="00646EB5">
            <w:pPr>
              <w:rPr>
                <w:rFonts w:cs="Arial"/>
                <w:b/>
                <w:bCs/>
                <w:sz w:val="16"/>
                <w:szCs w:val="16"/>
                <w:lang w:val="ru-RU" w:eastAsia="ru-RU"/>
              </w:rPr>
            </w:pPr>
            <w:r w:rsidRPr="00F21826">
              <w:rPr>
                <w:rFonts w:cs="Arial"/>
                <w:b/>
                <w:bCs/>
                <w:sz w:val="16"/>
                <w:szCs w:val="16"/>
                <w:lang w:val="ru-RU" w:eastAsia="ru-RU"/>
              </w:rPr>
              <w:t>Итого чистые доходы от операций с иностранной валютой</w:t>
            </w:r>
            <w:r>
              <w:rPr>
                <w:rFonts w:cs="Arial"/>
                <w:b/>
                <w:bCs/>
                <w:sz w:val="16"/>
                <w:szCs w:val="16"/>
                <w:lang w:val="ru-RU" w:eastAsia="ru-RU"/>
              </w:rPr>
              <w:t xml:space="preserve"> и от переоценки иностранной валюты</w:t>
            </w:r>
          </w:p>
        </w:tc>
        <w:tc>
          <w:tcPr>
            <w:tcW w:w="1701" w:type="dxa"/>
            <w:tcBorders>
              <w:top w:val="single" w:sz="4" w:space="0" w:color="auto"/>
              <w:bottom w:val="double" w:sz="4" w:space="0" w:color="auto"/>
            </w:tcBorders>
            <w:shd w:val="clear" w:color="auto" w:fill="auto"/>
            <w:noWrap/>
            <w:vAlign w:val="bottom"/>
          </w:tcPr>
          <w:p w:rsidR="00646EB5" w:rsidRPr="00F21826" w:rsidRDefault="00646EB5" w:rsidP="00646EB5">
            <w:pPr>
              <w:jc w:val="center"/>
              <w:rPr>
                <w:rFonts w:cs="Arial"/>
                <w:b/>
                <w:bCs/>
                <w:sz w:val="16"/>
                <w:szCs w:val="16"/>
                <w:lang w:val="ru-RU" w:eastAsia="ru-RU"/>
              </w:rPr>
            </w:pPr>
            <w:r>
              <w:rPr>
                <w:rFonts w:cs="Arial"/>
                <w:b/>
                <w:bCs/>
                <w:sz w:val="16"/>
                <w:szCs w:val="16"/>
                <w:lang w:val="ru-RU" w:eastAsia="ru-RU"/>
              </w:rPr>
              <w:t>71 254</w:t>
            </w:r>
          </w:p>
        </w:tc>
        <w:tc>
          <w:tcPr>
            <w:tcW w:w="1985" w:type="dxa"/>
            <w:tcBorders>
              <w:top w:val="single" w:sz="4" w:space="0" w:color="auto"/>
              <w:bottom w:val="double" w:sz="4" w:space="0" w:color="auto"/>
            </w:tcBorders>
            <w:shd w:val="clear" w:color="auto" w:fill="auto"/>
            <w:noWrap/>
            <w:vAlign w:val="bottom"/>
          </w:tcPr>
          <w:p w:rsidR="00646EB5" w:rsidRPr="00F21826" w:rsidRDefault="00646EB5" w:rsidP="00646EB5">
            <w:pPr>
              <w:jc w:val="center"/>
              <w:rPr>
                <w:rFonts w:cs="Arial"/>
                <w:b/>
                <w:bCs/>
                <w:sz w:val="16"/>
                <w:szCs w:val="16"/>
                <w:lang w:val="ru-RU" w:eastAsia="ru-RU"/>
              </w:rPr>
            </w:pPr>
            <w:r>
              <w:rPr>
                <w:rFonts w:cs="Arial"/>
                <w:b/>
                <w:bCs/>
                <w:sz w:val="16"/>
                <w:szCs w:val="16"/>
                <w:lang w:val="ru-RU" w:eastAsia="ru-RU"/>
              </w:rPr>
              <w:t>174 467</w:t>
            </w:r>
          </w:p>
        </w:tc>
      </w:tr>
    </w:tbl>
    <w:p w:rsidR="00646EB5" w:rsidRDefault="00646EB5" w:rsidP="00646EB5">
      <w:pPr>
        <w:jc w:val="both"/>
        <w:rPr>
          <w:rFonts w:cs="Arial"/>
          <w:b/>
          <w:sz w:val="20"/>
          <w:szCs w:val="20"/>
          <w:highlight w:val="yellow"/>
          <w:lang w:val="ru-RU"/>
        </w:rPr>
      </w:pPr>
    </w:p>
    <w:p w:rsidR="00646EB5" w:rsidRPr="00F21826" w:rsidRDefault="00646EB5" w:rsidP="00646EB5">
      <w:pPr>
        <w:jc w:val="both"/>
        <w:rPr>
          <w:rFonts w:cs="Arial"/>
          <w:b/>
          <w:sz w:val="20"/>
          <w:szCs w:val="20"/>
          <w:lang w:val="ru-RU"/>
        </w:rPr>
      </w:pPr>
      <w:r w:rsidRPr="00F21826">
        <w:rPr>
          <w:rFonts w:cs="Arial"/>
          <w:b/>
          <w:sz w:val="20"/>
          <w:szCs w:val="20"/>
          <w:lang w:val="ru-RU"/>
        </w:rPr>
        <w:t xml:space="preserve">Комиссионные доходы и расходы </w:t>
      </w:r>
    </w:p>
    <w:p w:rsidR="00646EB5" w:rsidRPr="00367D3E" w:rsidRDefault="00646EB5" w:rsidP="00646EB5">
      <w:pPr>
        <w:jc w:val="both"/>
        <w:rPr>
          <w:rFonts w:cs="Arial"/>
          <w:b/>
          <w:sz w:val="20"/>
          <w:szCs w:val="20"/>
          <w:highlight w:val="yellow"/>
          <w:lang w:val="ru-RU"/>
        </w:rPr>
      </w:pPr>
    </w:p>
    <w:tbl>
      <w:tblPr>
        <w:tblW w:w="9371" w:type="dxa"/>
        <w:tblInd w:w="93" w:type="dxa"/>
        <w:tblLook w:val="04A0" w:firstRow="1" w:lastRow="0" w:firstColumn="1" w:lastColumn="0" w:noHBand="0" w:noVBand="1"/>
      </w:tblPr>
      <w:tblGrid>
        <w:gridCol w:w="5260"/>
        <w:gridCol w:w="2410"/>
        <w:gridCol w:w="1701"/>
      </w:tblGrid>
      <w:tr w:rsidR="00646EB5" w:rsidRPr="00367D3E" w:rsidTr="00646EB5">
        <w:trPr>
          <w:trHeight w:val="300"/>
          <w:tblHeader/>
        </w:trPr>
        <w:tc>
          <w:tcPr>
            <w:tcW w:w="5260" w:type="dxa"/>
            <w:tcBorders>
              <w:top w:val="single" w:sz="4" w:space="0" w:color="auto"/>
              <w:bottom w:val="single" w:sz="4" w:space="0" w:color="auto"/>
            </w:tcBorders>
            <w:shd w:val="clear" w:color="auto" w:fill="auto"/>
            <w:vAlign w:val="center"/>
            <w:hideMark/>
          </w:tcPr>
          <w:p w:rsidR="00646EB5" w:rsidRPr="00294CD0" w:rsidRDefault="00646EB5" w:rsidP="00646EB5">
            <w:pPr>
              <w:jc w:val="center"/>
              <w:rPr>
                <w:rFonts w:ascii="Calibri" w:hAnsi="Calibri" w:cs="Times New Roman"/>
                <w:b/>
                <w:bCs/>
                <w:color w:val="000000"/>
                <w:sz w:val="16"/>
                <w:szCs w:val="16"/>
                <w:lang w:eastAsia="ru-RU"/>
              </w:rPr>
            </w:pPr>
          </w:p>
        </w:tc>
        <w:tc>
          <w:tcPr>
            <w:tcW w:w="2410" w:type="dxa"/>
            <w:tcBorders>
              <w:top w:val="single" w:sz="4" w:space="0" w:color="auto"/>
              <w:bottom w:val="single" w:sz="4" w:space="0" w:color="auto"/>
            </w:tcBorders>
            <w:shd w:val="clear" w:color="auto" w:fill="auto"/>
            <w:noWrap/>
            <w:vAlign w:val="center"/>
            <w:hideMark/>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201</w:t>
            </w:r>
            <w:r>
              <w:rPr>
                <w:rFonts w:cs="Arial"/>
                <w:b/>
                <w:bCs/>
                <w:sz w:val="16"/>
                <w:szCs w:val="16"/>
                <w:lang w:val="ru-RU" w:eastAsia="ru-RU"/>
              </w:rPr>
              <w:t>8</w:t>
            </w:r>
            <w:r w:rsidRPr="00294CD0">
              <w:rPr>
                <w:rFonts w:cs="Arial"/>
                <w:b/>
                <w:bCs/>
                <w:sz w:val="16"/>
                <w:szCs w:val="16"/>
                <w:lang w:val="ru-RU" w:eastAsia="ru-RU"/>
              </w:rPr>
              <w:t xml:space="preserve"> год</w:t>
            </w:r>
          </w:p>
        </w:tc>
        <w:tc>
          <w:tcPr>
            <w:tcW w:w="1701" w:type="dxa"/>
            <w:tcBorders>
              <w:top w:val="single" w:sz="4" w:space="0" w:color="auto"/>
              <w:bottom w:val="single" w:sz="4" w:space="0" w:color="auto"/>
            </w:tcBorders>
            <w:vAlign w:val="center"/>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2017 год</w:t>
            </w:r>
          </w:p>
        </w:tc>
      </w:tr>
      <w:tr w:rsidR="00646EB5" w:rsidRPr="00367D3E" w:rsidTr="00646EB5">
        <w:trPr>
          <w:trHeight w:val="300"/>
        </w:trPr>
        <w:tc>
          <w:tcPr>
            <w:tcW w:w="5260" w:type="dxa"/>
            <w:tcBorders>
              <w:top w:val="single" w:sz="4" w:space="0" w:color="auto"/>
            </w:tcBorders>
            <w:shd w:val="clear" w:color="auto" w:fill="auto"/>
            <w:vAlign w:val="bottom"/>
            <w:hideMark/>
          </w:tcPr>
          <w:p w:rsidR="00646EB5" w:rsidRPr="00294CD0" w:rsidRDefault="00646EB5" w:rsidP="00646EB5">
            <w:pPr>
              <w:overflowPunct/>
              <w:autoSpaceDE/>
              <w:autoSpaceDN/>
              <w:adjustRightInd/>
              <w:textAlignment w:val="auto"/>
              <w:rPr>
                <w:rFonts w:ascii="Calibri" w:hAnsi="Calibri" w:cs="Times New Roman"/>
                <w:b/>
                <w:bCs/>
                <w:color w:val="000000"/>
                <w:sz w:val="16"/>
                <w:szCs w:val="16"/>
                <w:lang w:eastAsia="ru-RU"/>
              </w:rPr>
            </w:pPr>
            <w:r w:rsidRPr="00294CD0">
              <w:rPr>
                <w:rFonts w:cs="Arial"/>
                <w:b/>
                <w:bCs/>
                <w:sz w:val="16"/>
                <w:szCs w:val="16"/>
                <w:lang w:val="ru-RU" w:eastAsia="ru-RU"/>
              </w:rPr>
              <w:t>Комиссионные доходы</w:t>
            </w:r>
          </w:p>
        </w:tc>
        <w:tc>
          <w:tcPr>
            <w:tcW w:w="2410" w:type="dxa"/>
            <w:tcBorders>
              <w:top w:val="single" w:sz="4" w:space="0" w:color="auto"/>
            </w:tcBorders>
            <w:shd w:val="clear" w:color="auto" w:fill="auto"/>
            <w:noWrap/>
            <w:vAlign w:val="bottom"/>
            <w:hideMark/>
          </w:tcPr>
          <w:p w:rsidR="00646EB5" w:rsidRPr="00294CD0" w:rsidRDefault="00646EB5" w:rsidP="00646EB5">
            <w:pPr>
              <w:rPr>
                <w:rFonts w:ascii="Calibri" w:hAnsi="Calibri" w:cs="Times New Roman"/>
                <w:b/>
                <w:bCs/>
                <w:color w:val="000000"/>
                <w:sz w:val="16"/>
                <w:szCs w:val="16"/>
                <w:lang w:eastAsia="ru-RU"/>
              </w:rPr>
            </w:pPr>
            <w:r w:rsidRPr="00294CD0">
              <w:rPr>
                <w:rFonts w:ascii="Calibri" w:hAnsi="Calibri" w:cs="Times New Roman"/>
                <w:b/>
                <w:bCs/>
                <w:color w:val="000000"/>
                <w:sz w:val="16"/>
                <w:szCs w:val="16"/>
                <w:lang w:eastAsia="ru-RU"/>
              </w:rPr>
              <w:t> </w:t>
            </w:r>
          </w:p>
        </w:tc>
        <w:tc>
          <w:tcPr>
            <w:tcW w:w="1701" w:type="dxa"/>
            <w:tcBorders>
              <w:top w:val="single" w:sz="4" w:space="0" w:color="auto"/>
            </w:tcBorders>
            <w:vAlign w:val="bottom"/>
          </w:tcPr>
          <w:p w:rsidR="00646EB5" w:rsidRPr="00294CD0" w:rsidRDefault="00646EB5" w:rsidP="00646EB5">
            <w:pPr>
              <w:rPr>
                <w:rFonts w:ascii="Calibri" w:hAnsi="Calibri" w:cs="Times New Roman"/>
                <w:b/>
                <w:bCs/>
                <w:color w:val="000000"/>
                <w:sz w:val="16"/>
                <w:szCs w:val="16"/>
                <w:lang w:eastAsia="ru-RU"/>
              </w:rPr>
            </w:pPr>
            <w:r w:rsidRPr="00294CD0">
              <w:rPr>
                <w:rFonts w:ascii="Calibri" w:hAnsi="Calibri" w:cs="Times New Roman"/>
                <w:b/>
                <w:bCs/>
                <w:color w:val="000000"/>
                <w:sz w:val="16"/>
                <w:szCs w:val="16"/>
                <w:lang w:eastAsia="ru-RU"/>
              </w:rPr>
              <w:t> </w:t>
            </w:r>
          </w:p>
        </w:tc>
      </w:tr>
      <w:tr w:rsidR="00646EB5" w:rsidRPr="00367D3E" w:rsidTr="00646EB5">
        <w:trPr>
          <w:trHeight w:val="300"/>
        </w:trPr>
        <w:tc>
          <w:tcPr>
            <w:tcW w:w="5260" w:type="dxa"/>
            <w:shd w:val="clear" w:color="auto" w:fill="auto"/>
            <w:vAlign w:val="bottom"/>
            <w:hideMark/>
          </w:tcPr>
          <w:p w:rsidR="00646EB5" w:rsidRPr="00294CD0" w:rsidRDefault="00646EB5" w:rsidP="00646EB5">
            <w:pPr>
              <w:tabs>
                <w:tab w:val="left" w:pos="6003"/>
              </w:tabs>
              <w:overflowPunct/>
              <w:autoSpaceDE/>
              <w:autoSpaceDN/>
              <w:adjustRightInd/>
              <w:textAlignment w:val="auto"/>
              <w:rPr>
                <w:rFonts w:cs="Arial"/>
                <w:sz w:val="16"/>
                <w:szCs w:val="16"/>
                <w:lang w:val="ru-RU" w:eastAsia="ru-RU"/>
              </w:rPr>
            </w:pPr>
            <w:r>
              <w:rPr>
                <w:rFonts w:cs="Arial"/>
                <w:sz w:val="16"/>
                <w:szCs w:val="16"/>
                <w:lang w:val="ru-RU" w:eastAsia="ru-RU"/>
              </w:rPr>
              <w:t>за открытие и ведение банковских счетов и РКО</w:t>
            </w:r>
          </w:p>
        </w:tc>
        <w:tc>
          <w:tcPr>
            <w:tcW w:w="2410" w:type="dxa"/>
            <w:shd w:val="clear" w:color="auto" w:fill="auto"/>
            <w:noWrap/>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288 524</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285 507</w:t>
            </w: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от выдачи банковских гарантий</w:t>
            </w:r>
          </w:p>
        </w:tc>
        <w:tc>
          <w:tcPr>
            <w:tcW w:w="2410" w:type="dxa"/>
            <w:shd w:val="clear" w:color="auto" w:fill="auto"/>
            <w:noWrap/>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10 210</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17 610</w:t>
            </w: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по другим операциям, в т.ч. по переводам денежных средств</w:t>
            </w:r>
          </w:p>
        </w:tc>
        <w:tc>
          <w:tcPr>
            <w:tcW w:w="2410" w:type="dxa"/>
            <w:shd w:val="clear" w:color="auto" w:fill="auto"/>
            <w:noWrap/>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Pr>
                <w:rFonts w:cs="Arial"/>
                <w:sz w:val="16"/>
                <w:szCs w:val="16"/>
                <w:lang w:val="ru-RU" w:eastAsia="ru-RU"/>
              </w:rPr>
              <w:t>56 154</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41 620</w:t>
            </w: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за проведение операций с валютными ценностями</w:t>
            </w:r>
          </w:p>
        </w:tc>
        <w:tc>
          <w:tcPr>
            <w:tcW w:w="2410" w:type="dxa"/>
            <w:shd w:val="clear" w:color="auto" w:fill="auto"/>
            <w:noWrap/>
            <w:vAlign w:val="bottom"/>
          </w:tcPr>
          <w:p w:rsidR="00646EB5" w:rsidRPr="00294CD0" w:rsidRDefault="00646EB5" w:rsidP="00646EB5">
            <w:pPr>
              <w:jc w:val="center"/>
              <w:rPr>
                <w:rFonts w:cs="Arial"/>
                <w:sz w:val="16"/>
                <w:szCs w:val="16"/>
                <w:lang w:val="ru-RU" w:eastAsia="ru-RU"/>
              </w:rPr>
            </w:pPr>
            <w:r>
              <w:rPr>
                <w:rFonts w:cs="Arial"/>
                <w:sz w:val="16"/>
                <w:szCs w:val="16"/>
                <w:lang w:val="ru-RU" w:eastAsia="ru-RU"/>
              </w:rPr>
              <w:t>53</w:t>
            </w:r>
          </w:p>
        </w:tc>
        <w:tc>
          <w:tcPr>
            <w:tcW w:w="1701" w:type="dxa"/>
            <w:vAlign w:val="bottom"/>
          </w:tcPr>
          <w:p w:rsidR="00646EB5" w:rsidRPr="00294CD0" w:rsidRDefault="00646EB5" w:rsidP="00646EB5">
            <w:pPr>
              <w:jc w:val="center"/>
              <w:rPr>
                <w:rFonts w:cs="Arial"/>
                <w:sz w:val="16"/>
                <w:szCs w:val="16"/>
                <w:lang w:val="ru-RU" w:eastAsia="ru-RU"/>
              </w:rPr>
            </w:pPr>
            <w:r w:rsidRPr="00294CD0">
              <w:rPr>
                <w:rFonts w:cs="Arial"/>
                <w:sz w:val="16"/>
                <w:szCs w:val="16"/>
                <w:lang w:val="ru-RU" w:eastAsia="ru-RU"/>
              </w:rPr>
              <w:t>53</w:t>
            </w:r>
          </w:p>
        </w:tc>
      </w:tr>
      <w:tr w:rsidR="00646EB5" w:rsidRPr="00367D3E" w:rsidTr="00646EB5">
        <w:trPr>
          <w:trHeight w:val="300"/>
        </w:trPr>
        <w:tc>
          <w:tcPr>
            <w:tcW w:w="5260" w:type="dxa"/>
            <w:tcBorders>
              <w:bottom w:val="single" w:sz="4" w:space="0" w:color="auto"/>
            </w:tcBorders>
            <w:shd w:val="clear" w:color="auto" w:fill="auto"/>
            <w:vAlign w:val="bottom"/>
            <w:hideMark/>
          </w:tcPr>
          <w:p w:rsidR="00646EB5" w:rsidRPr="00294CD0" w:rsidRDefault="00646EB5" w:rsidP="00646EB5">
            <w:pPr>
              <w:overflowPunct/>
              <w:autoSpaceDE/>
              <w:autoSpaceDN/>
              <w:adjustRightInd/>
              <w:textAlignment w:val="auto"/>
              <w:rPr>
                <w:rFonts w:ascii="Calibri" w:hAnsi="Calibri" w:cs="Times New Roman"/>
                <w:b/>
                <w:bCs/>
                <w:color w:val="000000"/>
                <w:sz w:val="16"/>
                <w:szCs w:val="16"/>
                <w:lang w:eastAsia="ru-RU"/>
              </w:rPr>
            </w:pPr>
            <w:r w:rsidRPr="00294CD0">
              <w:rPr>
                <w:rFonts w:ascii="Calibri" w:hAnsi="Calibri" w:cs="Times New Roman"/>
                <w:b/>
                <w:bCs/>
                <w:color w:val="000000"/>
                <w:sz w:val="16"/>
                <w:szCs w:val="16"/>
                <w:lang w:eastAsia="ru-RU"/>
              </w:rPr>
              <w:t> </w:t>
            </w:r>
            <w:r w:rsidRPr="00294CD0">
              <w:rPr>
                <w:rFonts w:cs="Arial"/>
                <w:b/>
                <w:bCs/>
                <w:sz w:val="16"/>
                <w:szCs w:val="16"/>
                <w:lang w:val="ru-RU" w:eastAsia="ru-RU"/>
              </w:rPr>
              <w:t>Итого комиссионных доходов</w:t>
            </w:r>
          </w:p>
        </w:tc>
        <w:tc>
          <w:tcPr>
            <w:tcW w:w="2410" w:type="dxa"/>
            <w:tcBorders>
              <w:bottom w:val="single" w:sz="4" w:space="0" w:color="auto"/>
            </w:tcBorders>
            <w:shd w:val="clear" w:color="auto" w:fill="auto"/>
            <w:noWrap/>
            <w:vAlign w:val="bottom"/>
          </w:tcPr>
          <w:p w:rsidR="00646EB5" w:rsidRPr="00294CD0"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354 941</w:t>
            </w:r>
          </w:p>
        </w:tc>
        <w:tc>
          <w:tcPr>
            <w:tcW w:w="1701" w:type="dxa"/>
            <w:tcBorders>
              <w:bottom w:val="single" w:sz="4" w:space="0" w:color="auto"/>
            </w:tcBorders>
            <w:vAlign w:val="bottom"/>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344 790</w:t>
            </w:r>
          </w:p>
        </w:tc>
      </w:tr>
      <w:tr w:rsidR="00646EB5" w:rsidRPr="00367D3E" w:rsidTr="00646EB5">
        <w:trPr>
          <w:trHeight w:val="300"/>
        </w:trPr>
        <w:tc>
          <w:tcPr>
            <w:tcW w:w="5260" w:type="dxa"/>
            <w:tcBorders>
              <w:top w:val="single" w:sz="4" w:space="0" w:color="auto"/>
            </w:tcBorders>
            <w:shd w:val="clear" w:color="auto" w:fill="auto"/>
            <w:vAlign w:val="bottom"/>
            <w:hideMark/>
          </w:tcPr>
          <w:p w:rsidR="00646EB5" w:rsidRPr="00294CD0" w:rsidRDefault="00646EB5" w:rsidP="00646EB5">
            <w:pPr>
              <w:overflowPunct/>
              <w:autoSpaceDE/>
              <w:autoSpaceDN/>
              <w:adjustRightInd/>
              <w:textAlignment w:val="auto"/>
              <w:rPr>
                <w:rFonts w:ascii="Calibri" w:hAnsi="Calibri" w:cs="Times New Roman"/>
                <w:b/>
                <w:bCs/>
                <w:color w:val="000000"/>
                <w:sz w:val="16"/>
                <w:szCs w:val="16"/>
                <w:lang w:eastAsia="ru-RU"/>
              </w:rPr>
            </w:pPr>
            <w:r w:rsidRPr="00294CD0">
              <w:rPr>
                <w:rFonts w:cs="Arial"/>
                <w:b/>
                <w:bCs/>
                <w:sz w:val="16"/>
                <w:szCs w:val="16"/>
                <w:lang w:val="ru-RU" w:eastAsia="ru-RU"/>
              </w:rPr>
              <w:t>Комиссионные расходы</w:t>
            </w:r>
          </w:p>
        </w:tc>
        <w:tc>
          <w:tcPr>
            <w:tcW w:w="2410" w:type="dxa"/>
            <w:tcBorders>
              <w:top w:val="single" w:sz="4" w:space="0" w:color="auto"/>
            </w:tcBorders>
            <w:shd w:val="clear" w:color="auto" w:fill="auto"/>
            <w:noWrap/>
            <w:vAlign w:val="bottom"/>
            <w:hideMark/>
          </w:tcPr>
          <w:p w:rsidR="00646EB5" w:rsidRPr="00294CD0" w:rsidRDefault="00646EB5" w:rsidP="00646EB5">
            <w:pPr>
              <w:jc w:val="center"/>
              <w:rPr>
                <w:rFonts w:ascii="Calibri" w:hAnsi="Calibri" w:cs="Times New Roman"/>
                <w:b/>
                <w:bCs/>
                <w:color w:val="000000"/>
                <w:sz w:val="16"/>
                <w:szCs w:val="16"/>
                <w:lang w:eastAsia="ru-RU"/>
              </w:rPr>
            </w:pPr>
          </w:p>
        </w:tc>
        <w:tc>
          <w:tcPr>
            <w:tcW w:w="1701" w:type="dxa"/>
            <w:tcBorders>
              <w:top w:val="single" w:sz="4" w:space="0" w:color="auto"/>
            </w:tcBorders>
            <w:vAlign w:val="bottom"/>
          </w:tcPr>
          <w:p w:rsidR="00646EB5" w:rsidRPr="00294CD0" w:rsidRDefault="00646EB5" w:rsidP="00646EB5">
            <w:pPr>
              <w:jc w:val="center"/>
              <w:rPr>
                <w:rFonts w:ascii="Calibri" w:hAnsi="Calibri" w:cs="Times New Roman"/>
                <w:b/>
                <w:bCs/>
                <w:color w:val="000000"/>
                <w:sz w:val="16"/>
                <w:szCs w:val="16"/>
                <w:lang w:eastAsia="ru-RU"/>
              </w:rPr>
            </w:pP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за РКО и ведение банковских счетов</w:t>
            </w:r>
          </w:p>
        </w:tc>
        <w:tc>
          <w:tcPr>
            <w:tcW w:w="2410" w:type="dxa"/>
            <w:shd w:val="clear" w:color="auto" w:fill="auto"/>
            <w:noWrap/>
            <w:vAlign w:val="bottom"/>
            <w:hideMark/>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w:t>
            </w:r>
            <w:r>
              <w:rPr>
                <w:rFonts w:cs="Arial"/>
                <w:sz w:val="16"/>
                <w:szCs w:val="16"/>
                <w:lang w:val="ru-RU" w:eastAsia="ru-RU"/>
              </w:rPr>
              <w:t>7 021</w:t>
            </w:r>
            <w:r w:rsidRPr="00294CD0">
              <w:rPr>
                <w:rFonts w:cs="Arial"/>
                <w:sz w:val="16"/>
                <w:szCs w:val="16"/>
                <w:lang w:val="ru-RU" w:eastAsia="ru-RU"/>
              </w:rPr>
              <w:t>)</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(5 513)</w:t>
            </w: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по другим операциям, в т.ч. по переводам денежных средств</w:t>
            </w:r>
          </w:p>
        </w:tc>
        <w:tc>
          <w:tcPr>
            <w:tcW w:w="2410" w:type="dxa"/>
            <w:shd w:val="clear" w:color="auto" w:fill="auto"/>
            <w:noWrap/>
            <w:vAlign w:val="bottom"/>
            <w:hideMark/>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w:t>
            </w:r>
            <w:r>
              <w:rPr>
                <w:rFonts w:cs="Arial"/>
                <w:sz w:val="16"/>
                <w:szCs w:val="16"/>
                <w:lang w:val="ru-RU" w:eastAsia="ru-RU"/>
              </w:rPr>
              <w:t>38 867</w:t>
            </w:r>
            <w:r w:rsidRPr="00294CD0">
              <w:rPr>
                <w:rFonts w:cs="Arial"/>
                <w:sz w:val="16"/>
                <w:szCs w:val="16"/>
                <w:lang w:val="ru-RU" w:eastAsia="ru-RU"/>
              </w:rPr>
              <w:t>)</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(34 486)</w:t>
            </w:r>
          </w:p>
        </w:tc>
      </w:tr>
      <w:tr w:rsidR="00646EB5" w:rsidRPr="00367D3E" w:rsidTr="00646EB5">
        <w:trPr>
          <w:trHeight w:val="300"/>
        </w:trPr>
        <w:tc>
          <w:tcPr>
            <w:tcW w:w="5260" w:type="dxa"/>
            <w:shd w:val="clear" w:color="auto" w:fill="auto"/>
            <w:vAlign w:val="bottom"/>
            <w:hideMark/>
          </w:tcPr>
          <w:p w:rsidR="00646EB5" w:rsidRPr="00294CD0" w:rsidRDefault="00646EB5" w:rsidP="00646EB5">
            <w:pPr>
              <w:overflowPunct/>
              <w:autoSpaceDE/>
              <w:autoSpaceDN/>
              <w:adjustRightInd/>
              <w:textAlignment w:val="auto"/>
              <w:rPr>
                <w:rFonts w:cs="Arial"/>
                <w:sz w:val="16"/>
                <w:szCs w:val="16"/>
                <w:lang w:val="ru-RU" w:eastAsia="ru-RU"/>
              </w:rPr>
            </w:pPr>
            <w:r w:rsidRPr="00294CD0">
              <w:rPr>
                <w:rFonts w:cs="Arial"/>
                <w:sz w:val="16"/>
                <w:szCs w:val="16"/>
                <w:lang w:val="ru-RU" w:eastAsia="ru-RU"/>
              </w:rPr>
              <w:t>за проведение операций с валютными ценностями</w:t>
            </w:r>
          </w:p>
        </w:tc>
        <w:tc>
          <w:tcPr>
            <w:tcW w:w="2410" w:type="dxa"/>
            <w:shd w:val="clear" w:color="auto" w:fill="auto"/>
            <w:noWrap/>
            <w:vAlign w:val="bottom"/>
            <w:hideMark/>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w:t>
            </w:r>
            <w:r>
              <w:rPr>
                <w:rFonts w:cs="Arial"/>
                <w:sz w:val="16"/>
                <w:szCs w:val="16"/>
                <w:lang w:val="ru-RU" w:eastAsia="ru-RU"/>
              </w:rPr>
              <w:t>8</w:t>
            </w:r>
            <w:r w:rsidRPr="00294CD0">
              <w:rPr>
                <w:rFonts w:cs="Arial"/>
                <w:sz w:val="16"/>
                <w:szCs w:val="16"/>
                <w:lang w:val="ru-RU" w:eastAsia="ru-RU"/>
              </w:rPr>
              <w:t>)</w:t>
            </w:r>
          </w:p>
        </w:tc>
        <w:tc>
          <w:tcPr>
            <w:tcW w:w="1701" w:type="dxa"/>
            <w:vAlign w:val="bottom"/>
          </w:tcPr>
          <w:p w:rsidR="00646EB5" w:rsidRPr="00294CD0" w:rsidRDefault="00646EB5" w:rsidP="00646EB5">
            <w:pPr>
              <w:overflowPunct/>
              <w:autoSpaceDE/>
              <w:autoSpaceDN/>
              <w:adjustRightInd/>
              <w:jc w:val="center"/>
              <w:textAlignment w:val="auto"/>
              <w:rPr>
                <w:rFonts w:cs="Arial"/>
                <w:sz w:val="16"/>
                <w:szCs w:val="16"/>
                <w:lang w:val="ru-RU" w:eastAsia="ru-RU"/>
              </w:rPr>
            </w:pPr>
            <w:r w:rsidRPr="00294CD0">
              <w:rPr>
                <w:rFonts w:cs="Arial"/>
                <w:sz w:val="16"/>
                <w:szCs w:val="16"/>
                <w:lang w:val="ru-RU" w:eastAsia="ru-RU"/>
              </w:rPr>
              <w:t>(22)</w:t>
            </w:r>
          </w:p>
        </w:tc>
      </w:tr>
      <w:tr w:rsidR="00646EB5" w:rsidRPr="00367D3E" w:rsidTr="00646EB5">
        <w:trPr>
          <w:trHeight w:val="300"/>
        </w:trPr>
        <w:tc>
          <w:tcPr>
            <w:tcW w:w="5260" w:type="dxa"/>
            <w:tcBorders>
              <w:bottom w:val="single" w:sz="4" w:space="0" w:color="auto"/>
            </w:tcBorders>
            <w:shd w:val="clear" w:color="auto" w:fill="auto"/>
            <w:vAlign w:val="bottom"/>
            <w:hideMark/>
          </w:tcPr>
          <w:p w:rsidR="00646EB5" w:rsidRPr="00294CD0" w:rsidRDefault="00646EB5" w:rsidP="00646EB5">
            <w:pPr>
              <w:overflowPunct/>
              <w:autoSpaceDE/>
              <w:autoSpaceDN/>
              <w:adjustRightInd/>
              <w:textAlignment w:val="auto"/>
              <w:rPr>
                <w:rFonts w:cs="Arial"/>
                <w:b/>
                <w:bCs/>
                <w:sz w:val="16"/>
                <w:szCs w:val="16"/>
                <w:lang w:val="ru-RU" w:eastAsia="ru-RU"/>
              </w:rPr>
            </w:pPr>
            <w:r w:rsidRPr="00294CD0">
              <w:rPr>
                <w:rFonts w:cs="Arial"/>
                <w:b/>
                <w:bCs/>
                <w:sz w:val="16"/>
                <w:szCs w:val="16"/>
                <w:lang w:val="ru-RU" w:eastAsia="ru-RU"/>
              </w:rPr>
              <w:t> Итого комиссионных расходов</w:t>
            </w:r>
          </w:p>
        </w:tc>
        <w:tc>
          <w:tcPr>
            <w:tcW w:w="2410" w:type="dxa"/>
            <w:tcBorders>
              <w:bottom w:val="single" w:sz="4" w:space="0" w:color="auto"/>
            </w:tcBorders>
            <w:shd w:val="clear" w:color="auto" w:fill="auto"/>
            <w:noWrap/>
            <w:vAlign w:val="bottom"/>
            <w:hideMark/>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w:t>
            </w:r>
            <w:r>
              <w:rPr>
                <w:rFonts w:cs="Arial"/>
                <w:b/>
                <w:bCs/>
                <w:sz w:val="16"/>
                <w:szCs w:val="16"/>
                <w:lang w:val="ru-RU" w:eastAsia="ru-RU"/>
              </w:rPr>
              <w:t>45 896</w:t>
            </w:r>
            <w:r w:rsidRPr="00294CD0">
              <w:rPr>
                <w:rFonts w:cs="Arial"/>
                <w:b/>
                <w:bCs/>
                <w:sz w:val="16"/>
                <w:szCs w:val="16"/>
                <w:lang w:val="ru-RU" w:eastAsia="ru-RU"/>
              </w:rPr>
              <w:t>)</w:t>
            </w:r>
          </w:p>
        </w:tc>
        <w:tc>
          <w:tcPr>
            <w:tcW w:w="1701" w:type="dxa"/>
            <w:tcBorders>
              <w:bottom w:val="single" w:sz="4" w:space="0" w:color="auto"/>
            </w:tcBorders>
            <w:vAlign w:val="bottom"/>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w:t>
            </w:r>
            <w:r>
              <w:rPr>
                <w:rFonts w:cs="Arial"/>
                <w:b/>
                <w:bCs/>
                <w:sz w:val="16"/>
                <w:szCs w:val="16"/>
                <w:lang w:val="ru-RU" w:eastAsia="ru-RU"/>
              </w:rPr>
              <w:t>40 021</w:t>
            </w:r>
            <w:r w:rsidRPr="00294CD0">
              <w:rPr>
                <w:rFonts w:cs="Arial"/>
                <w:b/>
                <w:bCs/>
                <w:sz w:val="16"/>
                <w:szCs w:val="16"/>
                <w:lang w:val="ru-RU" w:eastAsia="ru-RU"/>
              </w:rPr>
              <w:t>)</w:t>
            </w:r>
          </w:p>
        </w:tc>
      </w:tr>
      <w:tr w:rsidR="00646EB5" w:rsidRPr="00367D3E" w:rsidTr="00646EB5">
        <w:trPr>
          <w:trHeight w:val="300"/>
        </w:trPr>
        <w:tc>
          <w:tcPr>
            <w:tcW w:w="5260" w:type="dxa"/>
            <w:tcBorders>
              <w:top w:val="single" w:sz="4" w:space="0" w:color="auto"/>
              <w:bottom w:val="double" w:sz="4" w:space="0" w:color="auto"/>
            </w:tcBorders>
            <w:shd w:val="clear" w:color="auto" w:fill="auto"/>
            <w:vAlign w:val="bottom"/>
            <w:hideMark/>
          </w:tcPr>
          <w:p w:rsidR="00646EB5" w:rsidRPr="00294CD0" w:rsidRDefault="00646EB5" w:rsidP="00646EB5">
            <w:pPr>
              <w:overflowPunct/>
              <w:autoSpaceDE/>
              <w:autoSpaceDN/>
              <w:adjustRightInd/>
              <w:textAlignment w:val="auto"/>
              <w:rPr>
                <w:rFonts w:cs="Arial"/>
                <w:b/>
                <w:bCs/>
                <w:sz w:val="16"/>
                <w:szCs w:val="16"/>
                <w:lang w:val="ru-RU" w:eastAsia="ru-RU"/>
              </w:rPr>
            </w:pPr>
            <w:r w:rsidRPr="00294CD0">
              <w:rPr>
                <w:rFonts w:cs="Arial"/>
                <w:b/>
                <w:bCs/>
                <w:sz w:val="16"/>
                <w:szCs w:val="16"/>
                <w:lang w:val="ru-RU" w:eastAsia="ru-RU"/>
              </w:rPr>
              <w:t> Чистые комиссионные доходы (расходы)</w:t>
            </w:r>
          </w:p>
        </w:tc>
        <w:tc>
          <w:tcPr>
            <w:tcW w:w="2410" w:type="dxa"/>
            <w:tcBorders>
              <w:top w:val="single" w:sz="4" w:space="0" w:color="auto"/>
              <w:bottom w:val="double" w:sz="4" w:space="0" w:color="auto"/>
            </w:tcBorders>
            <w:shd w:val="clear" w:color="auto" w:fill="auto"/>
            <w:noWrap/>
            <w:vAlign w:val="bottom"/>
            <w:hideMark/>
          </w:tcPr>
          <w:p w:rsidR="00646EB5" w:rsidRPr="00294CD0"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309 045</w:t>
            </w:r>
          </w:p>
        </w:tc>
        <w:tc>
          <w:tcPr>
            <w:tcW w:w="1701" w:type="dxa"/>
            <w:tcBorders>
              <w:top w:val="single" w:sz="4" w:space="0" w:color="auto"/>
              <w:bottom w:val="double" w:sz="4" w:space="0" w:color="auto"/>
            </w:tcBorders>
            <w:vAlign w:val="bottom"/>
          </w:tcPr>
          <w:p w:rsidR="00646EB5" w:rsidRPr="00294CD0" w:rsidRDefault="00646EB5" w:rsidP="00646EB5">
            <w:pPr>
              <w:overflowPunct/>
              <w:autoSpaceDE/>
              <w:autoSpaceDN/>
              <w:adjustRightInd/>
              <w:jc w:val="center"/>
              <w:textAlignment w:val="auto"/>
              <w:rPr>
                <w:rFonts w:cs="Arial"/>
                <w:b/>
                <w:bCs/>
                <w:sz w:val="16"/>
                <w:szCs w:val="16"/>
                <w:lang w:val="ru-RU" w:eastAsia="ru-RU"/>
              </w:rPr>
            </w:pPr>
            <w:r w:rsidRPr="00294CD0">
              <w:rPr>
                <w:rFonts w:cs="Arial"/>
                <w:b/>
                <w:bCs/>
                <w:sz w:val="16"/>
                <w:szCs w:val="16"/>
                <w:lang w:val="ru-RU" w:eastAsia="ru-RU"/>
              </w:rPr>
              <w:t>304 769</w:t>
            </w:r>
          </w:p>
        </w:tc>
      </w:tr>
    </w:tbl>
    <w:p w:rsidR="00646EB5" w:rsidRPr="00547380" w:rsidRDefault="00646EB5" w:rsidP="00646EB5">
      <w:pPr>
        <w:jc w:val="both"/>
        <w:rPr>
          <w:rFonts w:cs="Arial"/>
          <w:b/>
          <w:sz w:val="20"/>
          <w:szCs w:val="20"/>
          <w:lang w:val="ru-RU"/>
        </w:rPr>
      </w:pPr>
      <w:r w:rsidRPr="00547380">
        <w:rPr>
          <w:rFonts w:cs="Arial"/>
          <w:b/>
          <w:sz w:val="20"/>
          <w:szCs w:val="20"/>
          <w:lang w:val="ru-RU"/>
        </w:rPr>
        <w:t>Прочие операционные доходы</w:t>
      </w:r>
    </w:p>
    <w:p w:rsidR="00646EB5" w:rsidRPr="00547380" w:rsidRDefault="00646EB5" w:rsidP="00646EB5">
      <w:pPr>
        <w:jc w:val="both"/>
        <w:rPr>
          <w:rFonts w:cs="Arial"/>
          <w:b/>
          <w:sz w:val="20"/>
          <w:szCs w:val="20"/>
          <w:lang w:val="ru-RU"/>
        </w:rPr>
      </w:pPr>
    </w:p>
    <w:tbl>
      <w:tblPr>
        <w:tblW w:w="9513" w:type="dxa"/>
        <w:tblInd w:w="93" w:type="dxa"/>
        <w:tblLook w:val="04A0" w:firstRow="1" w:lastRow="0" w:firstColumn="1" w:lastColumn="0" w:noHBand="0" w:noVBand="1"/>
      </w:tblPr>
      <w:tblGrid>
        <w:gridCol w:w="5402"/>
        <w:gridCol w:w="2268"/>
        <w:gridCol w:w="1843"/>
      </w:tblGrid>
      <w:tr w:rsidR="00646EB5" w:rsidRPr="00367D3E" w:rsidTr="00646EB5">
        <w:trPr>
          <w:trHeight w:val="300"/>
          <w:tblHeader/>
        </w:trPr>
        <w:tc>
          <w:tcPr>
            <w:tcW w:w="5402" w:type="dxa"/>
            <w:tcBorders>
              <w:top w:val="single" w:sz="4" w:space="0" w:color="auto"/>
              <w:bottom w:val="single" w:sz="4" w:space="0" w:color="auto"/>
            </w:tcBorders>
            <w:shd w:val="clear" w:color="auto" w:fill="auto"/>
            <w:vAlign w:val="center"/>
            <w:hideMark/>
          </w:tcPr>
          <w:p w:rsidR="00646EB5" w:rsidRPr="00547380" w:rsidRDefault="00646EB5" w:rsidP="00646EB5">
            <w:pPr>
              <w:overflowPunct/>
              <w:autoSpaceDE/>
              <w:autoSpaceDN/>
              <w:adjustRightInd/>
              <w:jc w:val="center"/>
              <w:textAlignment w:val="auto"/>
              <w:rPr>
                <w:rFonts w:cs="Arial"/>
                <w:b/>
                <w:bCs/>
                <w:sz w:val="16"/>
                <w:szCs w:val="16"/>
                <w:lang w:val="ru-RU" w:eastAsia="ru-RU"/>
              </w:rPr>
            </w:pPr>
          </w:p>
        </w:tc>
        <w:tc>
          <w:tcPr>
            <w:tcW w:w="2268" w:type="dxa"/>
            <w:tcBorders>
              <w:top w:val="single" w:sz="4" w:space="0" w:color="auto"/>
              <w:bottom w:val="single" w:sz="4" w:space="0" w:color="auto"/>
            </w:tcBorders>
            <w:shd w:val="clear" w:color="auto" w:fill="auto"/>
            <w:noWrap/>
            <w:vAlign w:val="center"/>
            <w:hideMark/>
          </w:tcPr>
          <w:p w:rsidR="00646EB5" w:rsidRPr="00547380" w:rsidRDefault="00646EB5" w:rsidP="00646EB5">
            <w:pPr>
              <w:overflowPunct/>
              <w:autoSpaceDE/>
              <w:autoSpaceDN/>
              <w:adjustRightInd/>
              <w:jc w:val="center"/>
              <w:textAlignment w:val="auto"/>
              <w:rPr>
                <w:rFonts w:cs="Arial"/>
                <w:b/>
                <w:bCs/>
                <w:sz w:val="16"/>
                <w:szCs w:val="16"/>
                <w:lang w:val="ru-RU" w:eastAsia="ru-RU"/>
              </w:rPr>
            </w:pPr>
            <w:r w:rsidRPr="00547380">
              <w:rPr>
                <w:rFonts w:cs="Arial"/>
                <w:b/>
                <w:bCs/>
                <w:sz w:val="16"/>
                <w:szCs w:val="16"/>
                <w:lang w:val="ru-RU" w:eastAsia="ru-RU"/>
              </w:rPr>
              <w:t>201</w:t>
            </w:r>
            <w:r>
              <w:rPr>
                <w:rFonts w:cs="Arial"/>
                <w:b/>
                <w:bCs/>
                <w:sz w:val="16"/>
                <w:szCs w:val="16"/>
                <w:lang w:val="ru-RU" w:eastAsia="ru-RU"/>
              </w:rPr>
              <w:t>8</w:t>
            </w:r>
            <w:r w:rsidRPr="00547380">
              <w:rPr>
                <w:rFonts w:cs="Arial"/>
                <w:b/>
                <w:bCs/>
                <w:sz w:val="16"/>
                <w:szCs w:val="16"/>
                <w:lang w:val="ru-RU" w:eastAsia="ru-RU"/>
              </w:rPr>
              <w:t xml:space="preserve"> год</w:t>
            </w:r>
          </w:p>
        </w:tc>
        <w:tc>
          <w:tcPr>
            <w:tcW w:w="1843" w:type="dxa"/>
            <w:tcBorders>
              <w:top w:val="single" w:sz="4" w:space="0" w:color="auto"/>
              <w:bottom w:val="single" w:sz="4" w:space="0" w:color="auto"/>
            </w:tcBorders>
            <w:vAlign w:val="center"/>
          </w:tcPr>
          <w:p w:rsidR="00646EB5" w:rsidRPr="00547380" w:rsidRDefault="00646EB5" w:rsidP="00646EB5">
            <w:pPr>
              <w:overflowPunct/>
              <w:autoSpaceDE/>
              <w:autoSpaceDN/>
              <w:adjustRightInd/>
              <w:jc w:val="center"/>
              <w:textAlignment w:val="auto"/>
              <w:rPr>
                <w:rFonts w:cs="Arial"/>
                <w:b/>
                <w:bCs/>
                <w:sz w:val="16"/>
                <w:szCs w:val="16"/>
                <w:lang w:val="ru-RU" w:eastAsia="ru-RU"/>
              </w:rPr>
            </w:pPr>
            <w:r w:rsidRPr="00547380">
              <w:rPr>
                <w:rFonts w:cs="Arial"/>
                <w:b/>
                <w:bCs/>
                <w:sz w:val="16"/>
                <w:szCs w:val="16"/>
                <w:lang w:val="ru-RU" w:eastAsia="ru-RU"/>
              </w:rPr>
              <w:t>2017 год</w:t>
            </w:r>
          </w:p>
        </w:tc>
      </w:tr>
      <w:tr w:rsidR="00646EB5" w:rsidRPr="00367D3E" w:rsidTr="00646EB5">
        <w:trPr>
          <w:trHeight w:val="300"/>
        </w:trPr>
        <w:tc>
          <w:tcPr>
            <w:tcW w:w="5402" w:type="dxa"/>
            <w:tcBorders>
              <w:top w:val="single" w:sz="4" w:space="0" w:color="auto"/>
            </w:tcBorders>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(кроме процентных) от операций с предоставленными кредитами и кредитами, права требования по которым приобретены</w:t>
            </w:r>
          </w:p>
        </w:tc>
        <w:tc>
          <w:tcPr>
            <w:tcW w:w="2268" w:type="dxa"/>
            <w:tcBorders>
              <w:top w:val="single" w:sz="4" w:space="0" w:color="auto"/>
            </w:tcBorders>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22 464</w:t>
            </w:r>
          </w:p>
        </w:tc>
        <w:tc>
          <w:tcPr>
            <w:tcW w:w="1843" w:type="dxa"/>
            <w:tcBorders>
              <w:top w:val="single" w:sz="4" w:space="0" w:color="auto"/>
            </w:tcBorders>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12 824</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операций по привлеченным депозитам юридических лиц</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32</w:t>
            </w:r>
          </w:p>
        </w:tc>
        <w:tc>
          <w:tcPr>
            <w:tcW w:w="1843" w:type="dxa"/>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81</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операций по привлеченным депозитам клиентов-физических лиц</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7 893</w:t>
            </w:r>
          </w:p>
        </w:tc>
        <w:tc>
          <w:tcPr>
            <w:tcW w:w="1843" w:type="dxa"/>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9 902</w:t>
            </w:r>
          </w:p>
        </w:tc>
      </w:tr>
      <w:tr w:rsidR="00646EB5" w:rsidRPr="00340138"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t>Доходы по выпущенным долговым ценным бумагам</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1</w:t>
            </w:r>
          </w:p>
        </w:tc>
        <w:tc>
          <w:tcPr>
            <w:tcW w:w="1843" w:type="dxa"/>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оказания консультационных и информационных услуг</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21 159</w:t>
            </w:r>
          </w:p>
        </w:tc>
        <w:tc>
          <w:tcPr>
            <w:tcW w:w="1843" w:type="dxa"/>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19 336</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предоставления в аренду специальных помещений и сейфов для хранения документов и ценностей</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277</w:t>
            </w:r>
          </w:p>
        </w:tc>
        <w:tc>
          <w:tcPr>
            <w:tcW w:w="1843" w:type="dxa"/>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291</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сдачи имущества в аренду</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5 275</w:t>
            </w:r>
          </w:p>
        </w:tc>
        <w:tc>
          <w:tcPr>
            <w:tcW w:w="1843" w:type="dxa"/>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4 566</w:t>
            </w:r>
          </w:p>
        </w:tc>
      </w:tr>
      <w:tr w:rsidR="00646EB5" w:rsidRPr="00367D3E" w:rsidTr="00646EB5">
        <w:trPr>
          <w:trHeight w:val="300"/>
        </w:trPr>
        <w:tc>
          <w:tcPr>
            <w:tcW w:w="5402" w:type="dxa"/>
            <w:shd w:val="clear" w:color="auto" w:fill="auto"/>
            <w:vAlign w:val="bottom"/>
          </w:tcPr>
          <w:p w:rsidR="00646EB5" w:rsidRPr="00367D3E" w:rsidRDefault="00646EB5" w:rsidP="00646EB5">
            <w:pPr>
              <w:overflowPunct/>
              <w:autoSpaceDE/>
              <w:autoSpaceDN/>
              <w:adjustRightInd/>
              <w:textAlignment w:val="auto"/>
              <w:rPr>
                <w:rFonts w:cs="Arial"/>
                <w:color w:val="000000"/>
                <w:sz w:val="16"/>
                <w:szCs w:val="16"/>
                <w:highlight w:val="yellow"/>
                <w:lang w:val="ru-RU"/>
              </w:rPr>
            </w:pPr>
            <w:r w:rsidRPr="005F2EA0">
              <w:rPr>
                <w:rFonts w:cs="Arial"/>
                <w:color w:val="000000"/>
                <w:sz w:val="16"/>
                <w:szCs w:val="16"/>
                <w:lang w:val="ru-RU"/>
              </w:rPr>
              <w:t xml:space="preserve">Неустойки (штрафы, пени) по другим банковским операциям и сделкам </w:t>
            </w:r>
          </w:p>
        </w:tc>
        <w:tc>
          <w:tcPr>
            <w:tcW w:w="2268" w:type="dxa"/>
            <w:shd w:val="clear" w:color="auto" w:fill="auto"/>
            <w:noWrap/>
            <w:vAlign w:val="bottom"/>
          </w:tcPr>
          <w:p w:rsidR="00646EB5" w:rsidRPr="00367D3E" w:rsidRDefault="00646EB5" w:rsidP="00646EB5">
            <w:pPr>
              <w:jc w:val="center"/>
              <w:rPr>
                <w:rFonts w:cs="Arial"/>
                <w:bCs/>
                <w:sz w:val="16"/>
                <w:szCs w:val="16"/>
                <w:highlight w:val="yellow"/>
                <w:lang w:val="ru-RU" w:eastAsia="ru-RU"/>
              </w:rPr>
            </w:pPr>
            <w:r w:rsidRPr="00340138">
              <w:rPr>
                <w:rFonts w:cs="Arial"/>
                <w:bCs/>
                <w:sz w:val="16"/>
                <w:szCs w:val="16"/>
                <w:lang w:val="ru-RU" w:eastAsia="ru-RU"/>
              </w:rPr>
              <w:t>436</w:t>
            </w:r>
          </w:p>
        </w:tc>
        <w:tc>
          <w:tcPr>
            <w:tcW w:w="1843" w:type="dxa"/>
            <w:vAlign w:val="bottom"/>
          </w:tcPr>
          <w:p w:rsidR="00646EB5" w:rsidRPr="00367D3E" w:rsidRDefault="00646EB5" w:rsidP="00646EB5">
            <w:pPr>
              <w:jc w:val="center"/>
              <w:rPr>
                <w:rFonts w:cs="Arial"/>
                <w:bCs/>
                <w:sz w:val="16"/>
                <w:szCs w:val="16"/>
                <w:highlight w:val="yellow"/>
                <w:lang w:val="ru-RU" w:eastAsia="ru-RU"/>
              </w:rPr>
            </w:pPr>
            <w:r w:rsidRPr="005F2EA0">
              <w:rPr>
                <w:rFonts w:cs="Arial"/>
                <w:bCs/>
                <w:sz w:val="16"/>
                <w:szCs w:val="16"/>
                <w:lang w:val="ru-RU" w:eastAsia="ru-RU"/>
              </w:rPr>
              <w:t>18</w:t>
            </w:r>
          </w:p>
        </w:tc>
      </w:tr>
      <w:tr w:rsidR="00646EB5" w:rsidRPr="00367D3E"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sidRPr="005F2EA0">
              <w:rPr>
                <w:rFonts w:cs="Arial"/>
                <w:color w:val="000000"/>
                <w:sz w:val="16"/>
                <w:szCs w:val="16"/>
                <w:lang w:val="ru-RU"/>
              </w:rPr>
              <w:t>Доходы от сдачи в аренду недвижимости, временно неиспользуемой в основной деятельности</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5F2EA0" w:rsidRDefault="00646EB5" w:rsidP="00646EB5">
            <w:pPr>
              <w:jc w:val="center"/>
              <w:rPr>
                <w:rFonts w:cs="Arial"/>
                <w:bCs/>
                <w:sz w:val="16"/>
                <w:szCs w:val="16"/>
                <w:lang w:val="ru-RU" w:eastAsia="ru-RU"/>
              </w:rPr>
            </w:pPr>
            <w:r w:rsidRPr="005F2EA0">
              <w:rPr>
                <w:rFonts w:cs="Arial"/>
                <w:bCs/>
                <w:sz w:val="16"/>
                <w:szCs w:val="16"/>
                <w:lang w:val="ru-RU" w:eastAsia="ru-RU"/>
              </w:rPr>
              <w:t>149</w:t>
            </w:r>
          </w:p>
        </w:tc>
      </w:tr>
      <w:tr w:rsidR="00646EB5" w:rsidRPr="00547380" w:rsidTr="00646EB5">
        <w:trPr>
          <w:trHeight w:val="300"/>
        </w:trPr>
        <w:tc>
          <w:tcPr>
            <w:tcW w:w="5402" w:type="dxa"/>
            <w:shd w:val="clear" w:color="auto" w:fill="auto"/>
            <w:vAlign w:val="bottom"/>
          </w:tcPr>
          <w:p w:rsidR="00646EB5" w:rsidRPr="005F2EA0"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t xml:space="preserve">Доходы от восстановления убытков от обесценения </w:t>
            </w:r>
            <w:r w:rsidRPr="005F2EA0">
              <w:rPr>
                <w:rFonts w:cs="Arial"/>
                <w:color w:val="000000"/>
                <w:sz w:val="16"/>
                <w:szCs w:val="16"/>
                <w:lang w:val="ru-RU"/>
              </w:rPr>
              <w:t>недвижимости, временно неиспользуемой в основной деятельности</w:t>
            </w:r>
          </w:p>
        </w:tc>
        <w:tc>
          <w:tcPr>
            <w:tcW w:w="2268" w:type="dxa"/>
            <w:shd w:val="clear" w:color="auto" w:fill="auto"/>
            <w:noWrap/>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81</w:t>
            </w:r>
          </w:p>
        </w:tc>
        <w:tc>
          <w:tcPr>
            <w:tcW w:w="1843" w:type="dxa"/>
            <w:vAlign w:val="bottom"/>
          </w:tcPr>
          <w:p w:rsidR="00646EB5" w:rsidRPr="005F2EA0" w:rsidRDefault="00646EB5" w:rsidP="00646EB5">
            <w:pPr>
              <w:jc w:val="center"/>
              <w:rPr>
                <w:rFonts w:cs="Arial"/>
                <w:bCs/>
                <w:sz w:val="16"/>
                <w:szCs w:val="16"/>
                <w:lang w:val="ru-RU" w:eastAsia="ru-RU"/>
              </w:rPr>
            </w:pPr>
            <w:r>
              <w:rPr>
                <w:rFonts w:cs="Arial"/>
                <w:bCs/>
                <w:sz w:val="16"/>
                <w:szCs w:val="16"/>
                <w:lang w:val="ru-RU" w:eastAsia="ru-RU"/>
              </w:rPr>
              <w:t>393</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от выбытия (реализации) долгосрочных активов, предназначенных для продажи</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6 373</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469</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прошлых лет, выявленные в отчетном году</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5</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9</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от выбытия (реализации) основных средств</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903</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w:t>
            </w:r>
          </w:p>
        </w:tc>
      </w:tr>
      <w:tr w:rsidR="00646EB5" w:rsidRPr="00547380"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от дооценки основных средств после их уценки</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613</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b/>
                <w:color w:val="000000"/>
                <w:sz w:val="16"/>
                <w:szCs w:val="16"/>
                <w:lang w:val="ru-RU"/>
              </w:rPr>
            </w:pPr>
            <w:r w:rsidRPr="00547380">
              <w:rPr>
                <w:rFonts w:cs="Arial"/>
                <w:b/>
                <w:color w:val="000000"/>
                <w:sz w:val="16"/>
                <w:szCs w:val="16"/>
                <w:lang w:val="ru-RU"/>
              </w:rPr>
              <w:t>Доходы от корректировки обязательств по выплате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rsidR="00646EB5" w:rsidRPr="00547380" w:rsidRDefault="00646EB5" w:rsidP="00646EB5">
            <w:pPr>
              <w:jc w:val="center"/>
              <w:rPr>
                <w:rFonts w:cs="Arial"/>
                <w:b/>
                <w:bCs/>
                <w:sz w:val="16"/>
                <w:szCs w:val="16"/>
                <w:lang w:val="ru-RU" w:eastAsia="ru-RU"/>
              </w:rPr>
            </w:pPr>
            <w:r>
              <w:rPr>
                <w:rFonts w:cs="Arial"/>
                <w:b/>
                <w:bCs/>
                <w:sz w:val="16"/>
                <w:szCs w:val="16"/>
                <w:lang w:val="ru-RU" w:eastAsia="ru-RU"/>
              </w:rPr>
              <w:t>133</w:t>
            </w:r>
          </w:p>
        </w:tc>
        <w:tc>
          <w:tcPr>
            <w:tcW w:w="1843" w:type="dxa"/>
            <w:vAlign w:val="bottom"/>
          </w:tcPr>
          <w:p w:rsidR="00646EB5" w:rsidRPr="00547380" w:rsidRDefault="00646EB5" w:rsidP="00646EB5">
            <w:pPr>
              <w:jc w:val="center"/>
              <w:rPr>
                <w:rFonts w:cs="Arial"/>
                <w:b/>
                <w:bCs/>
                <w:sz w:val="16"/>
                <w:szCs w:val="16"/>
                <w:lang w:val="ru-RU" w:eastAsia="ru-RU"/>
              </w:rPr>
            </w:pPr>
            <w:r w:rsidRPr="00547380">
              <w:rPr>
                <w:rFonts w:cs="Arial"/>
                <w:b/>
                <w:bCs/>
                <w:sz w:val="16"/>
                <w:szCs w:val="16"/>
                <w:lang w:val="ru-RU" w:eastAsia="ru-RU"/>
              </w:rPr>
              <w:t>141</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b/>
                <w:color w:val="000000"/>
                <w:sz w:val="16"/>
                <w:szCs w:val="16"/>
                <w:lang w:val="ru-RU"/>
              </w:rPr>
            </w:pPr>
            <w:r w:rsidRPr="00547380">
              <w:rPr>
                <w:rFonts w:cs="Arial"/>
                <w:b/>
                <w:color w:val="000000"/>
                <w:sz w:val="16"/>
                <w:szCs w:val="16"/>
                <w:lang w:val="ru-RU"/>
              </w:rPr>
              <w:t>Доходы от корректировки обязательств по оплате страховых взносов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rsidR="00646EB5" w:rsidRPr="00547380" w:rsidRDefault="00646EB5" w:rsidP="00646EB5">
            <w:pPr>
              <w:jc w:val="center"/>
              <w:rPr>
                <w:rFonts w:cs="Arial"/>
                <w:b/>
                <w:bCs/>
                <w:sz w:val="16"/>
                <w:szCs w:val="16"/>
                <w:lang w:val="ru-RU" w:eastAsia="ru-RU"/>
              </w:rPr>
            </w:pPr>
            <w:r>
              <w:rPr>
                <w:rFonts w:cs="Arial"/>
                <w:b/>
                <w:bCs/>
                <w:sz w:val="16"/>
                <w:szCs w:val="16"/>
                <w:lang w:val="ru-RU" w:eastAsia="ru-RU"/>
              </w:rPr>
              <w:t>67</w:t>
            </w:r>
          </w:p>
        </w:tc>
        <w:tc>
          <w:tcPr>
            <w:tcW w:w="1843" w:type="dxa"/>
            <w:vAlign w:val="bottom"/>
          </w:tcPr>
          <w:p w:rsidR="00646EB5" w:rsidRPr="00547380" w:rsidRDefault="00646EB5" w:rsidP="00646EB5">
            <w:pPr>
              <w:jc w:val="center"/>
              <w:rPr>
                <w:rFonts w:cs="Arial"/>
                <w:b/>
                <w:bCs/>
                <w:sz w:val="16"/>
                <w:szCs w:val="16"/>
                <w:lang w:val="ru-RU" w:eastAsia="ru-RU"/>
              </w:rPr>
            </w:pPr>
            <w:r w:rsidRPr="00547380">
              <w:rPr>
                <w:rFonts w:cs="Arial"/>
                <w:b/>
                <w:bCs/>
                <w:sz w:val="16"/>
                <w:szCs w:val="16"/>
                <w:lang w:val="ru-RU" w:eastAsia="ru-RU"/>
              </w:rPr>
              <w:t>92</w:t>
            </w:r>
          </w:p>
        </w:tc>
      </w:tr>
      <w:tr w:rsidR="00646EB5" w:rsidRPr="00340138"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lastRenderedPageBreak/>
              <w:t>Неустойки (штрафы, пени) по прочим (хозяйственным) операциям</w:t>
            </w:r>
          </w:p>
        </w:tc>
        <w:tc>
          <w:tcPr>
            <w:tcW w:w="2268" w:type="dxa"/>
            <w:shd w:val="clear" w:color="auto" w:fill="auto"/>
            <w:noWrap/>
            <w:vAlign w:val="bottom"/>
          </w:tcPr>
          <w:p w:rsidR="00646EB5" w:rsidRDefault="00646EB5" w:rsidP="00646EB5">
            <w:pPr>
              <w:jc w:val="center"/>
              <w:rPr>
                <w:rFonts w:cs="Arial"/>
                <w:bCs/>
                <w:sz w:val="16"/>
                <w:szCs w:val="16"/>
                <w:lang w:val="ru-RU" w:eastAsia="ru-RU"/>
              </w:rPr>
            </w:pPr>
            <w:r>
              <w:rPr>
                <w:rFonts w:cs="Arial"/>
                <w:bCs/>
                <w:sz w:val="16"/>
                <w:szCs w:val="16"/>
                <w:lang w:val="ru-RU" w:eastAsia="ru-RU"/>
              </w:rPr>
              <w:t>50</w:t>
            </w:r>
          </w:p>
        </w:tc>
        <w:tc>
          <w:tcPr>
            <w:tcW w:w="1843" w:type="dxa"/>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Поступления в возмещение причиненных убытков, в том числе страховое возмещение от страховщиков</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81</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от оприходования излишков денежной наличности</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98</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76</w:t>
            </w:r>
          </w:p>
        </w:tc>
      </w:tr>
      <w:tr w:rsidR="00646EB5" w:rsidRPr="00367D3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Доходы от списания обязательств и невостребованной кредиторской задолженности</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972</w:t>
            </w:r>
          </w:p>
        </w:tc>
        <w:tc>
          <w:tcPr>
            <w:tcW w:w="1843" w:type="dxa"/>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4 288</w:t>
            </w:r>
          </w:p>
        </w:tc>
      </w:tr>
      <w:tr w:rsidR="00646EB5" w:rsidRPr="00367D3E" w:rsidTr="00646EB5">
        <w:trPr>
          <w:trHeight w:val="300"/>
        </w:trPr>
        <w:tc>
          <w:tcPr>
            <w:tcW w:w="5402" w:type="dxa"/>
            <w:tcBorders>
              <w:bottom w:val="single" w:sz="4" w:space="0" w:color="auto"/>
            </w:tcBorders>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rPr>
              <w:t>Прочие</w:t>
            </w:r>
            <w:r w:rsidRPr="00547380">
              <w:rPr>
                <w:rFonts w:cs="Arial"/>
                <w:color w:val="000000"/>
                <w:sz w:val="16"/>
                <w:szCs w:val="16"/>
                <w:lang w:val="ru-RU"/>
              </w:rPr>
              <w:t xml:space="preserve"> </w:t>
            </w:r>
            <w:r w:rsidRPr="00547380">
              <w:rPr>
                <w:rFonts w:cs="Arial"/>
                <w:color w:val="000000"/>
                <w:sz w:val="16"/>
                <w:szCs w:val="16"/>
              </w:rPr>
              <w:t>доходы</w:t>
            </w:r>
          </w:p>
        </w:tc>
        <w:tc>
          <w:tcPr>
            <w:tcW w:w="2268" w:type="dxa"/>
            <w:tcBorders>
              <w:bottom w:val="single" w:sz="4" w:space="0" w:color="auto"/>
            </w:tcBorders>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1 797</w:t>
            </w:r>
          </w:p>
        </w:tc>
        <w:tc>
          <w:tcPr>
            <w:tcW w:w="1843" w:type="dxa"/>
            <w:tcBorders>
              <w:bottom w:val="single" w:sz="4" w:space="0" w:color="auto"/>
            </w:tcBorders>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1 419</w:t>
            </w:r>
          </w:p>
        </w:tc>
      </w:tr>
      <w:tr w:rsidR="00646EB5" w:rsidRPr="00367D3E" w:rsidTr="00646EB5">
        <w:trPr>
          <w:trHeight w:val="300"/>
        </w:trPr>
        <w:tc>
          <w:tcPr>
            <w:tcW w:w="5402" w:type="dxa"/>
            <w:tcBorders>
              <w:top w:val="single" w:sz="4" w:space="0" w:color="auto"/>
              <w:bottom w:val="double" w:sz="4" w:space="0" w:color="auto"/>
            </w:tcBorders>
            <w:shd w:val="clear" w:color="auto" w:fill="auto"/>
            <w:vAlign w:val="center"/>
          </w:tcPr>
          <w:p w:rsidR="00646EB5" w:rsidRPr="00547380" w:rsidRDefault="00646EB5" w:rsidP="00646EB5">
            <w:pPr>
              <w:overflowPunct/>
              <w:autoSpaceDE/>
              <w:autoSpaceDN/>
              <w:adjustRightInd/>
              <w:textAlignment w:val="auto"/>
              <w:rPr>
                <w:rFonts w:cs="Arial"/>
                <w:b/>
                <w:color w:val="000000"/>
                <w:sz w:val="16"/>
                <w:szCs w:val="16"/>
                <w:lang w:val="ru-RU"/>
              </w:rPr>
            </w:pPr>
            <w:r w:rsidRPr="00547380">
              <w:rPr>
                <w:rFonts w:cs="Arial"/>
                <w:b/>
                <w:color w:val="000000"/>
                <w:sz w:val="16"/>
                <w:szCs w:val="16"/>
                <w:lang w:val="ru-RU"/>
              </w:rPr>
              <w:t>Итого прочих операционных доходов</w:t>
            </w:r>
          </w:p>
        </w:tc>
        <w:tc>
          <w:tcPr>
            <w:tcW w:w="2268" w:type="dxa"/>
            <w:tcBorders>
              <w:top w:val="single" w:sz="4" w:space="0" w:color="auto"/>
              <w:bottom w:val="double" w:sz="4" w:space="0" w:color="auto"/>
            </w:tcBorders>
            <w:shd w:val="clear" w:color="auto" w:fill="auto"/>
            <w:noWrap/>
            <w:vAlign w:val="center"/>
          </w:tcPr>
          <w:p w:rsidR="00646EB5" w:rsidRPr="00547380" w:rsidRDefault="00646EB5" w:rsidP="00646EB5">
            <w:pPr>
              <w:jc w:val="center"/>
              <w:rPr>
                <w:rFonts w:cs="Arial"/>
                <w:b/>
                <w:bCs/>
                <w:sz w:val="16"/>
                <w:szCs w:val="16"/>
                <w:lang w:val="ru-RU" w:eastAsia="ru-RU"/>
              </w:rPr>
            </w:pPr>
            <w:r>
              <w:rPr>
                <w:rFonts w:cs="Arial"/>
                <w:b/>
                <w:bCs/>
                <w:sz w:val="16"/>
                <w:szCs w:val="16"/>
                <w:lang w:val="ru-RU" w:eastAsia="ru-RU"/>
              </w:rPr>
              <w:t>68 097</w:t>
            </w:r>
          </w:p>
        </w:tc>
        <w:tc>
          <w:tcPr>
            <w:tcW w:w="1843" w:type="dxa"/>
            <w:tcBorders>
              <w:top w:val="single" w:sz="4" w:space="0" w:color="auto"/>
              <w:bottom w:val="double" w:sz="4" w:space="0" w:color="auto"/>
            </w:tcBorders>
            <w:vAlign w:val="center"/>
          </w:tcPr>
          <w:p w:rsidR="00646EB5" w:rsidRPr="00547380" w:rsidRDefault="00646EB5" w:rsidP="00646EB5">
            <w:pPr>
              <w:jc w:val="center"/>
              <w:rPr>
                <w:rFonts w:cs="Arial"/>
                <w:b/>
                <w:bCs/>
                <w:sz w:val="16"/>
                <w:szCs w:val="16"/>
                <w:lang w:val="ru-RU" w:eastAsia="ru-RU"/>
              </w:rPr>
            </w:pPr>
            <w:r w:rsidRPr="00547380">
              <w:rPr>
                <w:rFonts w:cs="Arial"/>
                <w:b/>
                <w:bCs/>
                <w:sz w:val="16"/>
                <w:szCs w:val="16"/>
                <w:lang w:val="ru-RU" w:eastAsia="ru-RU"/>
              </w:rPr>
              <w:t>54 667</w:t>
            </w:r>
          </w:p>
        </w:tc>
      </w:tr>
    </w:tbl>
    <w:p w:rsidR="00646EB5" w:rsidRDefault="00646EB5" w:rsidP="00646EB5">
      <w:pPr>
        <w:jc w:val="both"/>
        <w:rPr>
          <w:rFonts w:cs="Arial"/>
          <w:b/>
          <w:sz w:val="20"/>
          <w:szCs w:val="20"/>
          <w:lang w:val="ru-RU"/>
        </w:rPr>
      </w:pPr>
    </w:p>
    <w:p w:rsidR="00646EB5" w:rsidRPr="00BB3EF8" w:rsidRDefault="00646EB5" w:rsidP="00646EB5">
      <w:pPr>
        <w:jc w:val="both"/>
        <w:rPr>
          <w:rFonts w:cs="Arial"/>
          <w:b/>
          <w:sz w:val="20"/>
          <w:szCs w:val="20"/>
          <w:lang w:val="ru-RU"/>
        </w:rPr>
      </w:pPr>
      <w:r w:rsidRPr="00BB3EF8">
        <w:rPr>
          <w:rFonts w:cs="Arial"/>
          <w:b/>
          <w:sz w:val="20"/>
          <w:szCs w:val="20"/>
          <w:lang w:val="ru-RU"/>
        </w:rPr>
        <w:t>Операционные расходы</w:t>
      </w:r>
    </w:p>
    <w:p w:rsidR="00646EB5" w:rsidRPr="00BB3EF8" w:rsidRDefault="00646EB5" w:rsidP="00646EB5">
      <w:pPr>
        <w:jc w:val="both"/>
        <w:rPr>
          <w:rFonts w:cs="Arial"/>
          <w:b/>
          <w:sz w:val="20"/>
          <w:szCs w:val="20"/>
          <w:lang w:val="ru-RU"/>
        </w:rPr>
      </w:pPr>
    </w:p>
    <w:tbl>
      <w:tblPr>
        <w:tblW w:w="9513" w:type="dxa"/>
        <w:tblInd w:w="93" w:type="dxa"/>
        <w:tblLook w:val="04A0" w:firstRow="1" w:lastRow="0" w:firstColumn="1" w:lastColumn="0" w:noHBand="0" w:noVBand="1"/>
      </w:tblPr>
      <w:tblGrid>
        <w:gridCol w:w="5402"/>
        <w:gridCol w:w="2268"/>
        <w:gridCol w:w="1843"/>
      </w:tblGrid>
      <w:tr w:rsidR="00646EB5" w:rsidRPr="00367D3E" w:rsidTr="00646EB5">
        <w:trPr>
          <w:trHeight w:val="300"/>
          <w:tblHeader/>
        </w:trPr>
        <w:tc>
          <w:tcPr>
            <w:tcW w:w="5402" w:type="dxa"/>
            <w:tcBorders>
              <w:top w:val="single" w:sz="4" w:space="0" w:color="auto"/>
              <w:bottom w:val="single" w:sz="4" w:space="0" w:color="auto"/>
            </w:tcBorders>
            <w:shd w:val="clear" w:color="auto" w:fill="auto"/>
            <w:vAlign w:val="center"/>
            <w:hideMark/>
          </w:tcPr>
          <w:p w:rsidR="00646EB5" w:rsidRPr="00BB3EF8" w:rsidRDefault="00646EB5" w:rsidP="00646EB5">
            <w:pPr>
              <w:overflowPunct/>
              <w:autoSpaceDE/>
              <w:autoSpaceDN/>
              <w:adjustRightInd/>
              <w:jc w:val="center"/>
              <w:textAlignment w:val="auto"/>
              <w:rPr>
                <w:rFonts w:cs="Arial"/>
                <w:b/>
                <w:bCs/>
                <w:sz w:val="16"/>
                <w:szCs w:val="16"/>
                <w:lang w:val="ru-RU" w:eastAsia="ru-RU"/>
              </w:rPr>
            </w:pPr>
          </w:p>
        </w:tc>
        <w:tc>
          <w:tcPr>
            <w:tcW w:w="2268" w:type="dxa"/>
            <w:tcBorders>
              <w:top w:val="single" w:sz="4" w:space="0" w:color="auto"/>
              <w:bottom w:val="single" w:sz="4" w:space="0" w:color="auto"/>
            </w:tcBorders>
            <w:shd w:val="clear" w:color="auto" w:fill="auto"/>
            <w:noWrap/>
            <w:vAlign w:val="center"/>
            <w:hideMark/>
          </w:tcPr>
          <w:p w:rsidR="00646EB5" w:rsidRPr="00BB3EF8" w:rsidRDefault="00646EB5" w:rsidP="00646EB5">
            <w:pPr>
              <w:overflowPunct/>
              <w:autoSpaceDE/>
              <w:autoSpaceDN/>
              <w:adjustRightInd/>
              <w:jc w:val="center"/>
              <w:textAlignment w:val="auto"/>
              <w:rPr>
                <w:rFonts w:cs="Arial"/>
                <w:b/>
                <w:bCs/>
                <w:sz w:val="16"/>
                <w:szCs w:val="16"/>
                <w:lang w:val="ru-RU" w:eastAsia="ru-RU"/>
              </w:rPr>
            </w:pPr>
            <w:r w:rsidRPr="00BB3EF8">
              <w:rPr>
                <w:rFonts w:cs="Arial"/>
                <w:b/>
                <w:bCs/>
                <w:sz w:val="16"/>
                <w:szCs w:val="16"/>
                <w:lang w:val="ru-RU" w:eastAsia="ru-RU"/>
              </w:rPr>
              <w:t>201</w:t>
            </w:r>
            <w:r>
              <w:rPr>
                <w:rFonts w:cs="Arial"/>
                <w:b/>
                <w:bCs/>
                <w:sz w:val="16"/>
                <w:szCs w:val="16"/>
                <w:lang w:val="ru-RU" w:eastAsia="ru-RU"/>
              </w:rPr>
              <w:t>8</w:t>
            </w:r>
            <w:r w:rsidRPr="00BB3EF8">
              <w:rPr>
                <w:rFonts w:cs="Arial"/>
                <w:b/>
                <w:bCs/>
                <w:sz w:val="16"/>
                <w:szCs w:val="16"/>
                <w:lang w:val="ru-RU" w:eastAsia="ru-RU"/>
              </w:rPr>
              <w:t xml:space="preserve"> год</w:t>
            </w:r>
          </w:p>
        </w:tc>
        <w:tc>
          <w:tcPr>
            <w:tcW w:w="1843" w:type="dxa"/>
            <w:tcBorders>
              <w:top w:val="single" w:sz="4" w:space="0" w:color="auto"/>
              <w:bottom w:val="single" w:sz="4" w:space="0" w:color="auto"/>
            </w:tcBorders>
            <w:vAlign w:val="center"/>
          </w:tcPr>
          <w:p w:rsidR="00646EB5" w:rsidRPr="00BB3EF8" w:rsidRDefault="00646EB5" w:rsidP="00646EB5">
            <w:pPr>
              <w:overflowPunct/>
              <w:autoSpaceDE/>
              <w:autoSpaceDN/>
              <w:adjustRightInd/>
              <w:jc w:val="center"/>
              <w:textAlignment w:val="auto"/>
              <w:rPr>
                <w:rFonts w:cs="Arial"/>
                <w:b/>
                <w:bCs/>
                <w:sz w:val="16"/>
                <w:szCs w:val="16"/>
                <w:lang w:val="ru-RU" w:eastAsia="ru-RU"/>
              </w:rPr>
            </w:pPr>
            <w:r w:rsidRPr="00BB3EF8">
              <w:rPr>
                <w:rFonts w:cs="Arial"/>
                <w:b/>
                <w:bCs/>
                <w:sz w:val="16"/>
                <w:szCs w:val="16"/>
                <w:lang w:val="ru-RU" w:eastAsia="ru-RU"/>
              </w:rPr>
              <w:t>2017 год</w:t>
            </w:r>
          </w:p>
        </w:tc>
      </w:tr>
      <w:tr w:rsidR="00646EB5" w:rsidRPr="00367D3E" w:rsidTr="00646EB5">
        <w:trPr>
          <w:trHeight w:val="300"/>
        </w:trPr>
        <w:tc>
          <w:tcPr>
            <w:tcW w:w="5402" w:type="dxa"/>
            <w:tcBorders>
              <w:top w:val="single" w:sz="4" w:space="0" w:color="auto"/>
            </w:tcBorders>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sidRPr="00547380">
              <w:rPr>
                <w:rFonts w:cs="Arial"/>
                <w:color w:val="000000"/>
                <w:sz w:val="16"/>
                <w:szCs w:val="16"/>
                <w:lang w:val="ru-RU"/>
              </w:rPr>
              <w:t>Расходы от операций по предоставленным кредитам и кредитам, права требования по которым приобретены</w:t>
            </w:r>
          </w:p>
        </w:tc>
        <w:tc>
          <w:tcPr>
            <w:tcW w:w="2268" w:type="dxa"/>
            <w:tcBorders>
              <w:top w:val="single" w:sz="4" w:space="0" w:color="auto"/>
            </w:tcBorders>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1 159</w:t>
            </w:r>
          </w:p>
        </w:tc>
        <w:tc>
          <w:tcPr>
            <w:tcW w:w="1843" w:type="dxa"/>
            <w:tcBorders>
              <w:top w:val="single" w:sz="4" w:space="0" w:color="auto"/>
            </w:tcBorders>
            <w:vAlign w:val="bottom"/>
          </w:tcPr>
          <w:p w:rsidR="00646EB5" w:rsidRPr="00547380" w:rsidRDefault="00646EB5" w:rsidP="00646EB5">
            <w:pPr>
              <w:jc w:val="center"/>
              <w:rPr>
                <w:rFonts w:cs="Arial"/>
                <w:bCs/>
                <w:sz w:val="16"/>
                <w:szCs w:val="16"/>
                <w:lang w:val="ru-RU" w:eastAsia="ru-RU"/>
              </w:rPr>
            </w:pPr>
            <w:r w:rsidRPr="00547380">
              <w:rPr>
                <w:rFonts w:cs="Arial"/>
                <w:bCs/>
                <w:sz w:val="16"/>
                <w:szCs w:val="16"/>
                <w:lang w:val="ru-RU" w:eastAsia="ru-RU"/>
              </w:rPr>
              <w:t>51 507</w:t>
            </w:r>
          </w:p>
        </w:tc>
      </w:tr>
      <w:tr w:rsidR="00646EB5" w:rsidRPr="00EF3F1E" w:rsidTr="00646EB5">
        <w:trPr>
          <w:trHeight w:val="300"/>
        </w:trPr>
        <w:tc>
          <w:tcPr>
            <w:tcW w:w="5402" w:type="dxa"/>
            <w:shd w:val="clear" w:color="auto" w:fill="auto"/>
            <w:vAlign w:val="bottom"/>
          </w:tcPr>
          <w:p w:rsidR="00646EB5" w:rsidRPr="00547380"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t>Расходы по другим банковским операциям и сделкам</w:t>
            </w:r>
          </w:p>
        </w:tc>
        <w:tc>
          <w:tcPr>
            <w:tcW w:w="2268" w:type="dxa"/>
            <w:shd w:val="clear" w:color="auto" w:fill="auto"/>
            <w:noWrap/>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547380" w:rsidRDefault="00646EB5" w:rsidP="00646EB5">
            <w:pPr>
              <w:jc w:val="center"/>
              <w:rPr>
                <w:rFonts w:cs="Arial"/>
                <w:bCs/>
                <w:sz w:val="16"/>
                <w:szCs w:val="16"/>
                <w:lang w:val="ru-RU" w:eastAsia="ru-RU"/>
              </w:rPr>
            </w:pPr>
            <w:r>
              <w:rPr>
                <w:rFonts w:cs="Arial"/>
                <w:bCs/>
                <w:sz w:val="16"/>
                <w:szCs w:val="16"/>
                <w:lang w:val="ru-RU" w:eastAsia="ru-RU"/>
              </w:rPr>
              <w:t>10</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обесценения недвижимости, временно неиспользуемой в основной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на содержание недвижимости, временно неиспользуемой в основной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48</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Амортизация недвижимости, временно неиспользуемой в основной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407</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428</w:t>
            </w:r>
          </w:p>
        </w:tc>
      </w:tr>
      <w:tr w:rsidR="00646EB5" w:rsidRPr="00EF3F1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t>Расходы от выбытия (реализации) долгосрочных активов, предназначенных для продажи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5 523</w:t>
            </w:r>
          </w:p>
        </w:tc>
        <w:tc>
          <w:tcPr>
            <w:tcW w:w="1843" w:type="dxa"/>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545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последующего уменьшения справедливой стоимости долгосрочных активов, предназначенных для продажи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3 027</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1 609</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выбытия (реализации) предметов труда, полученных по договорам отступного, залога, назначение которых не определено</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3 513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прошлых лет, выявленные в отчетном году</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117</w:t>
            </w:r>
          </w:p>
        </w:tc>
        <w:tc>
          <w:tcPr>
            <w:tcW w:w="1843" w:type="dxa"/>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235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lang w:val="ru-RU"/>
              </w:rPr>
              <w:t>Расходы на оплату труда, включая компенсационные и стимулирующие выплаты,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374 851</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345 488</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lang w:val="ru-RU"/>
              </w:rPr>
              <w:t>Расходы по выплате других вознаграждений работникам со сроком исполнения в течение годового отчетного периода и в течение 12 месяцев после окончания годового отчетного периода</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105 279</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115 200</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lang w:val="ru-RU"/>
              </w:rPr>
              <w:t>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 уплачиваемые работодателем в соответствии с законодательством Российской Федерации</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111 889</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105 393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lang w:val="ru-RU"/>
              </w:rPr>
              <w:t>Расходы по выплате выходных пособий</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462</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328</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rPr>
              <w:t>Подготовка и переподготовка кадров</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482</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178</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b/>
                <w:color w:val="000000"/>
                <w:sz w:val="16"/>
                <w:szCs w:val="16"/>
                <w:lang w:val="ru-RU"/>
              </w:rPr>
            </w:pPr>
            <w:r w:rsidRPr="00EF3F1E">
              <w:rPr>
                <w:rFonts w:cs="Arial"/>
                <w:b/>
                <w:color w:val="000000"/>
                <w:sz w:val="16"/>
                <w:szCs w:val="16"/>
                <w:lang w:val="ru-RU"/>
              </w:rPr>
              <w:t>Другие расходы на содержание персонала, включая расходы на перемещение персонала</w:t>
            </w:r>
          </w:p>
        </w:tc>
        <w:tc>
          <w:tcPr>
            <w:tcW w:w="2268" w:type="dxa"/>
            <w:shd w:val="clear" w:color="auto" w:fill="auto"/>
            <w:noWrap/>
            <w:vAlign w:val="bottom"/>
          </w:tcPr>
          <w:p w:rsidR="00646EB5" w:rsidRPr="00EF3F1E" w:rsidRDefault="00646EB5" w:rsidP="00646EB5">
            <w:pPr>
              <w:jc w:val="center"/>
              <w:rPr>
                <w:rFonts w:cs="Arial"/>
                <w:b/>
                <w:bCs/>
                <w:sz w:val="16"/>
                <w:szCs w:val="16"/>
                <w:lang w:val="ru-RU" w:eastAsia="ru-RU"/>
              </w:rPr>
            </w:pPr>
            <w:r>
              <w:rPr>
                <w:rFonts w:cs="Arial"/>
                <w:b/>
                <w:bCs/>
                <w:sz w:val="16"/>
                <w:szCs w:val="16"/>
                <w:lang w:val="ru-RU" w:eastAsia="ru-RU"/>
              </w:rPr>
              <w:t>1 920</w:t>
            </w:r>
          </w:p>
        </w:tc>
        <w:tc>
          <w:tcPr>
            <w:tcW w:w="1843" w:type="dxa"/>
            <w:vAlign w:val="bottom"/>
          </w:tcPr>
          <w:p w:rsidR="00646EB5" w:rsidRPr="00EF3F1E" w:rsidRDefault="00646EB5" w:rsidP="00646EB5">
            <w:pPr>
              <w:jc w:val="center"/>
              <w:rPr>
                <w:rFonts w:cs="Arial"/>
                <w:b/>
                <w:bCs/>
                <w:sz w:val="16"/>
                <w:szCs w:val="16"/>
                <w:lang w:val="ru-RU" w:eastAsia="ru-RU"/>
              </w:rPr>
            </w:pPr>
            <w:r w:rsidRPr="00EF3F1E">
              <w:rPr>
                <w:rFonts w:cs="Arial"/>
                <w:b/>
                <w:bCs/>
                <w:sz w:val="16"/>
                <w:szCs w:val="16"/>
                <w:lang w:val="ru-RU" w:eastAsia="ru-RU"/>
              </w:rPr>
              <w:t>1 083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выбытия (реализации) прочего имущества</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375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уценки основных средств</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5 910</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1 057</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по ремонту основных средств и другого имущества, кроме недвижимости, временно неиспользуемой в основной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5 017</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4 274</w:t>
            </w:r>
          </w:p>
        </w:tc>
      </w:tr>
      <w:tr w:rsidR="00646EB5" w:rsidRPr="00367D3E" w:rsidTr="00646EB5">
        <w:trPr>
          <w:trHeight w:val="483"/>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на содержание основных средств и другого имущества, включая коммунальные расходы, кроме недвижимости, временно неиспользуемой в основной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20 146</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19 018</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Амортизация</w:t>
            </w:r>
            <w:r w:rsidRPr="00EF3F1E">
              <w:rPr>
                <w:rFonts w:cs="Arial"/>
                <w:color w:val="000000"/>
                <w:sz w:val="16"/>
                <w:szCs w:val="16"/>
                <w:lang w:val="ru-RU"/>
              </w:rPr>
              <w:t xml:space="preserve"> </w:t>
            </w:r>
            <w:r w:rsidRPr="00EF3F1E">
              <w:rPr>
                <w:rFonts w:cs="Arial"/>
                <w:color w:val="000000"/>
                <w:sz w:val="16"/>
                <w:szCs w:val="16"/>
              </w:rPr>
              <w:t>по основным средствам</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sidRPr="000F41D7">
              <w:rPr>
                <w:rFonts w:cs="Arial"/>
                <w:bCs/>
                <w:sz w:val="16"/>
                <w:szCs w:val="16"/>
                <w:lang w:val="ru-RU" w:eastAsia="ru-RU"/>
              </w:rPr>
              <w:t>44 194</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44 867</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Амортизация по нематериальным активам</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2 762</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3 333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Арендная плата по арендованным основным средствам и другому имуществу</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22 411</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38 457</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Плата за право пользования объектами интеллектуальной деятельности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17 260</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10 553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Расходы от списания стоимости запасов</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15 390</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11 023</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Служебные командировки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6 762</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6 975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Охрана</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8 353</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9 152</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Реклама</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8 121</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8 615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Представительские расходы</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27</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Услуги связи, телекоммуникационных и информационных систем</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129 891</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114 961</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Аудит</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1 195</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870</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lastRenderedPageBreak/>
              <w:t>Страхование</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57 402</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45 885</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Другие организационные и управленческие расходы</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12 595</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15 361</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lang w:val="ru-RU"/>
              </w:rPr>
              <w:t>Неустойки (штрафы, пени) по прочим (хозяйственным) операциям</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122</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914</w:t>
            </w:r>
          </w:p>
        </w:tc>
      </w:tr>
      <w:tr w:rsidR="00646EB5" w:rsidRPr="00367D3E" w:rsidTr="00646EB5">
        <w:trPr>
          <w:trHeight w:val="300"/>
        </w:trPr>
        <w:tc>
          <w:tcPr>
            <w:tcW w:w="5402" w:type="dxa"/>
            <w:shd w:val="clear" w:color="auto" w:fill="auto"/>
            <w:vAlign w:val="bottom"/>
          </w:tcPr>
          <w:p w:rsidR="00646EB5" w:rsidRPr="00EF3F1E" w:rsidRDefault="00646EB5" w:rsidP="00646EB5">
            <w:pPr>
              <w:overflowPunct/>
              <w:autoSpaceDE/>
              <w:autoSpaceDN/>
              <w:adjustRightInd/>
              <w:textAlignment w:val="auto"/>
              <w:rPr>
                <w:rFonts w:cs="Arial"/>
                <w:color w:val="000000"/>
                <w:sz w:val="16"/>
                <w:szCs w:val="16"/>
                <w:lang w:val="ru-RU"/>
              </w:rPr>
            </w:pPr>
            <w:r w:rsidRPr="00EF3F1E">
              <w:rPr>
                <w:rFonts w:cs="Arial"/>
                <w:color w:val="000000"/>
                <w:sz w:val="16"/>
                <w:szCs w:val="16"/>
              </w:rPr>
              <w:t>Судебные и арбитражные издержки</w:t>
            </w:r>
          </w:p>
        </w:tc>
        <w:tc>
          <w:tcPr>
            <w:tcW w:w="2268" w:type="dxa"/>
            <w:shd w:val="clear" w:color="auto" w:fill="auto"/>
            <w:noWrap/>
            <w:vAlign w:val="bottom"/>
          </w:tcPr>
          <w:p w:rsidR="00646EB5" w:rsidRPr="00EF3F1E" w:rsidRDefault="00646EB5" w:rsidP="00646EB5">
            <w:pPr>
              <w:jc w:val="center"/>
              <w:rPr>
                <w:rFonts w:cs="Arial"/>
                <w:bCs/>
                <w:sz w:val="16"/>
                <w:szCs w:val="16"/>
                <w:lang w:val="ru-RU" w:eastAsia="ru-RU"/>
              </w:rPr>
            </w:pPr>
            <w:r>
              <w:rPr>
                <w:rFonts w:cs="Arial"/>
                <w:bCs/>
                <w:sz w:val="16"/>
                <w:szCs w:val="16"/>
                <w:lang w:val="ru-RU" w:eastAsia="ru-RU"/>
              </w:rPr>
              <w:t>959</w:t>
            </w:r>
          </w:p>
        </w:tc>
        <w:tc>
          <w:tcPr>
            <w:tcW w:w="1843" w:type="dxa"/>
            <w:vAlign w:val="bottom"/>
          </w:tcPr>
          <w:p w:rsidR="00646EB5" w:rsidRPr="00EF3F1E" w:rsidRDefault="00646EB5" w:rsidP="00646EB5">
            <w:pPr>
              <w:jc w:val="center"/>
              <w:rPr>
                <w:rFonts w:cs="Arial"/>
                <w:bCs/>
                <w:sz w:val="16"/>
                <w:szCs w:val="16"/>
                <w:lang w:val="ru-RU" w:eastAsia="ru-RU"/>
              </w:rPr>
            </w:pPr>
            <w:r w:rsidRPr="00EF3F1E">
              <w:rPr>
                <w:rFonts w:cs="Arial"/>
                <w:bCs/>
                <w:sz w:val="16"/>
                <w:szCs w:val="16"/>
                <w:lang w:val="ru-RU" w:eastAsia="ru-RU"/>
              </w:rPr>
              <w:t>6 029</w:t>
            </w:r>
          </w:p>
        </w:tc>
      </w:tr>
      <w:tr w:rsidR="00646EB5" w:rsidRPr="00367D3E" w:rsidTr="00646EB5">
        <w:trPr>
          <w:trHeight w:val="300"/>
        </w:trPr>
        <w:tc>
          <w:tcPr>
            <w:tcW w:w="5402" w:type="dxa"/>
            <w:shd w:val="clear" w:color="auto" w:fill="auto"/>
            <w:vAlign w:val="bottom"/>
          </w:tcPr>
          <w:p w:rsidR="00646EB5" w:rsidRPr="00BB3EF8" w:rsidRDefault="00646EB5" w:rsidP="00646EB5">
            <w:pPr>
              <w:overflowPunct/>
              <w:autoSpaceDE/>
              <w:autoSpaceDN/>
              <w:adjustRightInd/>
              <w:textAlignment w:val="auto"/>
              <w:rPr>
                <w:rFonts w:cs="Arial"/>
                <w:color w:val="000000"/>
                <w:sz w:val="16"/>
                <w:szCs w:val="16"/>
                <w:lang w:val="ru-RU"/>
              </w:rPr>
            </w:pPr>
            <w:r w:rsidRPr="00BB3EF8">
              <w:rPr>
                <w:rFonts w:cs="Arial"/>
                <w:color w:val="000000"/>
                <w:sz w:val="16"/>
                <w:szCs w:val="16"/>
                <w:lang w:val="ru-RU"/>
              </w:rPr>
              <w:t>Расходы от списания недостач денежной наличности, сумм по имеющим признаки подделки денежным знакам</w:t>
            </w:r>
          </w:p>
        </w:tc>
        <w:tc>
          <w:tcPr>
            <w:tcW w:w="2268" w:type="dxa"/>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19</w:t>
            </w:r>
          </w:p>
        </w:tc>
        <w:tc>
          <w:tcPr>
            <w:tcW w:w="1843" w:type="dxa"/>
            <w:vAlign w:val="bottom"/>
          </w:tcPr>
          <w:p w:rsidR="00646EB5" w:rsidRPr="00BB3EF8" w:rsidRDefault="00646EB5" w:rsidP="00646EB5">
            <w:pPr>
              <w:jc w:val="center"/>
              <w:rPr>
                <w:rFonts w:cs="Arial"/>
                <w:bCs/>
                <w:sz w:val="16"/>
                <w:szCs w:val="16"/>
                <w:lang w:val="ru-RU" w:eastAsia="ru-RU"/>
              </w:rPr>
            </w:pPr>
            <w:r w:rsidRPr="00BB3EF8">
              <w:rPr>
                <w:rFonts w:cs="Arial"/>
                <w:bCs/>
                <w:sz w:val="16"/>
                <w:szCs w:val="16"/>
                <w:lang w:val="ru-RU" w:eastAsia="ru-RU"/>
              </w:rPr>
              <w:t>22</w:t>
            </w:r>
          </w:p>
        </w:tc>
      </w:tr>
      <w:tr w:rsidR="00646EB5" w:rsidRPr="00367D3E" w:rsidTr="00646EB5">
        <w:trPr>
          <w:trHeight w:val="300"/>
        </w:trPr>
        <w:tc>
          <w:tcPr>
            <w:tcW w:w="5402" w:type="dxa"/>
            <w:shd w:val="clear" w:color="auto" w:fill="auto"/>
            <w:vAlign w:val="bottom"/>
          </w:tcPr>
          <w:p w:rsidR="00646EB5" w:rsidRPr="00BB3EF8" w:rsidRDefault="00646EB5" w:rsidP="00646EB5">
            <w:pPr>
              <w:overflowPunct/>
              <w:autoSpaceDE/>
              <w:autoSpaceDN/>
              <w:adjustRightInd/>
              <w:textAlignment w:val="auto"/>
              <w:rPr>
                <w:rFonts w:cs="Arial"/>
                <w:color w:val="000000"/>
                <w:sz w:val="16"/>
                <w:szCs w:val="16"/>
                <w:lang w:val="ru-RU"/>
              </w:rPr>
            </w:pPr>
            <w:r w:rsidRPr="00BB3EF8">
              <w:rPr>
                <w:rFonts w:cs="Arial"/>
                <w:color w:val="000000"/>
                <w:sz w:val="16"/>
                <w:szCs w:val="16"/>
                <w:lang w:val="ru-RU"/>
              </w:rPr>
              <w:t>Расходы от списания активов, в том числе невзысканной дебиторской задолженности</w:t>
            </w:r>
          </w:p>
        </w:tc>
        <w:tc>
          <w:tcPr>
            <w:tcW w:w="2268" w:type="dxa"/>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16 204</w:t>
            </w:r>
          </w:p>
        </w:tc>
        <w:tc>
          <w:tcPr>
            <w:tcW w:w="1843" w:type="dxa"/>
            <w:vAlign w:val="bottom"/>
          </w:tcPr>
          <w:p w:rsidR="00646EB5" w:rsidRPr="00BB3EF8" w:rsidRDefault="00646EB5" w:rsidP="00646EB5">
            <w:pPr>
              <w:jc w:val="center"/>
              <w:rPr>
                <w:rFonts w:cs="Arial"/>
                <w:bCs/>
                <w:sz w:val="16"/>
                <w:szCs w:val="16"/>
                <w:lang w:val="ru-RU" w:eastAsia="ru-RU"/>
              </w:rPr>
            </w:pPr>
            <w:r w:rsidRPr="00BB3EF8">
              <w:rPr>
                <w:rFonts w:cs="Arial"/>
                <w:bCs/>
                <w:sz w:val="16"/>
                <w:szCs w:val="16"/>
                <w:lang w:val="ru-RU" w:eastAsia="ru-RU"/>
              </w:rPr>
              <w:t>24 139</w:t>
            </w:r>
          </w:p>
        </w:tc>
      </w:tr>
      <w:tr w:rsidR="00646EB5" w:rsidRPr="00367D3E" w:rsidTr="00646EB5">
        <w:trPr>
          <w:trHeight w:val="300"/>
        </w:trPr>
        <w:tc>
          <w:tcPr>
            <w:tcW w:w="5402" w:type="dxa"/>
            <w:shd w:val="clear" w:color="auto" w:fill="auto"/>
            <w:vAlign w:val="bottom"/>
          </w:tcPr>
          <w:p w:rsidR="00646EB5" w:rsidRPr="00BB3EF8" w:rsidRDefault="00646EB5" w:rsidP="00646EB5">
            <w:pPr>
              <w:overflowPunct/>
              <w:autoSpaceDE/>
              <w:autoSpaceDN/>
              <w:adjustRightInd/>
              <w:textAlignment w:val="auto"/>
              <w:rPr>
                <w:rFonts w:cs="Arial"/>
                <w:color w:val="000000"/>
                <w:sz w:val="16"/>
                <w:szCs w:val="16"/>
                <w:lang w:val="ru-RU"/>
              </w:rPr>
            </w:pPr>
            <w:r w:rsidRPr="00BB3EF8">
              <w:rPr>
                <w:rFonts w:cs="Arial"/>
                <w:color w:val="000000"/>
                <w:sz w:val="16"/>
                <w:szCs w:val="16"/>
                <w:lang w:val="ru-RU"/>
              </w:rPr>
              <w:t>Расходы на благотворительность и другие подобные расходы</w:t>
            </w:r>
          </w:p>
        </w:tc>
        <w:tc>
          <w:tcPr>
            <w:tcW w:w="2268" w:type="dxa"/>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5</w:t>
            </w:r>
          </w:p>
        </w:tc>
        <w:tc>
          <w:tcPr>
            <w:tcW w:w="1843" w:type="dxa"/>
            <w:vAlign w:val="bottom"/>
          </w:tcPr>
          <w:p w:rsidR="00646EB5" w:rsidRPr="00BB3EF8" w:rsidRDefault="00646EB5" w:rsidP="00646EB5">
            <w:pPr>
              <w:jc w:val="center"/>
              <w:rPr>
                <w:rFonts w:cs="Arial"/>
                <w:bCs/>
                <w:sz w:val="16"/>
                <w:szCs w:val="16"/>
                <w:lang w:val="ru-RU" w:eastAsia="ru-RU"/>
              </w:rPr>
            </w:pPr>
            <w:r w:rsidRPr="00BB3EF8">
              <w:rPr>
                <w:rFonts w:cs="Arial"/>
                <w:bCs/>
                <w:sz w:val="16"/>
                <w:szCs w:val="16"/>
                <w:lang w:val="ru-RU" w:eastAsia="ru-RU"/>
              </w:rPr>
              <w:t>44</w:t>
            </w:r>
          </w:p>
        </w:tc>
      </w:tr>
      <w:tr w:rsidR="00646EB5" w:rsidRPr="00367D3E" w:rsidTr="00646EB5">
        <w:trPr>
          <w:trHeight w:val="300"/>
        </w:trPr>
        <w:tc>
          <w:tcPr>
            <w:tcW w:w="5402" w:type="dxa"/>
            <w:shd w:val="clear" w:color="auto" w:fill="auto"/>
            <w:vAlign w:val="bottom"/>
          </w:tcPr>
          <w:p w:rsidR="00646EB5" w:rsidRPr="00BB3EF8" w:rsidRDefault="00646EB5" w:rsidP="00646EB5">
            <w:pPr>
              <w:overflowPunct/>
              <w:autoSpaceDE/>
              <w:autoSpaceDN/>
              <w:adjustRightInd/>
              <w:textAlignment w:val="auto"/>
              <w:rPr>
                <w:rFonts w:cs="Arial"/>
                <w:color w:val="000000"/>
                <w:sz w:val="16"/>
                <w:szCs w:val="16"/>
                <w:lang w:val="ru-RU"/>
              </w:rPr>
            </w:pPr>
            <w:r w:rsidRPr="00BB3EF8">
              <w:rPr>
                <w:rFonts w:cs="Arial"/>
                <w:color w:val="000000"/>
                <w:sz w:val="16"/>
                <w:szCs w:val="16"/>
                <w:lang w:val="ru-RU"/>
              </w:rPr>
              <w:t>Расходы на осуществление спортивных мероприятий, отдыха, мероприятий культурно-просветительского характера и иных подобных мероприятий</w:t>
            </w:r>
          </w:p>
        </w:tc>
        <w:tc>
          <w:tcPr>
            <w:tcW w:w="2268" w:type="dxa"/>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834</w:t>
            </w:r>
          </w:p>
        </w:tc>
        <w:tc>
          <w:tcPr>
            <w:tcW w:w="1843" w:type="dxa"/>
            <w:vAlign w:val="bottom"/>
          </w:tcPr>
          <w:p w:rsidR="00646EB5" w:rsidRPr="00BB3EF8" w:rsidRDefault="00646EB5" w:rsidP="00646EB5">
            <w:pPr>
              <w:jc w:val="center"/>
              <w:rPr>
                <w:rFonts w:cs="Arial"/>
                <w:bCs/>
                <w:sz w:val="16"/>
                <w:szCs w:val="16"/>
                <w:lang w:val="ru-RU" w:eastAsia="ru-RU"/>
              </w:rPr>
            </w:pPr>
            <w:r w:rsidRPr="00BB3EF8">
              <w:rPr>
                <w:rFonts w:cs="Arial"/>
                <w:bCs/>
                <w:sz w:val="16"/>
                <w:szCs w:val="16"/>
                <w:lang w:val="ru-RU" w:eastAsia="ru-RU"/>
              </w:rPr>
              <w:t>1 754</w:t>
            </w:r>
          </w:p>
        </w:tc>
      </w:tr>
      <w:tr w:rsidR="00646EB5" w:rsidRPr="000F41D7" w:rsidTr="00646EB5">
        <w:trPr>
          <w:trHeight w:val="300"/>
        </w:trPr>
        <w:tc>
          <w:tcPr>
            <w:tcW w:w="5402" w:type="dxa"/>
            <w:shd w:val="clear" w:color="auto" w:fill="auto"/>
            <w:vAlign w:val="bottom"/>
          </w:tcPr>
          <w:p w:rsidR="00646EB5" w:rsidRPr="000F41D7" w:rsidRDefault="00646EB5" w:rsidP="00646EB5">
            <w:pPr>
              <w:overflowPunct/>
              <w:autoSpaceDE/>
              <w:autoSpaceDN/>
              <w:adjustRightInd/>
              <w:textAlignment w:val="auto"/>
              <w:rPr>
                <w:rFonts w:cs="Arial"/>
                <w:color w:val="000000"/>
                <w:sz w:val="16"/>
                <w:szCs w:val="16"/>
                <w:lang w:val="ru-RU"/>
              </w:rPr>
            </w:pPr>
            <w:r>
              <w:rPr>
                <w:rFonts w:cs="Arial"/>
                <w:color w:val="000000"/>
                <w:sz w:val="16"/>
                <w:szCs w:val="16"/>
                <w:lang w:val="ru-RU"/>
              </w:rPr>
              <w:t>Расходы, возникающие как последствия чрезвычайных обстоятельств хозяйственной деятельности</w:t>
            </w:r>
          </w:p>
        </w:tc>
        <w:tc>
          <w:tcPr>
            <w:tcW w:w="2268" w:type="dxa"/>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194</w:t>
            </w:r>
          </w:p>
        </w:tc>
        <w:tc>
          <w:tcPr>
            <w:tcW w:w="1843" w:type="dxa"/>
            <w:vAlign w:val="bottom"/>
          </w:tcPr>
          <w:p w:rsidR="00646EB5" w:rsidRDefault="00646EB5" w:rsidP="00646EB5">
            <w:pPr>
              <w:jc w:val="center"/>
              <w:rPr>
                <w:rFonts w:cs="Arial"/>
                <w:bCs/>
                <w:sz w:val="16"/>
                <w:szCs w:val="16"/>
                <w:lang w:val="ru-RU" w:eastAsia="ru-RU"/>
              </w:rPr>
            </w:pPr>
            <w:r>
              <w:rPr>
                <w:rFonts w:cs="Arial"/>
                <w:bCs/>
                <w:sz w:val="16"/>
                <w:szCs w:val="16"/>
                <w:lang w:val="ru-RU" w:eastAsia="ru-RU"/>
              </w:rPr>
              <w:t>-</w:t>
            </w:r>
          </w:p>
        </w:tc>
      </w:tr>
      <w:tr w:rsidR="00646EB5" w:rsidRPr="00367D3E" w:rsidTr="00646EB5">
        <w:trPr>
          <w:trHeight w:val="300"/>
        </w:trPr>
        <w:tc>
          <w:tcPr>
            <w:tcW w:w="5402" w:type="dxa"/>
            <w:tcBorders>
              <w:bottom w:val="single" w:sz="4" w:space="0" w:color="auto"/>
            </w:tcBorders>
            <w:shd w:val="clear" w:color="auto" w:fill="auto"/>
            <w:vAlign w:val="bottom"/>
          </w:tcPr>
          <w:p w:rsidR="00646EB5" w:rsidRPr="00BB3EF8" w:rsidRDefault="00646EB5" w:rsidP="00646EB5">
            <w:pPr>
              <w:overflowPunct/>
              <w:autoSpaceDE/>
              <w:autoSpaceDN/>
              <w:adjustRightInd/>
              <w:textAlignment w:val="auto"/>
              <w:rPr>
                <w:rFonts w:cs="Arial"/>
                <w:color w:val="000000"/>
                <w:sz w:val="16"/>
                <w:szCs w:val="16"/>
                <w:lang w:val="ru-RU"/>
              </w:rPr>
            </w:pPr>
            <w:r w:rsidRPr="00BB3EF8">
              <w:rPr>
                <w:rFonts w:cs="Arial"/>
                <w:color w:val="000000"/>
                <w:sz w:val="16"/>
                <w:szCs w:val="16"/>
              </w:rPr>
              <w:t>Прочие расходы</w:t>
            </w:r>
          </w:p>
        </w:tc>
        <w:tc>
          <w:tcPr>
            <w:tcW w:w="2268" w:type="dxa"/>
            <w:tcBorders>
              <w:bottom w:val="single" w:sz="4" w:space="0" w:color="auto"/>
            </w:tcBorders>
            <w:shd w:val="clear" w:color="auto" w:fill="auto"/>
            <w:noWrap/>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21 888</w:t>
            </w:r>
          </w:p>
        </w:tc>
        <w:tc>
          <w:tcPr>
            <w:tcW w:w="1843" w:type="dxa"/>
            <w:tcBorders>
              <w:bottom w:val="single" w:sz="4" w:space="0" w:color="auto"/>
            </w:tcBorders>
            <w:vAlign w:val="bottom"/>
          </w:tcPr>
          <w:p w:rsidR="00646EB5" w:rsidRPr="00BB3EF8" w:rsidRDefault="00646EB5" w:rsidP="00646EB5">
            <w:pPr>
              <w:jc w:val="center"/>
              <w:rPr>
                <w:rFonts w:cs="Arial"/>
                <w:bCs/>
                <w:sz w:val="16"/>
                <w:szCs w:val="16"/>
                <w:lang w:val="ru-RU" w:eastAsia="ru-RU"/>
              </w:rPr>
            </w:pPr>
            <w:r>
              <w:rPr>
                <w:rFonts w:cs="Arial"/>
                <w:bCs/>
                <w:sz w:val="16"/>
                <w:szCs w:val="16"/>
                <w:lang w:val="ru-RU" w:eastAsia="ru-RU"/>
              </w:rPr>
              <w:t>11 458</w:t>
            </w:r>
          </w:p>
        </w:tc>
      </w:tr>
      <w:tr w:rsidR="00646EB5" w:rsidRPr="00367D3E" w:rsidTr="00646EB5">
        <w:trPr>
          <w:trHeight w:val="300"/>
        </w:trPr>
        <w:tc>
          <w:tcPr>
            <w:tcW w:w="5402" w:type="dxa"/>
            <w:tcBorders>
              <w:top w:val="single" w:sz="4" w:space="0" w:color="auto"/>
              <w:bottom w:val="double" w:sz="4" w:space="0" w:color="auto"/>
            </w:tcBorders>
            <w:shd w:val="clear" w:color="auto" w:fill="auto"/>
            <w:vAlign w:val="center"/>
          </w:tcPr>
          <w:p w:rsidR="00646EB5" w:rsidRPr="00367D3E" w:rsidRDefault="00646EB5" w:rsidP="00646EB5">
            <w:pPr>
              <w:overflowPunct/>
              <w:autoSpaceDE/>
              <w:autoSpaceDN/>
              <w:adjustRightInd/>
              <w:textAlignment w:val="auto"/>
              <w:rPr>
                <w:rFonts w:cs="Arial"/>
                <w:b/>
                <w:color w:val="000000"/>
                <w:sz w:val="16"/>
                <w:szCs w:val="16"/>
                <w:highlight w:val="yellow"/>
                <w:lang w:val="ru-RU"/>
              </w:rPr>
            </w:pPr>
            <w:r w:rsidRPr="004C0CEF">
              <w:rPr>
                <w:rFonts w:cs="Arial"/>
                <w:b/>
                <w:color w:val="000000"/>
                <w:sz w:val="16"/>
                <w:szCs w:val="16"/>
                <w:lang w:val="ru-RU"/>
              </w:rPr>
              <w:t>Итого операционных расходов</w:t>
            </w:r>
          </w:p>
        </w:tc>
        <w:tc>
          <w:tcPr>
            <w:tcW w:w="2268" w:type="dxa"/>
            <w:tcBorders>
              <w:top w:val="single" w:sz="4" w:space="0" w:color="auto"/>
              <w:bottom w:val="double" w:sz="4" w:space="0" w:color="auto"/>
            </w:tcBorders>
            <w:shd w:val="clear" w:color="auto" w:fill="auto"/>
            <w:noWrap/>
            <w:vAlign w:val="center"/>
          </w:tcPr>
          <w:p w:rsidR="00646EB5" w:rsidRPr="00367D3E" w:rsidRDefault="00646EB5" w:rsidP="00646EB5">
            <w:pPr>
              <w:jc w:val="center"/>
              <w:rPr>
                <w:rFonts w:cs="Arial"/>
                <w:b/>
                <w:bCs/>
                <w:sz w:val="16"/>
                <w:szCs w:val="16"/>
                <w:highlight w:val="yellow"/>
                <w:lang w:val="ru-RU" w:eastAsia="ru-RU"/>
              </w:rPr>
            </w:pPr>
            <w:r w:rsidRPr="00357E02">
              <w:rPr>
                <w:rFonts w:cs="Arial"/>
                <w:b/>
                <w:bCs/>
                <w:sz w:val="16"/>
                <w:szCs w:val="16"/>
                <w:lang w:val="ru-RU" w:eastAsia="ru-RU"/>
              </w:rPr>
              <w:t>1 002 825</w:t>
            </w:r>
          </w:p>
        </w:tc>
        <w:tc>
          <w:tcPr>
            <w:tcW w:w="1843" w:type="dxa"/>
            <w:tcBorders>
              <w:top w:val="single" w:sz="4" w:space="0" w:color="auto"/>
              <w:bottom w:val="double" w:sz="4" w:space="0" w:color="auto"/>
            </w:tcBorders>
            <w:vAlign w:val="center"/>
          </w:tcPr>
          <w:p w:rsidR="00646EB5" w:rsidRPr="00367D3E" w:rsidRDefault="00646EB5" w:rsidP="00646EB5">
            <w:pPr>
              <w:jc w:val="center"/>
              <w:rPr>
                <w:rFonts w:cs="Arial"/>
                <w:b/>
                <w:bCs/>
                <w:sz w:val="16"/>
                <w:szCs w:val="16"/>
                <w:highlight w:val="yellow"/>
                <w:lang w:val="ru-RU" w:eastAsia="ru-RU"/>
              </w:rPr>
            </w:pPr>
            <w:r w:rsidRPr="004C0CEF">
              <w:rPr>
                <w:rFonts w:cs="Arial"/>
                <w:b/>
                <w:bCs/>
                <w:sz w:val="16"/>
                <w:szCs w:val="16"/>
                <w:lang w:val="ru-RU" w:eastAsia="ru-RU"/>
              </w:rPr>
              <w:t>1 004 658</w:t>
            </w:r>
          </w:p>
        </w:tc>
      </w:tr>
    </w:tbl>
    <w:p w:rsidR="00646EB5" w:rsidRDefault="00646EB5" w:rsidP="00646EB5">
      <w:pPr>
        <w:jc w:val="both"/>
        <w:rPr>
          <w:lang w:val="ru-RU"/>
        </w:rPr>
      </w:pPr>
    </w:p>
    <w:p w:rsidR="00646EB5" w:rsidRDefault="00646EB5" w:rsidP="00646EB5">
      <w:pPr>
        <w:jc w:val="both"/>
        <w:rPr>
          <w:rFonts w:cs="Arial"/>
          <w:b/>
          <w:sz w:val="20"/>
          <w:szCs w:val="20"/>
          <w:lang w:val="ru-RU"/>
        </w:rPr>
      </w:pPr>
      <w:r>
        <w:rPr>
          <w:rFonts w:cs="Arial"/>
          <w:b/>
          <w:sz w:val="20"/>
          <w:szCs w:val="20"/>
          <w:lang w:val="ru-RU"/>
        </w:rPr>
        <w:t>Информация о чистой прибыли (чистых убытков) от финансовых активов, имеющихся в наличии для продажи, с выделением чистой прибыли (чистых убытков), признанной (признанных) в составе прочего совокупного дохода в отчетном периоде, и чистой прибыли (чистых убытков), реклассифицированной (реклассифицированных) в отчетном периоде из состава собственного капи</w:t>
      </w:r>
      <w:r w:rsidR="009436A1">
        <w:rPr>
          <w:rFonts w:cs="Arial"/>
          <w:b/>
          <w:sz w:val="20"/>
          <w:szCs w:val="20"/>
          <w:lang w:val="ru-RU"/>
        </w:rPr>
        <w:t>тала в состав прибыли (убытков)</w:t>
      </w:r>
    </w:p>
    <w:p w:rsidR="00646EB5" w:rsidRDefault="00646EB5" w:rsidP="00646EB5">
      <w:pPr>
        <w:jc w:val="both"/>
        <w:rPr>
          <w:rFonts w:cs="Arial"/>
          <w:b/>
          <w:sz w:val="20"/>
          <w:szCs w:val="20"/>
          <w:lang w:val="ru-RU"/>
        </w:rPr>
      </w:pPr>
    </w:p>
    <w:p w:rsidR="00646EB5" w:rsidRDefault="00646EB5" w:rsidP="00646EB5">
      <w:pPr>
        <w:pStyle w:val="2normal"/>
        <w:jc w:val="both"/>
        <w:rPr>
          <w:rFonts w:cs="Arial"/>
          <w:sz w:val="20"/>
          <w:szCs w:val="20"/>
          <w:lang w:val="ru-RU"/>
        </w:rPr>
      </w:pPr>
      <w:r w:rsidRPr="00E34F93">
        <w:rPr>
          <w:rFonts w:cs="Arial"/>
          <w:sz w:val="20"/>
          <w:szCs w:val="20"/>
          <w:lang w:val="ru-RU"/>
        </w:rPr>
        <w:t>Финансовые активы</w:t>
      </w:r>
      <w:r>
        <w:rPr>
          <w:rFonts w:cs="Arial"/>
          <w:sz w:val="20"/>
          <w:szCs w:val="20"/>
          <w:lang w:val="ru-RU"/>
        </w:rPr>
        <w:t>, имеющиеся в наличии</w:t>
      </w:r>
      <w:r w:rsidRPr="00E34F93">
        <w:rPr>
          <w:rFonts w:cs="Arial"/>
          <w:sz w:val="20"/>
          <w:szCs w:val="20"/>
          <w:lang w:val="ru-RU"/>
        </w:rPr>
        <w:t xml:space="preserve"> для продажи</w:t>
      </w:r>
      <w:r>
        <w:rPr>
          <w:rFonts w:cs="Arial"/>
          <w:sz w:val="20"/>
          <w:szCs w:val="20"/>
          <w:lang w:val="ru-RU"/>
        </w:rPr>
        <w:t>,</w:t>
      </w:r>
      <w:r w:rsidRPr="00E34F93">
        <w:rPr>
          <w:rFonts w:cs="Arial"/>
          <w:sz w:val="20"/>
          <w:szCs w:val="20"/>
          <w:lang w:val="ru-RU"/>
        </w:rPr>
        <w:t xml:space="preserve"> отсутствуют.</w:t>
      </w:r>
    </w:p>
    <w:p w:rsidR="00646EB5" w:rsidRDefault="00646EB5" w:rsidP="00646EB5">
      <w:pPr>
        <w:pStyle w:val="2normal"/>
        <w:jc w:val="both"/>
        <w:rPr>
          <w:rFonts w:cs="Arial"/>
          <w:sz w:val="20"/>
          <w:szCs w:val="20"/>
          <w:lang w:val="ru-RU"/>
        </w:rPr>
      </w:pPr>
    </w:p>
    <w:p w:rsidR="00646EB5" w:rsidRPr="00E06EA4" w:rsidRDefault="00646EB5" w:rsidP="00646EB5">
      <w:pPr>
        <w:jc w:val="both"/>
        <w:rPr>
          <w:b/>
          <w:sz w:val="20"/>
          <w:szCs w:val="20"/>
          <w:lang w:val="ru-RU"/>
        </w:rPr>
      </w:pPr>
      <w:r w:rsidRPr="00E06EA4">
        <w:rPr>
          <w:b/>
          <w:sz w:val="20"/>
          <w:szCs w:val="20"/>
          <w:lang w:val="ru-RU"/>
        </w:rPr>
        <w:t>Информация об убытках и суммах восстановления обесценения по каждому виду активов</w:t>
      </w:r>
      <w:r>
        <w:rPr>
          <w:b/>
          <w:sz w:val="20"/>
          <w:szCs w:val="20"/>
          <w:lang w:val="ru-RU"/>
        </w:rPr>
        <w:t>, признанных в составе прибыли (убытка)</w:t>
      </w:r>
    </w:p>
    <w:p w:rsidR="00646EB5" w:rsidRPr="00E06EA4" w:rsidRDefault="00646EB5" w:rsidP="00646EB5">
      <w:pPr>
        <w:jc w:val="both"/>
        <w:rPr>
          <w:rFonts w:cs="Arial"/>
          <w:b/>
          <w:sz w:val="20"/>
          <w:szCs w:val="20"/>
          <w:lang w:val="ru-RU"/>
        </w:rPr>
      </w:pPr>
    </w:p>
    <w:tbl>
      <w:tblPr>
        <w:tblW w:w="9558" w:type="dxa"/>
        <w:tblInd w:w="93" w:type="dxa"/>
        <w:tblLayout w:type="fixed"/>
        <w:tblLook w:val="04A0" w:firstRow="1" w:lastRow="0" w:firstColumn="1" w:lastColumn="0" w:noHBand="0" w:noVBand="1"/>
      </w:tblPr>
      <w:tblGrid>
        <w:gridCol w:w="1716"/>
        <w:gridCol w:w="851"/>
        <w:gridCol w:w="1134"/>
        <w:gridCol w:w="1292"/>
        <w:gridCol w:w="1132"/>
        <w:gridCol w:w="1397"/>
        <w:gridCol w:w="904"/>
        <w:gridCol w:w="1132"/>
      </w:tblGrid>
      <w:tr w:rsidR="00646EB5" w:rsidRPr="009C7087" w:rsidTr="00646EB5">
        <w:trPr>
          <w:trHeight w:val="561"/>
          <w:tblHeader/>
        </w:trPr>
        <w:tc>
          <w:tcPr>
            <w:tcW w:w="1716" w:type="dxa"/>
            <w:tcBorders>
              <w:top w:val="single" w:sz="4" w:space="0" w:color="auto"/>
              <w:bottom w:val="single" w:sz="4" w:space="0" w:color="auto"/>
            </w:tcBorders>
            <w:shd w:val="clear" w:color="auto" w:fill="auto"/>
            <w:vAlign w:val="bottom"/>
            <w:hideMark/>
          </w:tcPr>
          <w:p w:rsidR="00646EB5" w:rsidRPr="00E06EA4" w:rsidRDefault="00646EB5" w:rsidP="00646EB5">
            <w:pPr>
              <w:rPr>
                <w:rFonts w:ascii="Calibri" w:hAnsi="Calibri" w:cs="Times New Roman"/>
                <w:b/>
                <w:bCs/>
                <w:color w:val="000000"/>
                <w:sz w:val="16"/>
                <w:szCs w:val="16"/>
                <w:lang w:val="ru-RU" w:eastAsia="ru-RU"/>
              </w:rPr>
            </w:pPr>
          </w:p>
        </w:tc>
        <w:tc>
          <w:tcPr>
            <w:tcW w:w="851"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 xml:space="preserve">средства </w:t>
            </w: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в КО</w:t>
            </w:r>
          </w:p>
        </w:tc>
        <w:tc>
          <w:tcPr>
            <w:tcW w:w="1134"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ссудная задолженность</w:t>
            </w:r>
          </w:p>
        </w:tc>
        <w:tc>
          <w:tcPr>
            <w:tcW w:w="1292"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начисленные процентные доходы</w:t>
            </w:r>
          </w:p>
        </w:tc>
        <w:tc>
          <w:tcPr>
            <w:tcW w:w="1132"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прочие активы</w:t>
            </w:r>
          </w:p>
        </w:tc>
        <w:tc>
          <w:tcPr>
            <w:tcW w:w="1397"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условные обязательства кредитного характера</w:t>
            </w:r>
          </w:p>
        </w:tc>
        <w:tc>
          <w:tcPr>
            <w:tcW w:w="904" w:type="dxa"/>
            <w:tcBorders>
              <w:top w:val="single" w:sz="4" w:space="0" w:color="auto"/>
              <w:bottom w:val="single" w:sz="4" w:space="0" w:color="auto"/>
            </w:tcBorders>
          </w:tcPr>
          <w:p w:rsidR="00646EB5" w:rsidRPr="009C7087" w:rsidRDefault="00646EB5" w:rsidP="00646EB5">
            <w:pPr>
              <w:overflowPunct/>
              <w:autoSpaceDE/>
              <w:autoSpaceDN/>
              <w:adjustRightInd/>
              <w:textAlignment w:val="auto"/>
              <w:rPr>
                <w:rFonts w:cs="Arial"/>
                <w:b/>
                <w:bCs/>
                <w:sz w:val="16"/>
                <w:szCs w:val="16"/>
                <w:lang w:val="ru-RU" w:eastAsia="ru-RU"/>
              </w:rPr>
            </w:pPr>
            <w:r w:rsidRPr="009C7087">
              <w:rPr>
                <w:rFonts w:cs="Arial"/>
                <w:b/>
                <w:bCs/>
                <w:sz w:val="16"/>
                <w:szCs w:val="16"/>
                <w:lang w:val="ru-RU" w:eastAsia="ru-RU"/>
              </w:rPr>
              <w:t>резервы -</w:t>
            </w:r>
            <w:r>
              <w:rPr>
                <w:rFonts w:cs="Arial"/>
                <w:b/>
                <w:bCs/>
                <w:sz w:val="16"/>
                <w:szCs w:val="16"/>
                <w:lang w:val="ru-RU" w:eastAsia="ru-RU"/>
              </w:rPr>
              <w:t xml:space="preserve"> </w:t>
            </w:r>
            <w:r w:rsidRPr="009C7087">
              <w:rPr>
                <w:rFonts w:cs="Arial"/>
                <w:b/>
                <w:bCs/>
                <w:sz w:val="16"/>
                <w:szCs w:val="16"/>
                <w:lang w:val="ru-RU" w:eastAsia="ru-RU"/>
              </w:rPr>
              <w:t>ООНКХ</w:t>
            </w:r>
          </w:p>
        </w:tc>
        <w:tc>
          <w:tcPr>
            <w:tcW w:w="1132"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Итого</w:t>
            </w:r>
          </w:p>
        </w:tc>
      </w:tr>
      <w:tr w:rsidR="00646EB5" w:rsidRPr="009C7087" w:rsidTr="00646EB5">
        <w:trPr>
          <w:trHeight w:val="104"/>
        </w:trPr>
        <w:tc>
          <w:tcPr>
            <w:tcW w:w="1716" w:type="dxa"/>
            <w:tcBorders>
              <w:top w:val="single" w:sz="4" w:space="0" w:color="auto"/>
              <w:bottom w:val="single" w:sz="4" w:space="0" w:color="auto"/>
            </w:tcBorders>
            <w:shd w:val="clear" w:color="auto" w:fill="auto"/>
            <w:vAlign w:val="bottom"/>
            <w:hideMark/>
          </w:tcPr>
          <w:p w:rsidR="00646EB5" w:rsidRPr="009C7087" w:rsidRDefault="00646EB5" w:rsidP="00646EB5">
            <w:pPr>
              <w:rPr>
                <w:rFonts w:ascii="Calibri" w:hAnsi="Calibri" w:cs="Times New Roman"/>
                <w:b/>
                <w:bCs/>
                <w:color w:val="000000"/>
                <w:sz w:val="16"/>
                <w:szCs w:val="16"/>
                <w:lang w:eastAsia="ru-RU"/>
              </w:rPr>
            </w:pPr>
            <w:r w:rsidRPr="009C7087">
              <w:rPr>
                <w:rFonts w:ascii="Calibri" w:hAnsi="Calibri" w:cs="Times New Roman"/>
                <w:b/>
                <w:bCs/>
                <w:color w:val="000000"/>
                <w:sz w:val="16"/>
                <w:szCs w:val="16"/>
                <w:lang w:eastAsia="ru-RU"/>
              </w:rPr>
              <w:t> </w:t>
            </w:r>
          </w:p>
        </w:tc>
        <w:tc>
          <w:tcPr>
            <w:tcW w:w="851" w:type="dxa"/>
            <w:tcBorders>
              <w:top w:val="single" w:sz="4" w:space="0" w:color="auto"/>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tc>
        <w:tc>
          <w:tcPr>
            <w:tcW w:w="6991" w:type="dxa"/>
            <w:gridSpan w:val="6"/>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201</w:t>
            </w:r>
            <w:r>
              <w:rPr>
                <w:rFonts w:cs="Arial"/>
                <w:b/>
                <w:bCs/>
                <w:sz w:val="16"/>
                <w:szCs w:val="16"/>
                <w:lang w:val="ru-RU" w:eastAsia="ru-RU"/>
              </w:rPr>
              <w:t>8</w:t>
            </w:r>
            <w:r w:rsidRPr="009C7087">
              <w:rPr>
                <w:rFonts w:cs="Arial"/>
                <w:b/>
                <w:bCs/>
                <w:sz w:val="16"/>
                <w:szCs w:val="16"/>
                <w:lang w:val="ru-RU" w:eastAsia="ru-RU"/>
              </w:rPr>
              <w:t xml:space="preserve"> год</w:t>
            </w:r>
          </w:p>
        </w:tc>
      </w:tr>
      <w:tr w:rsidR="00646EB5" w:rsidRPr="009C7087" w:rsidTr="00646EB5">
        <w:trPr>
          <w:trHeight w:val="300"/>
        </w:trPr>
        <w:tc>
          <w:tcPr>
            <w:tcW w:w="1716"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01.01.2018</w:t>
            </w:r>
          </w:p>
        </w:tc>
        <w:tc>
          <w:tcPr>
            <w:tcW w:w="851"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1 595</w:t>
            </w:r>
          </w:p>
        </w:tc>
        <w:tc>
          <w:tcPr>
            <w:tcW w:w="1134" w:type="dxa"/>
            <w:tcBorders>
              <w:top w:val="single" w:sz="4" w:space="0" w:color="auto"/>
              <w:bottom w:val="single" w:sz="4" w:space="0" w:color="auto"/>
            </w:tcBorders>
            <w:shd w:val="clear" w:color="auto" w:fill="auto"/>
            <w:noWrap/>
            <w:vAlign w:val="bottom"/>
            <w:hideMark/>
          </w:tcPr>
          <w:p w:rsidR="00646EB5" w:rsidRPr="00FB57D9"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1 123 45</w:t>
            </w:r>
            <w:r>
              <w:rPr>
                <w:rFonts w:cs="Arial"/>
                <w:b/>
                <w:bCs/>
                <w:sz w:val="16"/>
                <w:szCs w:val="16"/>
                <w:lang w:val="en-US" w:eastAsia="ru-RU"/>
              </w:rPr>
              <w:t>5</w:t>
            </w:r>
          </w:p>
        </w:tc>
        <w:tc>
          <w:tcPr>
            <w:tcW w:w="1292" w:type="dxa"/>
            <w:tcBorders>
              <w:top w:val="single" w:sz="4" w:space="0" w:color="auto"/>
              <w:bottom w:val="single" w:sz="4" w:space="0" w:color="auto"/>
            </w:tcBorders>
            <w:shd w:val="clear" w:color="auto" w:fill="auto"/>
            <w:noWrap/>
            <w:vAlign w:val="bottom"/>
            <w:hideMark/>
          </w:tcPr>
          <w:p w:rsidR="00646EB5" w:rsidRPr="00ED6676" w:rsidRDefault="00646EB5" w:rsidP="00646EB5">
            <w:pPr>
              <w:overflowPunct/>
              <w:autoSpaceDE/>
              <w:autoSpaceDN/>
              <w:adjustRightInd/>
              <w:jc w:val="center"/>
              <w:textAlignment w:val="auto"/>
              <w:rPr>
                <w:rFonts w:cs="Arial"/>
                <w:b/>
                <w:bCs/>
                <w:sz w:val="16"/>
                <w:szCs w:val="16"/>
                <w:lang w:val="en-US" w:eastAsia="ru-RU"/>
              </w:rPr>
            </w:pPr>
            <w:r w:rsidRPr="009C7087">
              <w:rPr>
                <w:rFonts w:cs="Arial"/>
                <w:b/>
                <w:bCs/>
                <w:sz w:val="16"/>
                <w:szCs w:val="16"/>
                <w:lang w:val="ru-RU" w:eastAsia="ru-RU"/>
              </w:rPr>
              <w:t>22 38</w:t>
            </w:r>
            <w:r>
              <w:rPr>
                <w:rFonts w:cs="Arial"/>
                <w:b/>
                <w:bCs/>
                <w:sz w:val="16"/>
                <w:szCs w:val="16"/>
                <w:lang w:val="en-US" w:eastAsia="ru-RU"/>
              </w:rPr>
              <w:t>0</w:t>
            </w:r>
          </w:p>
        </w:tc>
        <w:tc>
          <w:tcPr>
            <w:tcW w:w="113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en-US" w:eastAsia="ru-RU"/>
              </w:rPr>
              <w:t>50 0</w:t>
            </w:r>
            <w:r w:rsidRPr="009C7087">
              <w:rPr>
                <w:rFonts w:cs="Arial"/>
                <w:b/>
                <w:bCs/>
                <w:sz w:val="16"/>
                <w:szCs w:val="16"/>
                <w:lang w:val="ru-RU" w:eastAsia="ru-RU"/>
              </w:rPr>
              <w:t>09</w:t>
            </w:r>
          </w:p>
        </w:tc>
        <w:tc>
          <w:tcPr>
            <w:tcW w:w="1397"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41 266</w:t>
            </w:r>
          </w:p>
        </w:tc>
        <w:tc>
          <w:tcPr>
            <w:tcW w:w="904" w:type="dxa"/>
            <w:tcBorders>
              <w:top w:val="single" w:sz="4" w:space="0" w:color="auto"/>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w:t>
            </w:r>
          </w:p>
        </w:tc>
        <w:tc>
          <w:tcPr>
            <w:tcW w:w="113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1 238 705</w:t>
            </w:r>
          </w:p>
        </w:tc>
      </w:tr>
      <w:tr w:rsidR="00646EB5" w:rsidRPr="009C7087" w:rsidTr="00646EB5">
        <w:trPr>
          <w:trHeight w:val="300"/>
        </w:trPr>
        <w:tc>
          <w:tcPr>
            <w:tcW w:w="1716" w:type="dxa"/>
            <w:tcBorders>
              <w:top w:val="single" w:sz="4" w:space="0" w:color="auto"/>
            </w:tcBorders>
            <w:shd w:val="clear" w:color="auto" w:fill="auto"/>
            <w:vAlign w:val="bottom"/>
            <w:hideMark/>
          </w:tcPr>
          <w:p w:rsidR="00646EB5" w:rsidRPr="009C7087" w:rsidRDefault="00646EB5" w:rsidP="00646EB5">
            <w:pPr>
              <w:overflowPunct/>
              <w:autoSpaceDE/>
              <w:autoSpaceDN/>
              <w:adjustRightInd/>
              <w:textAlignment w:val="auto"/>
              <w:rPr>
                <w:rFonts w:cs="Arial"/>
                <w:color w:val="000000"/>
                <w:sz w:val="16"/>
                <w:szCs w:val="16"/>
                <w:lang w:val="ru-RU"/>
              </w:rPr>
            </w:pPr>
            <w:r w:rsidRPr="009C7087">
              <w:rPr>
                <w:rFonts w:cs="Arial"/>
                <w:color w:val="000000"/>
                <w:sz w:val="16"/>
                <w:szCs w:val="16"/>
                <w:lang w:val="ru-RU"/>
              </w:rPr>
              <w:t>изменение резерва на возможные потери</w:t>
            </w:r>
          </w:p>
        </w:tc>
        <w:tc>
          <w:tcPr>
            <w:tcW w:w="851"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Pr>
                <w:rFonts w:cs="Arial"/>
                <w:color w:val="000000"/>
                <w:sz w:val="16"/>
                <w:szCs w:val="16"/>
                <w:lang w:val="ru-RU"/>
              </w:rPr>
              <w:t>(1 444)</w:t>
            </w:r>
          </w:p>
        </w:tc>
        <w:tc>
          <w:tcPr>
            <w:tcW w:w="1134" w:type="dxa"/>
            <w:tcBorders>
              <w:top w:val="single" w:sz="4" w:space="0" w:color="auto"/>
            </w:tcBorders>
            <w:shd w:val="clear" w:color="auto" w:fill="auto"/>
            <w:noWrap/>
            <w:vAlign w:val="bottom"/>
            <w:hideMark/>
          </w:tcPr>
          <w:p w:rsidR="00646EB5" w:rsidRPr="00D01C3F" w:rsidRDefault="00646EB5" w:rsidP="00646EB5">
            <w:pPr>
              <w:overflowPunct/>
              <w:autoSpaceDE/>
              <w:autoSpaceDN/>
              <w:adjustRightInd/>
              <w:jc w:val="center"/>
              <w:textAlignment w:val="auto"/>
              <w:rPr>
                <w:rFonts w:cs="Arial"/>
                <w:color w:val="000000"/>
                <w:sz w:val="16"/>
                <w:szCs w:val="16"/>
                <w:lang w:val="ru-RU"/>
              </w:rPr>
            </w:pPr>
            <w:r>
              <w:rPr>
                <w:rFonts w:cs="Arial"/>
                <w:color w:val="000000"/>
                <w:sz w:val="16"/>
                <w:szCs w:val="16"/>
                <w:lang w:val="ru-RU"/>
              </w:rPr>
              <w:t>196 561</w:t>
            </w:r>
          </w:p>
        </w:tc>
        <w:tc>
          <w:tcPr>
            <w:tcW w:w="1292"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w:t>
            </w:r>
            <w:r>
              <w:rPr>
                <w:rFonts w:cs="Arial"/>
                <w:color w:val="000000"/>
                <w:sz w:val="16"/>
                <w:szCs w:val="16"/>
                <w:lang w:val="ru-RU"/>
              </w:rPr>
              <w:t>1 591</w:t>
            </w:r>
            <w:r w:rsidRPr="009C7087">
              <w:rPr>
                <w:rFonts w:cs="Arial"/>
                <w:color w:val="000000"/>
                <w:sz w:val="16"/>
                <w:szCs w:val="16"/>
                <w:lang w:val="ru-RU"/>
              </w:rPr>
              <w:t>)</w:t>
            </w:r>
          </w:p>
        </w:tc>
        <w:tc>
          <w:tcPr>
            <w:tcW w:w="1132" w:type="dxa"/>
            <w:tcBorders>
              <w:top w:val="single" w:sz="4" w:space="0" w:color="auto"/>
            </w:tcBorders>
            <w:shd w:val="clear" w:color="auto" w:fill="auto"/>
            <w:noWrap/>
            <w:vAlign w:val="bottom"/>
            <w:hideMark/>
          </w:tcPr>
          <w:p w:rsidR="00646EB5" w:rsidRPr="00A62FD8" w:rsidRDefault="00646EB5" w:rsidP="00646EB5">
            <w:pPr>
              <w:overflowPunct/>
              <w:autoSpaceDE/>
              <w:autoSpaceDN/>
              <w:adjustRightInd/>
              <w:jc w:val="center"/>
              <w:textAlignment w:val="auto"/>
              <w:rPr>
                <w:rFonts w:cs="Arial"/>
                <w:color w:val="000000"/>
                <w:sz w:val="16"/>
                <w:szCs w:val="16"/>
                <w:lang w:val="ru-RU"/>
              </w:rPr>
            </w:pPr>
            <w:r>
              <w:rPr>
                <w:rFonts w:cs="Arial"/>
                <w:color w:val="000000"/>
                <w:sz w:val="16"/>
                <w:szCs w:val="16"/>
                <w:lang w:val="ru-RU"/>
              </w:rPr>
              <w:t>(8 234)</w:t>
            </w:r>
          </w:p>
        </w:tc>
        <w:tc>
          <w:tcPr>
            <w:tcW w:w="1397"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Pr>
                <w:rFonts w:cs="Arial"/>
                <w:color w:val="000000"/>
                <w:sz w:val="16"/>
                <w:szCs w:val="16"/>
                <w:lang w:val="ru-RU"/>
              </w:rPr>
              <w:t>(17 445)</w:t>
            </w:r>
          </w:p>
        </w:tc>
        <w:tc>
          <w:tcPr>
            <w:tcW w:w="904" w:type="dxa"/>
            <w:tcBorders>
              <w:top w:val="single" w:sz="4" w:space="0" w:color="auto"/>
            </w:tcBorders>
          </w:tcPr>
          <w:p w:rsidR="00646EB5" w:rsidRPr="00090634" w:rsidRDefault="00646EB5" w:rsidP="00646EB5">
            <w:pPr>
              <w:overflowPunct/>
              <w:autoSpaceDE/>
              <w:autoSpaceDN/>
              <w:adjustRightInd/>
              <w:jc w:val="center"/>
              <w:textAlignment w:val="auto"/>
              <w:rPr>
                <w:rFonts w:cs="Arial"/>
                <w:bCs/>
                <w:sz w:val="16"/>
                <w:szCs w:val="16"/>
                <w:lang w:val="ru-RU" w:eastAsia="ru-RU"/>
              </w:rPr>
            </w:pPr>
          </w:p>
          <w:p w:rsidR="00646EB5" w:rsidRPr="00090634" w:rsidRDefault="00646EB5" w:rsidP="00646EB5">
            <w:pPr>
              <w:overflowPunct/>
              <w:autoSpaceDE/>
              <w:autoSpaceDN/>
              <w:adjustRightInd/>
              <w:jc w:val="center"/>
              <w:textAlignment w:val="auto"/>
              <w:rPr>
                <w:rFonts w:cs="Arial"/>
                <w:bCs/>
                <w:sz w:val="16"/>
                <w:szCs w:val="16"/>
                <w:lang w:val="ru-RU" w:eastAsia="ru-RU"/>
              </w:rPr>
            </w:pPr>
          </w:p>
          <w:p w:rsidR="00646EB5" w:rsidRPr="00090634" w:rsidRDefault="00646EB5" w:rsidP="00646EB5">
            <w:pPr>
              <w:overflowPunct/>
              <w:autoSpaceDE/>
              <w:autoSpaceDN/>
              <w:adjustRightInd/>
              <w:jc w:val="center"/>
              <w:textAlignment w:val="auto"/>
              <w:rPr>
                <w:rFonts w:cs="Arial"/>
                <w:bCs/>
                <w:sz w:val="16"/>
                <w:szCs w:val="16"/>
                <w:lang w:val="ru-RU" w:eastAsia="ru-RU"/>
              </w:rPr>
            </w:pPr>
            <w:r w:rsidRPr="00090634">
              <w:rPr>
                <w:rFonts w:cs="Arial"/>
                <w:bCs/>
                <w:sz w:val="16"/>
                <w:szCs w:val="16"/>
                <w:lang w:val="ru-RU" w:eastAsia="ru-RU"/>
              </w:rPr>
              <w:t>1</w:t>
            </w:r>
            <w:r>
              <w:rPr>
                <w:rFonts w:cs="Arial"/>
                <w:bCs/>
                <w:sz w:val="16"/>
                <w:szCs w:val="16"/>
                <w:lang w:val="ru-RU" w:eastAsia="ru-RU"/>
              </w:rPr>
              <w:t xml:space="preserve"> </w:t>
            </w:r>
            <w:r w:rsidRPr="00090634">
              <w:rPr>
                <w:rFonts w:cs="Arial"/>
                <w:bCs/>
                <w:sz w:val="16"/>
                <w:szCs w:val="16"/>
                <w:lang w:val="ru-RU" w:eastAsia="ru-RU"/>
              </w:rPr>
              <w:t>085</w:t>
            </w:r>
          </w:p>
        </w:tc>
        <w:tc>
          <w:tcPr>
            <w:tcW w:w="1132"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 xml:space="preserve"> 168 932</w:t>
            </w:r>
          </w:p>
        </w:tc>
      </w:tr>
      <w:tr w:rsidR="00646EB5" w:rsidRPr="009C7087" w:rsidTr="00646EB5">
        <w:trPr>
          <w:trHeight w:val="300"/>
        </w:trPr>
        <w:tc>
          <w:tcPr>
            <w:tcW w:w="1716" w:type="dxa"/>
            <w:tcBorders>
              <w:bottom w:val="single" w:sz="4" w:space="0" w:color="auto"/>
            </w:tcBorders>
            <w:shd w:val="clear" w:color="auto" w:fill="auto"/>
            <w:vAlign w:val="bottom"/>
            <w:hideMark/>
          </w:tcPr>
          <w:p w:rsidR="00646EB5" w:rsidRPr="009C7087" w:rsidRDefault="00646EB5" w:rsidP="00646EB5">
            <w:pPr>
              <w:overflowPunct/>
              <w:autoSpaceDE/>
              <w:autoSpaceDN/>
              <w:adjustRightInd/>
              <w:textAlignment w:val="auto"/>
              <w:rPr>
                <w:rFonts w:cs="Arial"/>
                <w:color w:val="000000"/>
                <w:sz w:val="16"/>
                <w:szCs w:val="16"/>
                <w:lang w:val="ru-RU"/>
              </w:rPr>
            </w:pPr>
            <w:r w:rsidRPr="009C7087">
              <w:rPr>
                <w:rFonts w:cs="Arial"/>
                <w:color w:val="000000"/>
                <w:sz w:val="16"/>
                <w:szCs w:val="16"/>
                <w:lang w:val="ru-RU"/>
              </w:rPr>
              <w:t>списание за счет резерва</w:t>
            </w:r>
          </w:p>
        </w:tc>
        <w:tc>
          <w:tcPr>
            <w:tcW w:w="851"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1134"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w:t>
            </w:r>
            <w:r>
              <w:rPr>
                <w:rFonts w:cs="Arial"/>
                <w:color w:val="000000"/>
                <w:sz w:val="16"/>
                <w:szCs w:val="16"/>
                <w:lang w:val="ru-RU"/>
              </w:rPr>
              <w:t>39 112)</w:t>
            </w:r>
          </w:p>
        </w:tc>
        <w:tc>
          <w:tcPr>
            <w:tcW w:w="129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w:t>
            </w:r>
            <w:r>
              <w:rPr>
                <w:rFonts w:cs="Arial"/>
                <w:color w:val="000000"/>
                <w:sz w:val="16"/>
                <w:szCs w:val="16"/>
                <w:lang w:val="ru-RU"/>
              </w:rPr>
              <w:t>1 351</w:t>
            </w:r>
            <w:r w:rsidRPr="009C7087">
              <w:rPr>
                <w:rFonts w:cs="Arial"/>
                <w:color w:val="000000"/>
                <w:sz w:val="16"/>
                <w:szCs w:val="16"/>
                <w:lang w:val="ru-RU"/>
              </w:rPr>
              <w:t>)</w:t>
            </w:r>
          </w:p>
        </w:tc>
        <w:tc>
          <w:tcPr>
            <w:tcW w:w="113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1397"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904" w:type="dxa"/>
            <w:tcBorders>
              <w:bottom w:val="single" w:sz="4" w:space="0" w:color="auto"/>
            </w:tcBorders>
          </w:tcPr>
          <w:p w:rsidR="00646EB5" w:rsidRPr="00090634" w:rsidRDefault="00646EB5" w:rsidP="00646EB5">
            <w:pPr>
              <w:overflowPunct/>
              <w:autoSpaceDE/>
              <w:autoSpaceDN/>
              <w:adjustRightInd/>
              <w:jc w:val="center"/>
              <w:textAlignment w:val="auto"/>
              <w:rPr>
                <w:rFonts w:cs="Arial"/>
                <w:bCs/>
                <w:sz w:val="16"/>
                <w:szCs w:val="16"/>
                <w:lang w:val="ru-RU" w:eastAsia="ru-RU"/>
              </w:rPr>
            </w:pPr>
          </w:p>
          <w:p w:rsidR="00646EB5" w:rsidRPr="00090634" w:rsidRDefault="00646EB5" w:rsidP="00646EB5">
            <w:pPr>
              <w:overflowPunct/>
              <w:autoSpaceDE/>
              <w:autoSpaceDN/>
              <w:adjustRightInd/>
              <w:jc w:val="center"/>
              <w:textAlignment w:val="auto"/>
              <w:rPr>
                <w:rFonts w:cs="Arial"/>
                <w:bCs/>
                <w:sz w:val="16"/>
                <w:szCs w:val="16"/>
                <w:lang w:val="ru-RU" w:eastAsia="ru-RU"/>
              </w:rPr>
            </w:pPr>
            <w:r w:rsidRPr="00090634">
              <w:rPr>
                <w:rFonts w:cs="Arial"/>
                <w:bCs/>
                <w:sz w:val="16"/>
                <w:szCs w:val="16"/>
                <w:lang w:val="ru-RU" w:eastAsia="ru-RU"/>
              </w:rPr>
              <w:t>(89)</w:t>
            </w:r>
          </w:p>
        </w:tc>
        <w:tc>
          <w:tcPr>
            <w:tcW w:w="113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w:t>
            </w:r>
            <w:r>
              <w:rPr>
                <w:rFonts w:cs="Arial"/>
                <w:b/>
                <w:bCs/>
                <w:sz w:val="16"/>
                <w:szCs w:val="16"/>
                <w:lang w:val="ru-RU" w:eastAsia="ru-RU"/>
              </w:rPr>
              <w:t>40 552</w:t>
            </w:r>
            <w:r w:rsidRPr="009C7087">
              <w:rPr>
                <w:rFonts w:cs="Arial"/>
                <w:b/>
                <w:bCs/>
                <w:sz w:val="16"/>
                <w:szCs w:val="16"/>
                <w:lang w:val="ru-RU" w:eastAsia="ru-RU"/>
              </w:rPr>
              <w:t>)</w:t>
            </w:r>
          </w:p>
        </w:tc>
      </w:tr>
      <w:tr w:rsidR="00646EB5" w:rsidRPr="009C7087" w:rsidTr="00646EB5">
        <w:trPr>
          <w:trHeight w:val="300"/>
        </w:trPr>
        <w:tc>
          <w:tcPr>
            <w:tcW w:w="1716"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31.12.2018</w:t>
            </w:r>
          </w:p>
        </w:tc>
        <w:tc>
          <w:tcPr>
            <w:tcW w:w="851"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151</w:t>
            </w:r>
          </w:p>
        </w:tc>
        <w:tc>
          <w:tcPr>
            <w:tcW w:w="1134" w:type="dxa"/>
            <w:tcBorders>
              <w:top w:val="single" w:sz="4" w:space="0" w:color="auto"/>
              <w:bottom w:val="single" w:sz="4" w:space="0" w:color="auto"/>
            </w:tcBorders>
            <w:shd w:val="clear" w:color="auto" w:fill="auto"/>
            <w:noWrap/>
            <w:vAlign w:val="bottom"/>
            <w:hideMark/>
          </w:tcPr>
          <w:p w:rsidR="00646EB5" w:rsidRPr="00D01C3F"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1 280 904</w:t>
            </w:r>
          </w:p>
        </w:tc>
        <w:tc>
          <w:tcPr>
            <w:tcW w:w="1292" w:type="dxa"/>
            <w:tcBorders>
              <w:top w:val="single" w:sz="4" w:space="0" w:color="auto"/>
              <w:bottom w:val="single" w:sz="4" w:space="0" w:color="auto"/>
            </w:tcBorders>
            <w:shd w:val="clear" w:color="auto" w:fill="auto"/>
            <w:noWrap/>
            <w:vAlign w:val="bottom"/>
            <w:hideMark/>
          </w:tcPr>
          <w:p w:rsidR="00646EB5" w:rsidRPr="00ED6676" w:rsidRDefault="00646EB5" w:rsidP="00646EB5">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19 438</w:t>
            </w:r>
          </w:p>
        </w:tc>
        <w:tc>
          <w:tcPr>
            <w:tcW w:w="1132" w:type="dxa"/>
            <w:tcBorders>
              <w:top w:val="single" w:sz="4" w:space="0" w:color="auto"/>
              <w:bottom w:val="single" w:sz="4" w:space="0" w:color="auto"/>
            </w:tcBorders>
            <w:shd w:val="clear" w:color="auto" w:fill="auto"/>
            <w:noWrap/>
            <w:vAlign w:val="bottom"/>
            <w:hideMark/>
          </w:tcPr>
          <w:p w:rsidR="00646EB5" w:rsidRPr="00726DAB" w:rsidRDefault="00646EB5" w:rsidP="00646EB5">
            <w:pPr>
              <w:overflowPunct/>
              <w:autoSpaceDE/>
              <w:autoSpaceDN/>
              <w:adjustRightInd/>
              <w:jc w:val="center"/>
              <w:textAlignment w:val="auto"/>
              <w:rPr>
                <w:rFonts w:cs="Arial"/>
                <w:b/>
                <w:bCs/>
                <w:sz w:val="16"/>
                <w:szCs w:val="16"/>
                <w:lang w:val="en-US" w:eastAsia="ru-RU"/>
              </w:rPr>
            </w:pPr>
            <w:r>
              <w:rPr>
                <w:rFonts w:cs="Arial"/>
                <w:b/>
                <w:bCs/>
                <w:sz w:val="16"/>
                <w:szCs w:val="16"/>
                <w:lang w:val="ru-RU" w:eastAsia="ru-RU"/>
              </w:rPr>
              <w:t>41 775</w:t>
            </w:r>
          </w:p>
        </w:tc>
        <w:tc>
          <w:tcPr>
            <w:tcW w:w="1397"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23 821</w:t>
            </w:r>
          </w:p>
        </w:tc>
        <w:tc>
          <w:tcPr>
            <w:tcW w:w="904" w:type="dxa"/>
            <w:tcBorders>
              <w:top w:val="single" w:sz="4" w:space="0" w:color="auto"/>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996</w:t>
            </w:r>
          </w:p>
        </w:tc>
        <w:tc>
          <w:tcPr>
            <w:tcW w:w="113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1 367 085</w:t>
            </w:r>
          </w:p>
        </w:tc>
      </w:tr>
      <w:tr w:rsidR="00646EB5" w:rsidRPr="009C7087" w:rsidTr="00646EB5">
        <w:trPr>
          <w:trHeight w:val="104"/>
        </w:trPr>
        <w:tc>
          <w:tcPr>
            <w:tcW w:w="1716" w:type="dxa"/>
            <w:tcBorders>
              <w:top w:val="single" w:sz="4" w:space="0" w:color="auto"/>
              <w:bottom w:val="single" w:sz="4" w:space="0" w:color="auto"/>
            </w:tcBorders>
            <w:shd w:val="clear" w:color="auto" w:fill="auto"/>
            <w:vAlign w:val="bottom"/>
            <w:hideMark/>
          </w:tcPr>
          <w:p w:rsidR="00646EB5" w:rsidRPr="009C7087" w:rsidRDefault="00646EB5" w:rsidP="00646EB5">
            <w:pPr>
              <w:rPr>
                <w:rFonts w:ascii="Calibri" w:hAnsi="Calibri" w:cs="Times New Roman"/>
                <w:b/>
                <w:bCs/>
                <w:color w:val="000000"/>
                <w:sz w:val="16"/>
                <w:szCs w:val="16"/>
                <w:lang w:eastAsia="ru-RU"/>
              </w:rPr>
            </w:pPr>
            <w:r w:rsidRPr="009C7087">
              <w:rPr>
                <w:rFonts w:ascii="Calibri" w:hAnsi="Calibri" w:cs="Times New Roman"/>
                <w:b/>
                <w:bCs/>
                <w:color w:val="000000"/>
                <w:sz w:val="16"/>
                <w:szCs w:val="16"/>
                <w:lang w:eastAsia="ru-RU"/>
              </w:rPr>
              <w:t> </w:t>
            </w:r>
          </w:p>
        </w:tc>
        <w:tc>
          <w:tcPr>
            <w:tcW w:w="851" w:type="dxa"/>
            <w:tcBorders>
              <w:top w:val="single" w:sz="4" w:space="0" w:color="auto"/>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tc>
        <w:tc>
          <w:tcPr>
            <w:tcW w:w="6991" w:type="dxa"/>
            <w:gridSpan w:val="6"/>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2017 год</w:t>
            </w:r>
          </w:p>
        </w:tc>
      </w:tr>
      <w:tr w:rsidR="00646EB5" w:rsidRPr="009C7087" w:rsidTr="00646EB5">
        <w:trPr>
          <w:trHeight w:val="300"/>
        </w:trPr>
        <w:tc>
          <w:tcPr>
            <w:tcW w:w="1716" w:type="dxa"/>
            <w:tcBorders>
              <w:top w:val="single" w:sz="4" w:space="0" w:color="auto"/>
              <w:bottom w:val="sing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01.01.2017</w:t>
            </w:r>
          </w:p>
        </w:tc>
        <w:tc>
          <w:tcPr>
            <w:tcW w:w="851"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17</w:t>
            </w:r>
          </w:p>
        </w:tc>
        <w:tc>
          <w:tcPr>
            <w:tcW w:w="1134"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1 296 192</w:t>
            </w:r>
          </w:p>
        </w:tc>
        <w:tc>
          <w:tcPr>
            <w:tcW w:w="129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46 473</w:t>
            </w:r>
          </w:p>
        </w:tc>
        <w:tc>
          <w:tcPr>
            <w:tcW w:w="113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99 925</w:t>
            </w:r>
          </w:p>
        </w:tc>
        <w:tc>
          <w:tcPr>
            <w:tcW w:w="1397"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30 749</w:t>
            </w:r>
          </w:p>
        </w:tc>
        <w:tc>
          <w:tcPr>
            <w:tcW w:w="904" w:type="dxa"/>
            <w:tcBorders>
              <w:top w:val="single" w:sz="4" w:space="0" w:color="auto"/>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85</w:t>
            </w:r>
          </w:p>
        </w:tc>
        <w:tc>
          <w:tcPr>
            <w:tcW w:w="1132" w:type="dxa"/>
            <w:tcBorders>
              <w:top w:val="single" w:sz="4" w:space="0" w:color="auto"/>
              <w:bottom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1 473 441</w:t>
            </w:r>
          </w:p>
        </w:tc>
      </w:tr>
      <w:tr w:rsidR="00646EB5" w:rsidRPr="009C7087" w:rsidTr="00646EB5">
        <w:trPr>
          <w:trHeight w:val="300"/>
        </w:trPr>
        <w:tc>
          <w:tcPr>
            <w:tcW w:w="1716" w:type="dxa"/>
            <w:tcBorders>
              <w:top w:val="single" w:sz="4" w:space="0" w:color="auto"/>
            </w:tcBorders>
            <w:shd w:val="clear" w:color="auto" w:fill="auto"/>
            <w:vAlign w:val="bottom"/>
            <w:hideMark/>
          </w:tcPr>
          <w:p w:rsidR="00646EB5" w:rsidRPr="009C7087" w:rsidRDefault="00646EB5" w:rsidP="00646EB5">
            <w:pPr>
              <w:overflowPunct/>
              <w:autoSpaceDE/>
              <w:autoSpaceDN/>
              <w:adjustRightInd/>
              <w:textAlignment w:val="auto"/>
              <w:rPr>
                <w:rFonts w:cs="Arial"/>
                <w:color w:val="000000"/>
                <w:sz w:val="16"/>
                <w:szCs w:val="16"/>
                <w:lang w:val="ru-RU"/>
              </w:rPr>
            </w:pPr>
            <w:r w:rsidRPr="009C7087">
              <w:rPr>
                <w:rFonts w:cs="Arial"/>
                <w:color w:val="000000"/>
                <w:sz w:val="16"/>
                <w:szCs w:val="16"/>
                <w:lang w:val="ru-RU"/>
              </w:rPr>
              <w:t>изменение резерва на возможные потери</w:t>
            </w:r>
          </w:p>
        </w:tc>
        <w:tc>
          <w:tcPr>
            <w:tcW w:w="851"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1 578</w:t>
            </w:r>
          </w:p>
        </w:tc>
        <w:tc>
          <w:tcPr>
            <w:tcW w:w="1134" w:type="dxa"/>
            <w:tcBorders>
              <w:top w:val="single" w:sz="4" w:space="0" w:color="auto"/>
            </w:tcBorders>
            <w:shd w:val="clear" w:color="auto" w:fill="auto"/>
            <w:noWrap/>
            <w:vAlign w:val="bottom"/>
            <w:hideMark/>
          </w:tcPr>
          <w:p w:rsidR="00646EB5" w:rsidRPr="00ED6676" w:rsidRDefault="00646EB5" w:rsidP="00646EB5">
            <w:pPr>
              <w:overflowPunct/>
              <w:autoSpaceDE/>
              <w:autoSpaceDN/>
              <w:adjustRightInd/>
              <w:jc w:val="center"/>
              <w:textAlignment w:val="auto"/>
              <w:rPr>
                <w:rFonts w:cs="Arial"/>
                <w:color w:val="000000"/>
                <w:sz w:val="16"/>
                <w:szCs w:val="16"/>
                <w:lang w:val="en-US"/>
              </w:rPr>
            </w:pPr>
            <w:r w:rsidRPr="009C7087">
              <w:rPr>
                <w:rFonts w:cs="Arial"/>
                <w:color w:val="000000"/>
                <w:sz w:val="16"/>
                <w:szCs w:val="16"/>
                <w:lang w:val="en-US"/>
              </w:rPr>
              <w:t xml:space="preserve">62 </w:t>
            </w:r>
            <w:r>
              <w:rPr>
                <w:rFonts w:cs="Arial"/>
                <w:color w:val="000000"/>
                <w:sz w:val="16"/>
                <w:szCs w:val="16"/>
                <w:lang w:val="ru-RU"/>
              </w:rPr>
              <w:t>99</w:t>
            </w:r>
            <w:r>
              <w:rPr>
                <w:rFonts w:cs="Arial"/>
                <w:color w:val="000000"/>
                <w:sz w:val="16"/>
                <w:szCs w:val="16"/>
                <w:lang w:val="en-US"/>
              </w:rPr>
              <w:t>2</w:t>
            </w:r>
          </w:p>
        </w:tc>
        <w:tc>
          <w:tcPr>
            <w:tcW w:w="1292"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(4 20</w:t>
            </w:r>
            <w:r>
              <w:rPr>
                <w:rFonts w:cs="Arial"/>
                <w:color w:val="000000"/>
                <w:sz w:val="16"/>
                <w:szCs w:val="16"/>
                <w:lang w:val="en-US"/>
              </w:rPr>
              <w:t>6</w:t>
            </w:r>
            <w:r w:rsidRPr="009C7087">
              <w:rPr>
                <w:rFonts w:cs="Arial"/>
                <w:color w:val="000000"/>
                <w:sz w:val="16"/>
                <w:szCs w:val="16"/>
                <w:lang w:val="ru-RU"/>
              </w:rPr>
              <w:t>)</w:t>
            </w:r>
          </w:p>
        </w:tc>
        <w:tc>
          <w:tcPr>
            <w:tcW w:w="1132"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en-US"/>
              </w:rPr>
            </w:pPr>
            <w:r w:rsidRPr="009C7087">
              <w:rPr>
                <w:rFonts w:cs="Arial"/>
                <w:color w:val="000000"/>
                <w:sz w:val="16"/>
                <w:szCs w:val="16"/>
                <w:lang w:val="ru-RU"/>
              </w:rPr>
              <w:t>(49 916</w:t>
            </w:r>
            <w:r w:rsidRPr="009C7087">
              <w:rPr>
                <w:rFonts w:cs="Arial"/>
                <w:color w:val="000000"/>
                <w:sz w:val="16"/>
                <w:szCs w:val="16"/>
                <w:lang w:val="en-US"/>
              </w:rPr>
              <w:t>)</w:t>
            </w:r>
          </w:p>
        </w:tc>
        <w:tc>
          <w:tcPr>
            <w:tcW w:w="1397"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10 517</w:t>
            </w:r>
          </w:p>
        </w:tc>
        <w:tc>
          <w:tcPr>
            <w:tcW w:w="904" w:type="dxa"/>
            <w:tcBorders>
              <w:top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(70)</w:t>
            </w:r>
          </w:p>
        </w:tc>
        <w:tc>
          <w:tcPr>
            <w:tcW w:w="1132" w:type="dxa"/>
            <w:tcBorders>
              <w:top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20 895</w:t>
            </w:r>
          </w:p>
        </w:tc>
      </w:tr>
      <w:tr w:rsidR="00646EB5" w:rsidRPr="009C7087" w:rsidTr="00646EB5">
        <w:trPr>
          <w:trHeight w:val="300"/>
        </w:trPr>
        <w:tc>
          <w:tcPr>
            <w:tcW w:w="1716" w:type="dxa"/>
            <w:tcBorders>
              <w:bottom w:val="single" w:sz="4" w:space="0" w:color="auto"/>
            </w:tcBorders>
            <w:shd w:val="clear" w:color="auto" w:fill="auto"/>
            <w:vAlign w:val="bottom"/>
            <w:hideMark/>
          </w:tcPr>
          <w:p w:rsidR="00646EB5" w:rsidRPr="009C7087" w:rsidRDefault="00646EB5" w:rsidP="00646EB5">
            <w:pPr>
              <w:overflowPunct/>
              <w:autoSpaceDE/>
              <w:autoSpaceDN/>
              <w:adjustRightInd/>
              <w:textAlignment w:val="auto"/>
              <w:rPr>
                <w:rFonts w:cs="Arial"/>
                <w:color w:val="000000"/>
                <w:sz w:val="16"/>
                <w:szCs w:val="16"/>
                <w:lang w:val="ru-RU"/>
              </w:rPr>
            </w:pPr>
            <w:r w:rsidRPr="009C7087">
              <w:rPr>
                <w:rFonts w:cs="Arial"/>
                <w:color w:val="000000"/>
                <w:sz w:val="16"/>
                <w:szCs w:val="16"/>
                <w:lang w:val="ru-RU"/>
              </w:rPr>
              <w:t>списание за счет резерва</w:t>
            </w:r>
          </w:p>
        </w:tc>
        <w:tc>
          <w:tcPr>
            <w:tcW w:w="851"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1134"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(235 729)</w:t>
            </w:r>
          </w:p>
        </w:tc>
        <w:tc>
          <w:tcPr>
            <w:tcW w:w="129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r w:rsidRPr="009C7087">
              <w:rPr>
                <w:rFonts w:cs="Arial"/>
                <w:color w:val="000000"/>
                <w:sz w:val="16"/>
                <w:szCs w:val="16"/>
                <w:lang w:val="ru-RU"/>
              </w:rPr>
              <w:t>(19 887)</w:t>
            </w:r>
          </w:p>
        </w:tc>
        <w:tc>
          <w:tcPr>
            <w:tcW w:w="113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1397"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color w:val="000000"/>
                <w:sz w:val="16"/>
                <w:szCs w:val="16"/>
                <w:lang w:val="ru-RU"/>
              </w:rPr>
            </w:pPr>
          </w:p>
        </w:tc>
        <w:tc>
          <w:tcPr>
            <w:tcW w:w="904" w:type="dxa"/>
            <w:tcBorders>
              <w:bottom w:val="sing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(15)</w:t>
            </w:r>
          </w:p>
        </w:tc>
        <w:tc>
          <w:tcPr>
            <w:tcW w:w="1132" w:type="dxa"/>
            <w:tcBorders>
              <w:bottom w:val="sing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(255 631)</w:t>
            </w:r>
          </w:p>
        </w:tc>
      </w:tr>
      <w:tr w:rsidR="00646EB5" w:rsidRPr="009E614E" w:rsidTr="00646EB5">
        <w:trPr>
          <w:trHeight w:val="300"/>
        </w:trPr>
        <w:tc>
          <w:tcPr>
            <w:tcW w:w="1716" w:type="dxa"/>
            <w:tcBorders>
              <w:top w:val="single" w:sz="4" w:space="0" w:color="auto"/>
              <w:bottom w:val="double" w:sz="4" w:space="0" w:color="auto"/>
            </w:tcBorders>
            <w:shd w:val="clear" w:color="auto" w:fill="auto"/>
            <w:vAlign w:val="bottom"/>
            <w:hideMark/>
          </w:tcPr>
          <w:p w:rsidR="00646EB5" w:rsidRPr="009C7087" w:rsidRDefault="00646EB5" w:rsidP="00646EB5">
            <w:pPr>
              <w:overflowPunct/>
              <w:autoSpaceDE/>
              <w:autoSpaceDN/>
              <w:adjustRightInd/>
              <w:jc w:val="center"/>
              <w:textAlignment w:val="auto"/>
              <w:rPr>
                <w:rFonts w:cs="Arial"/>
                <w:b/>
                <w:bCs/>
                <w:sz w:val="16"/>
                <w:szCs w:val="16"/>
                <w:lang w:val="en-US" w:eastAsia="ru-RU"/>
              </w:rPr>
            </w:pPr>
            <w:r w:rsidRPr="009C7087">
              <w:rPr>
                <w:rFonts w:cs="Arial"/>
                <w:b/>
                <w:bCs/>
                <w:sz w:val="16"/>
                <w:szCs w:val="16"/>
                <w:lang w:val="ru-RU" w:eastAsia="ru-RU"/>
              </w:rPr>
              <w:t>31.12.2017</w:t>
            </w:r>
          </w:p>
        </w:tc>
        <w:tc>
          <w:tcPr>
            <w:tcW w:w="851" w:type="dxa"/>
            <w:tcBorders>
              <w:top w:val="single" w:sz="4" w:space="0" w:color="auto"/>
              <w:bottom w:val="doub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1 595</w:t>
            </w:r>
          </w:p>
        </w:tc>
        <w:tc>
          <w:tcPr>
            <w:tcW w:w="1134" w:type="dxa"/>
            <w:tcBorders>
              <w:top w:val="single" w:sz="4" w:space="0" w:color="auto"/>
              <w:bottom w:val="double" w:sz="4" w:space="0" w:color="auto"/>
            </w:tcBorders>
            <w:shd w:val="clear" w:color="auto" w:fill="auto"/>
            <w:noWrap/>
            <w:vAlign w:val="bottom"/>
            <w:hideMark/>
          </w:tcPr>
          <w:p w:rsidR="00646EB5" w:rsidRPr="00FB57D9" w:rsidRDefault="00646EB5" w:rsidP="00646EB5">
            <w:pPr>
              <w:overflowPunct/>
              <w:autoSpaceDE/>
              <w:autoSpaceDN/>
              <w:adjustRightInd/>
              <w:jc w:val="center"/>
              <w:textAlignment w:val="auto"/>
              <w:rPr>
                <w:rFonts w:cs="Arial"/>
                <w:b/>
                <w:bCs/>
                <w:sz w:val="16"/>
                <w:szCs w:val="16"/>
                <w:lang w:val="ru-RU" w:eastAsia="ru-RU"/>
              </w:rPr>
            </w:pPr>
            <w:r>
              <w:rPr>
                <w:rFonts w:cs="Arial"/>
                <w:b/>
                <w:bCs/>
                <w:sz w:val="16"/>
                <w:szCs w:val="16"/>
                <w:lang w:val="ru-RU" w:eastAsia="ru-RU"/>
              </w:rPr>
              <w:t>1 123 45</w:t>
            </w:r>
            <w:r>
              <w:rPr>
                <w:rFonts w:cs="Arial"/>
                <w:b/>
                <w:bCs/>
                <w:sz w:val="16"/>
                <w:szCs w:val="16"/>
                <w:lang w:val="en-US" w:eastAsia="ru-RU"/>
              </w:rPr>
              <w:t>5</w:t>
            </w:r>
          </w:p>
        </w:tc>
        <w:tc>
          <w:tcPr>
            <w:tcW w:w="1292" w:type="dxa"/>
            <w:tcBorders>
              <w:top w:val="single" w:sz="4" w:space="0" w:color="auto"/>
              <w:bottom w:val="double" w:sz="4" w:space="0" w:color="auto"/>
            </w:tcBorders>
            <w:shd w:val="clear" w:color="auto" w:fill="auto"/>
            <w:noWrap/>
            <w:vAlign w:val="bottom"/>
            <w:hideMark/>
          </w:tcPr>
          <w:p w:rsidR="00646EB5" w:rsidRPr="00ED6676" w:rsidRDefault="00646EB5" w:rsidP="00646EB5">
            <w:pPr>
              <w:overflowPunct/>
              <w:autoSpaceDE/>
              <w:autoSpaceDN/>
              <w:adjustRightInd/>
              <w:jc w:val="center"/>
              <w:textAlignment w:val="auto"/>
              <w:rPr>
                <w:rFonts w:cs="Arial"/>
                <w:b/>
                <w:bCs/>
                <w:sz w:val="16"/>
                <w:szCs w:val="16"/>
                <w:lang w:val="en-US" w:eastAsia="ru-RU"/>
              </w:rPr>
            </w:pPr>
            <w:r w:rsidRPr="009C7087">
              <w:rPr>
                <w:rFonts w:cs="Arial"/>
                <w:b/>
                <w:bCs/>
                <w:sz w:val="16"/>
                <w:szCs w:val="16"/>
                <w:lang w:val="ru-RU" w:eastAsia="ru-RU"/>
              </w:rPr>
              <w:t>22 38</w:t>
            </w:r>
            <w:r>
              <w:rPr>
                <w:rFonts w:cs="Arial"/>
                <w:b/>
                <w:bCs/>
                <w:sz w:val="16"/>
                <w:szCs w:val="16"/>
                <w:lang w:val="en-US" w:eastAsia="ru-RU"/>
              </w:rPr>
              <w:t>0</w:t>
            </w:r>
          </w:p>
        </w:tc>
        <w:tc>
          <w:tcPr>
            <w:tcW w:w="1132" w:type="dxa"/>
            <w:tcBorders>
              <w:top w:val="single" w:sz="4" w:space="0" w:color="auto"/>
              <w:bottom w:val="doub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en-US" w:eastAsia="ru-RU"/>
              </w:rPr>
              <w:t>50 0</w:t>
            </w:r>
            <w:r w:rsidRPr="009C7087">
              <w:rPr>
                <w:rFonts w:cs="Arial"/>
                <w:b/>
                <w:bCs/>
                <w:sz w:val="16"/>
                <w:szCs w:val="16"/>
                <w:lang w:val="ru-RU" w:eastAsia="ru-RU"/>
              </w:rPr>
              <w:t>09</w:t>
            </w:r>
          </w:p>
        </w:tc>
        <w:tc>
          <w:tcPr>
            <w:tcW w:w="1397" w:type="dxa"/>
            <w:tcBorders>
              <w:top w:val="single" w:sz="4" w:space="0" w:color="auto"/>
              <w:bottom w:val="double" w:sz="4" w:space="0" w:color="auto"/>
            </w:tcBorders>
            <w:shd w:val="clear" w:color="auto" w:fill="auto"/>
            <w:noWrap/>
            <w:vAlign w:val="bottom"/>
            <w:hideMark/>
          </w:tcPr>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41 266</w:t>
            </w:r>
          </w:p>
        </w:tc>
        <w:tc>
          <w:tcPr>
            <w:tcW w:w="904" w:type="dxa"/>
            <w:tcBorders>
              <w:top w:val="single" w:sz="4" w:space="0" w:color="auto"/>
              <w:bottom w:val="double" w:sz="4" w:space="0" w:color="auto"/>
            </w:tcBorders>
          </w:tcPr>
          <w:p w:rsidR="00646EB5" w:rsidRPr="009C7087" w:rsidRDefault="00646EB5" w:rsidP="00646EB5">
            <w:pPr>
              <w:overflowPunct/>
              <w:autoSpaceDE/>
              <w:autoSpaceDN/>
              <w:adjustRightInd/>
              <w:jc w:val="center"/>
              <w:textAlignment w:val="auto"/>
              <w:rPr>
                <w:rFonts w:cs="Arial"/>
                <w:b/>
                <w:bCs/>
                <w:sz w:val="16"/>
                <w:szCs w:val="16"/>
                <w:lang w:val="ru-RU" w:eastAsia="ru-RU"/>
              </w:rPr>
            </w:pPr>
          </w:p>
          <w:p w:rsidR="00646EB5" w:rsidRPr="009C7087" w:rsidRDefault="00646EB5" w:rsidP="00646EB5">
            <w:pPr>
              <w:overflowPunct/>
              <w:autoSpaceDE/>
              <w:autoSpaceDN/>
              <w:adjustRightInd/>
              <w:jc w:val="center"/>
              <w:textAlignment w:val="auto"/>
              <w:rPr>
                <w:rFonts w:cs="Arial"/>
                <w:b/>
                <w:bCs/>
                <w:sz w:val="16"/>
                <w:szCs w:val="16"/>
                <w:lang w:val="ru-RU" w:eastAsia="ru-RU"/>
              </w:rPr>
            </w:pPr>
            <w:r w:rsidRPr="009C7087">
              <w:rPr>
                <w:rFonts w:cs="Arial"/>
                <w:b/>
                <w:bCs/>
                <w:sz w:val="16"/>
                <w:szCs w:val="16"/>
                <w:lang w:val="ru-RU" w:eastAsia="ru-RU"/>
              </w:rPr>
              <w:t>-</w:t>
            </w:r>
          </w:p>
        </w:tc>
        <w:tc>
          <w:tcPr>
            <w:tcW w:w="1132" w:type="dxa"/>
            <w:tcBorders>
              <w:top w:val="single" w:sz="4" w:space="0" w:color="auto"/>
              <w:bottom w:val="double" w:sz="4" w:space="0" w:color="auto"/>
            </w:tcBorders>
            <w:shd w:val="clear" w:color="auto" w:fill="auto"/>
            <w:noWrap/>
            <w:vAlign w:val="bottom"/>
            <w:hideMark/>
          </w:tcPr>
          <w:p w:rsidR="00646EB5" w:rsidRPr="009C7087" w:rsidRDefault="00646EB5" w:rsidP="00646EB5">
            <w:pPr>
              <w:overflowPunct/>
              <w:autoSpaceDE/>
              <w:autoSpaceDN/>
              <w:adjustRightInd/>
              <w:jc w:val="right"/>
              <w:textAlignment w:val="auto"/>
              <w:rPr>
                <w:rFonts w:cs="Arial"/>
                <w:b/>
                <w:bCs/>
                <w:sz w:val="16"/>
                <w:szCs w:val="16"/>
                <w:lang w:val="ru-RU" w:eastAsia="ru-RU"/>
              </w:rPr>
            </w:pPr>
            <w:r w:rsidRPr="009C7087">
              <w:rPr>
                <w:rFonts w:cs="Arial"/>
                <w:b/>
                <w:bCs/>
                <w:sz w:val="16"/>
                <w:szCs w:val="16"/>
                <w:lang w:val="ru-RU" w:eastAsia="ru-RU"/>
              </w:rPr>
              <w:t>1 238 705</w:t>
            </w:r>
          </w:p>
        </w:tc>
      </w:tr>
    </w:tbl>
    <w:p w:rsidR="00646EB5" w:rsidRDefault="00646EB5" w:rsidP="00646EB5">
      <w:pPr>
        <w:jc w:val="both"/>
        <w:rPr>
          <w:rFonts w:cs="Arial"/>
          <w:sz w:val="20"/>
          <w:szCs w:val="20"/>
          <w:lang w:val="ru-RU"/>
        </w:rPr>
      </w:pPr>
      <w:r>
        <w:rPr>
          <w:rFonts w:cs="Arial"/>
          <w:sz w:val="20"/>
          <w:szCs w:val="20"/>
          <w:lang w:val="ru-RU"/>
        </w:rPr>
        <w:t xml:space="preserve"> </w:t>
      </w:r>
    </w:p>
    <w:p w:rsidR="00646EB5" w:rsidRDefault="00646EB5" w:rsidP="00646EB5">
      <w:pPr>
        <w:jc w:val="both"/>
        <w:rPr>
          <w:rFonts w:cs="Arial"/>
          <w:sz w:val="20"/>
          <w:szCs w:val="20"/>
          <w:lang w:val="ru-RU"/>
        </w:rPr>
      </w:pPr>
      <w:r>
        <w:rPr>
          <w:rFonts w:cs="Arial"/>
          <w:sz w:val="20"/>
          <w:szCs w:val="20"/>
          <w:lang w:val="ru-RU"/>
        </w:rPr>
        <w:t>Сумм по восстановлению убытков от обесценения, отражаемых в статьях отчета о совокупном доходе, за отчетный период у Банка нет.</w:t>
      </w:r>
    </w:p>
    <w:p w:rsidR="00646EB5" w:rsidRDefault="00646EB5" w:rsidP="00646EB5">
      <w:pPr>
        <w:jc w:val="both"/>
        <w:rPr>
          <w:rFonts w:cs="Arial"/>
          <w:sz w:val="20"/>
          <w:szCs w:val="20"/>
          <w:lang w:val="ru-RU"/>
        </w:rPr>
      </w:pPr>
    </w:p>
    <w:p w:rsidR="00646EB5" w:rsidRDefault="00646EB5" w:rsidP="00646EB5">
      <w:pPr>
        <w:jc w:val="both"/>
        <w:rPr>
          <w:rFonts w:cs="Arial"/>
          <w:b/>
          <w:sz w:val="20"/>
          <w:szCs w:val="20"/>
          <w:lang w:val="ru-RU"/>
        </w:rPr>
      </w:pPr>
      <w:r w:rsidRPr="00DC34F1">
        <w:rPr>
          <w:rFonts w:cs="Arial"/>
          <w:b/>
          <w:sz w:val="20"/>
          <w:szCs w:val="20"/>
          <w:lang w:val="ru-RU"/>
        </w:rPr>
        <w:t>Информация о сумме убытков (восстановления убытков) от обесценения по переоцененным активам, признанной в составе прочего совокупного дохода</w:t>
      </w:r>
    </w:p>
    <w:p w:rsidR="00646EB5" w:rsidRPr="00DC34F1" w:rsidRDefault="00646EB5" w:rsidP="00646EB5">
      <w:pPr>
        <w:jc w:val="both"/>
        <w:rPr>
          <w:sz w:val="20"/>
          <w:szCs w:val="20"/>
          <w:lang w:val="ru-RU"/>
        </w:rPr>
      </w:pPr>
    </w:p>
    <w:p w:rsidR="00646EB5" w:rsidRPr="00DC34F1" w:rsidRDefault="00646EB5" w:rsidP="00646EB5">
      <w:pPr>
        <w:jc w:val="both"/>
        <w:rPr>
          <w:sz w:val="20"/>
          <w:szCs w:val="20"/>
          <w:lang w:val="ru-RU"/>
        </w:rPr>
      </w:pPr>
      <w:r w:rsidRPr="00DC34F1">
        <w:rPr>
          <w:sz w:val="20"/>
          <w:szCs w:val="20"/>
          <w:lang w:val="ru-RU"/>
        </w:rPr>
        <w:t xml:space="preserve">За отчетный период Банк отразил в составе прочего совокупного дохода увеличение фонда переоценки основных средств </w:t>
      </w:r>
      <w:r>
        <w:rPr>
          <w:sz w:val="20"/>
          <w:szCs w:val="20"/>
          <w:lang w:val="ru-RU"/>
        </w:rPr>
        <w:t>в размере 60 113 тыс. руб. (увеличение прироста стоимости на 98 022 тыс. руб., уменьшение прироста стоимости на 37 909 тыс. руб.).</w:t>
      </w:r>
    </w:p>
    <w:p w:rsidR="00646EB5" w:rsidRDefault="00646EB5" w:rsidP="00646EB5">
      <w:pPr>
        <w:jc w:val="both"/>
        <w:rPr>
          <w:rFonts w:cs="Arial"/>
          <w:b/>
          <w:sz w:val="20"/>
          <w:szCs w:val="20"/>
          <w:lang w:val="ru-RU"/>
        </w:rPr>
      </w:pPr>
    </w:p>
    <w:p w:rsidR="00BE27CD" w:rsidRDefault="00BE27CD" w:rsidP="00646EB5">
      <w:pPr>
        <w:jc w:val="both"/>
        <w:rPr>
          <w:rFonts w:cs="Arial"/>
          <w:b/>
          <w:sz w:val="20"/>
          <w:szCs w:val="20"/>
          <w:lang w:val="ru-RU"/>
        </w:rPr>
      </w:pPr>
    </w:p>
    <w:p w:rsidR="00BE27CD" w:rsidRDefault="00BE27CD" w:rsidP="00646EB5">
      <w:pPr>
        <w:jc w:val="both"/>
        <w:rPr>
          <w:rFonts w:cs="Arial"/>
          <w:b/>
          <w:sz w:val="20"/>
          <w:szCs w:val="20"/>
          <w:lang w:val="ru-RU"/>
        </w:rPr>
      </w:pPr>
    </w:p>
    <w:p w:rsidR="00BE27CD" w:rsidRDefault="00BE27CD" w:rsidP="00646EB5">
      <w:pPr>
        <w:jc w:val="both"/>
        <w:rPr>
          <w:rFonts w:cs="Arial"/>
          <w:b/>
          <w:sz w:val="20"/>
          <w:szCs w:val="20"/>
          <w:lang w:val="ru-RU"/>
        </w:rPr>
      </w:pPr>
    </w:p>
    <w:p w:rsidR="00646EB5" w:rsidRDefault="00646EB5" w:rsidP="00646EB5">
      <w:pPr>
        <w:jc w:val="both"/>
        <w:rPr>
          <w:rFonts w:cs="Arial"/>
          <w:b/>
          <w:sz w:val="20"/>
          <w:szCs w:val="20"/>
          <w:lang w:val="ru-RU"/>
        </w:rPr>
      </w:pPr>
      <w:r>
        <w:rPr>
          <w:rFonts w:cs="Arial"/>
          <w:b/>
          <w:sz w:val="20"/>
          <w:szCs w:val="20"/>
          <w:lang w:val="ru-RU"/>
        </w:rPr>
        <w:lastRenderedPageBreak/>
        <w:t xml:space="preserve">Информация </w:t>
      </w:r>
      <w:r w:rsidRPr="00DC6534">
        <w:rPr>
          <w:rFonts w:cs="Arial"/>
          <w:b/>
          <w:sz w:val="20"/>
          <w:szCs w:val="20"/>
          <w:lang w:val="ru-RU"/>
        </w:rPr>
        <w:t>о сумме курсовых разниц, признанной в составе прибыли или убытков</w:t>
      </w:r>
    </w:p>
    <w:p w:rsidR="00646EB5" w:rsidRPr="00DC6534" w:rsidRDefault="00646EB5" w:rsidP="00646EB5">
      <w:pPr>
        <w:jc w:val="both"/>
        <w:rPr>
          <w:rFonts w:cs="Arial"/>
          <w:b/>
          <w:sz w:val="20"/>
          <w:szCs w:val="20"/>
          <w:lang w:val="ru-RU"/>
        </w:rPr>
      </w:pPr>
    </w:p>
    <w:p w:rsidR="00646EB5" w:rsidRDefault="00646EB5" w:rsidP="00646EB5">
      <w:pPr>
        <w:jc w:val="both"/>
        <w:rPr>
          <w:sz w:val="20"/>
          <w:szCs w:val="20"/>
          <w:lang w:val="ru-RU"/>
        </w:rPr>
      </w:pPr>
      <w:r w:rsidRPr="005E0DE7">
        <w:rPr>
          <w:sz w:val="20"/>
          <w:szCs w:val="20"/>
          <w:lang w:val="ru-RU"/>
        </w:rPr>
        <w:t>Сумм курсовых разниц, признанных в составе прибыли на 1 января 201</w:t>
      </w:r>
      <w:r>
        <w:rPr>
          <w:sz w:val="20"/>
          <w:szCs w:val="20"/>
          <w:lang w:val="ru-RU"/>
        </w:rPr>
        <w:t>9</w:t>
      </w:r>
      <w:r w:rsidRPr="005E0DE7">
        <w:rPr>
          <w:sz w:val="20"/>
          <w:szCs w:val="20"/>
          <w:lang w:val="ru-RU"/>
        </w:rPr>
        <w:t xml:space="preserve"> года и убытка на 1 января 201</w:t>
      </w:r>
      <w:r>
        <w:rPr>
          <w:sz w:val="20"/>
          <w:szCs w:val="20"/>
          <w:lang w:val="ru-RU"/>
        </w:rPr>
        <w:t>8</w:t>
      </w:r>
      <w:r w:rsidRPr="005E0DE7">
        <w:rPr>
          <w:sz w:val="20"/>
          <w:szCs w:val="20"/>
          <w:lang w:val="ru-RU"/>
        </w:rPr>
        <w:t xml:space="preserve"> года, нет, за исключением тех, которые возникли в связи с финансовыми инструментами, оцениваемыми по справедливой стоимости через прибыль или убыток.</w:t>
      </w:r>
    </w:p>
    <w:p w:rsidR="00646EB5" w:rsidRDefault="00646EB5" w:rsidP="00646EB5">
      <w:pPr>
        <w:jc w:val="both"/>
        <w:rPr>
          <w:rFonts w:cs="Arial"/>
          <w:b/>
          <w:sz w:val="20"/>
          <w:szCs w:val="20"/>
          <w:lang w:val="ru-RU"/>
        </w:rPr>
      </w:pPr>
    </w:p>
    <w:p w:rsidR="00646EB5" w:rsidRDefault="00646EB5" w:rsidP="00646EB5">
      <w:pPr>
        <w:jc w:val="both"/>
        <w:rPr>
          <w:rFonts w:cs="Arial"/>
          <w:b/>
          <w:sz w:val="20"/>
          <w:szCs w:val="20"/>
          <w:lang w:val="ru-RU"/>
        </w:rPr>
      </w:pPr>
      <w:r>
        <w:rPr>
          <w:rFonts w:cs="Arial"/>
          <w:b/>
          <w:sz w:val="20"/>
          <w:szCs w:val="20"/>
          <w:lang w:val="ru-RU"/>
        </w:rPr>
        <w:t>Информация о сумме курсовых разниц, признанной в составе прочего совокупного дохода и классифицированной как отдельный компонент собственного капитала</w:t>
      </w:r>
    </w:p>
    <w:p w:rsidR="00646EB5" w:rsidRDefault="00646EB5" w:rsidP="00646EB5">
      <w:pPr>
        <w:jc w:val="both"/>
        <w:rPr>
          <w:sz w:val="20"/>
          <w:szCs w:val="20"/>
          <w:lang w:val="ru-RU"/>
        </w:rPr>
      </w:pPr>
    </w:p>
    <w:p w:rsidR="00646EB5" w:rsidRDefault="00646EB5" w:rsidP="00646EB5">
      <w:pPr>
        <w:jc w:val="both"/>
        <w:rPr>
          <w:sz w:val="20"/>
          <w:szCs w:val="20"/>
          <w:lang w:val="ru-RU"/>
        </w:rPr>
      </w:pPr>
      <w:r w:rsidRPr="000B4C1C">
        <w:rPr>
          <w:sz w:val="20"/>
          <w:szCs w:val="20"/>
          <w:lang w:val="ru-RU"/>
        </w:rPr>
        <w:t>Сумм</w:t>
      </w:r>
      <w:r>
        <w:rPr>
          <w:sz w:val="20"/>
          <w:szCs w:val="20"/>
          <w:lang w:val="ru-RU"/>
        </w:rPr>
        <w:t>ы</w:t>
      </w:r>
      <w:r w:rsidRPr="000B4C1C">
        <w:rPr>
          <w:sz w:val="20"/>
          <w:szCs w:val="20"/>
          <w:lang w:val="ru-RU"/>
        </w:rPr>
        <w:t xml:space="preserve"> курсовых разниц, признанн</w:t>
      </w:r>
      <w:r>
        <w:rPr>
          <w:sz w:val="20"/>
          <w:szCs w:val="20"/>
          <w:lang w:val="ru-RU"/>
        </w:rPr>
        <w:t>ой</w:t>
      </w:r>
      <w:r w:rsidRPr="000B4C1C">
        <w:rPr>
          <w:sz w:val="20"/>
          <w:szCs w:val="20"/>
          <w:lang w:val="ru-RU"/>
        </w:rPr>
        <w:t xml:space="preserve"> в со</w:t>
      </w:r>
      <w:r>
        <w:rPr>
          <w:sz w:val="20"/>
          <w:szCs w:val="20"/>
          <w:lang w:val="ru-RU"/>
        </w:rPr>
        <w:t>ставе прочего совокупного дохода</w:t>
      </w:r>
      <w:r w:rsidRPr="000B4C1C">
        <w:rPr>
          <w:sz w:val="20"/>
          <w:szCs w:val="20"/>
          <w:lang w:val="ru-RU"/>
        </w:rPr>
        <w:t xml:space="preserve"> и классифицирован</w:t>
      </w:r>
      <w:r>
        <w:rPr>
          <w:sz w:val="20"/>
          <w:szCs w:val="20"/>
          <w:lang w:val="ru-RU"/>
        </w:rPr>
        <w:t>ной</w:t>
      </w:r>
      <w:r w:rsidRPr="000B4C1C">
        <w:rPr>
          <w:sz w:val="20"/>
          <w:szCs w:val="20"/>
          <w:lang w:val="ru-RU"/>
        </w:rPr>
        <w:t xml:space="preserve">  как отдельный компонент собственного капитала нет.</w:t>
      </w:r>
    </w:p>
    <w:p w:rsidR="00646EB5" w:rsidRDefault="00646EB5" w:rsidP="00646EB5">
      <w:pPr>
        <w:jc w:val="both"/>
        <w:rPr>
          <w:sz w:val="20"/>
          <w:szCs w:val="20"/>
          <w:lang w:val="ru-RU"/>
        </w:rPr>
      </w:pPr>
    </w:p>
    <w:p w:rsidR="00646EB5" w:rsidRDefault="00646EB5" w:rsidP="00646EB5">
      <w:pPr>
        <w:jc w:val="both"/>
        <w:rPr>
          <w:rFonts w:cs="Arial"/>
          <w:b/>
          <w:sz w:val="20"/>
          <w:szCs w:val="20"/>
          <w:lang w:val="ru-RU"/>
        </w:rPr>
      </w:pPr>
      <w:r w:rsidRPr="00DC6534">
        <w:rPr>
          <w:rFonts w:cs="Arial"/>
          <w:b/>
          <w:sz w:val="20"/>
          <w:szCs w:val="20"/>
          <w:lang w:val="ru-RU"/>
        </w:rPr>
        <w:t>Информация об основных компонентах расхода (дохода) по налогу</w:t>
      </w:r>
    </w:p>
    <w:p w:rsidR="00646EB5" w:rsidRPr="00DC6534" w:rsidRDefault="00646EB5" w:rsidP="00646EB5">
      <w:pPr>
        <w:jc w:val="both"/>
        <w:rPr>
          <w:rFonts w:cs="Arial"/>
          <w:b/>
          <w:sz w:val="20"/>
          <w:szCs w:val="20"/>
          <w:lang w:val="ru-RU"/>
        </w:rPr>
      </w:pPr>
    </w:p>
    <w:p w:rsidR="00646EB5" w:rsidRDefault="00646EB5" w:rsidP="00646EB5">
      <w:pPr>
        <w:jc w:val="both"/>
        <w:rPr>
          <w:rFonts w:cs="Arial"/>
          <w:sz w:val="20"/>
          <w:szCs w:val="20"/>
          <w:lang w:val="ru-RU"/>
        </w:rPr>
      </w:pPr>
      <w:r w:rsidRPr="00DC6534">
        <w:rPr>
          <w:rFonts w:cs="Arial"/>
          <w:sz w:val="20"/>
          <w:szCs w:val="20"/>
          <w:lang w:val="ru-RU"/>
        </w:rPr>
        <w:t>Банк исчисляет налоги в соответствии с Налоговым кодексом Российской Федерации. В составе расходов Банка, уменьшающих прибыль, включены следующие виды налогов:</w:t>
      </w:r>
    </w:p>
    <w:p w:rsidR="00646EB5" w:rsidRPr="00DC6534" w:rsidRDefault="00646EB5" w:rsidP="00646EB5">
      <w:pPr>
        <w:jc w:val="both"/>
        <w:rPr>
          <w:rFonts w:cs="Arial"/>
          <w:sz w:val="20"/>
          <w:szCs w:val="20"/>
          <w:lang w:val="ru-RU"/>
        </w:rPr>
      </w:pPr>
    </w:p>
    <w:p w:rsidR="00646EB5" w:rsidRPr="006149A9" w:rsidRDefault="00646EB5" w:rsidP="00646EB5">
      <w:pPr>
        <w:jc w:val="both"/>
        <w:rPr>
          <w:rFonts w:cs="Arial"/>
          <w:sz w:val="20"/>
          <w:szCs w:val="20"/>
          <w:highlight w:val="yellow"/>
          <w:lang w:val="ru-RU"/>
        </w:rPr>
      </w:pPr>
    </w:p>
    <w:tbl>
      <w:tblPr>
        <w:tblW w:w="9248" w:type="dxa"/>
        <w:tblInd w:w="108" w:type="dxa"/>
        <w:tblLook w:val="04A0" w:firstRow="1" w:lastRow="0" w:firstColumn="1" w:lastColumn="0" w:noHBand="0" w:noVBand="1"/>
      </w:tblPr>
      <w:tblGrid>
        <w:gridCol w:w="3261"/>
        <w:gridCol w:w="3531"/>
        <w:gridCol w:w="2456"/>
      </w:tblGrid>
      <w:tr w:rsidR="00646EB5" w:rsidTr="00646EB5">
        <w:trPr>
          <w:trHeight w:val="225"/>
          <w:tblHeader/>
        </w:trPr>
        <w:tc>
          <w:tcPr>
            <w:tcW w:w="3261" w:type="dxa"/>
            <w:tcBorders>
              <w:top w:val="single" w:sz="4" w:space="0" w:color="auto"/>
              <w:left w:val="nil"/>
              <w:bottom w:val="nil"/>
              <w:right w:val="nil"/>
            </w:tcBorders>
            <w:noWrap/>
            <w:vAlign w:val="bottom"/>
            <w:hideMark/>
          </w:tcPr>
          <w:p w:rsidR="00646EB5" w:rsidRDefault="00646EB5" w:rsidP="00646EB5">
            <w:pPr>
              <w:overflowPunct/>
              <w:autoSpaceDE/>
              <w:adjustRightInd/>
              <w:spacing w:line="276" w:lineRule="auto"/>
              <w:rPr>
                <w:rFonts w:cs="Arial"/>
                <w:b/>
                <w:bCs/>
                <w:sz w:val="16"/>
                <w:szCs w:val="16"/>
                <w:lang w:val="ru-RU" w:eastAsia="ru-RU"/>
              </w:rPr>
            </w:pPr>
            <w:r>
              <w:rPr>
                <w:rFonts w:cs="Arial"/>
                <w:b/>
                <w:bCs/>
                <w:sz w:val="16"/>
                <w:szCs w:val="16"/>
                <w:lang w:val="ru-RU" w:eastAsia="ru-RU"/>
              </w:rPr>
              <w:t> </w:t>
            </w:r>
          </w:p>
        </w:tc>
        <w:tc>
          <w:tcPr>
            <w:tcW w:w="3531" w:type="dxa"/>
            <w:tcBorders>
              <w:top w:val="single" w:sz="4" w:space="0" w:color="auto"/>
              <w:left w:val="nil"/>
              <w:bottom w:val="single" w:sz="4" w:space="0" w:color="auto"/>
              <w:right w:val="nil"/>
            </w:tcBorders>
            <w:vAlign w:val="bottom"/>
          </w:tcPr>
          <w:p w:rsidR="00646EB5" w:rsidRDefault="00646EB5" w:rsidP="00646EB5">
            <w:pPr>
              <w:overflowPunct/>
              <w:autoSpaceDE/>
              <w:adjustRightInd/>
              <w:spacing w:line="276" w:lineRule="auto"/>
              <w:jc w:val="center"/>
              <w:rPr>
                <w:rFonts w:cs="Arial"/>
                <w:b/>
                <w:bCs/>
                <w:sz w:val="16"/>
                <w:szCs w:val="16"/>
                <w:lang w:val="ru-RU" w:eastAsia="ru-RU"/>
              </w:rPr>
            </w:pPr>
            <w:r>
              <w:rPr>
                <w:rFonts w:cs="Arial"/>
                <w:b/>
                <w:bCs/>
                <w:sz w:val="16"/>
                <w:szCs w:val="16"/>
                <w:lang w:val="ru-RU" w:eastAsia="ru-RU"/>
              </w:rPr>
              <w:t xml:space="preserve"> 2018 год</w:t>
            </w:r>
          </w:p>
        </w:tc>
        <w:tc>
          <w:tcPr>
            <w:tcW w:w="2456" w:type="dxa"/>
            <w:tcBorders>
              <w:top w:val="single" w:sz="4" w:space="0" w:color="auto"/>
              <w:left w:val="nil"/>
              <w:bottom w:val="single" w:sz="4" w:space="0" w:color="auto"/>
              <w:right w:val="nil"/>
            </w:tcBorders>
            <w:vAlign w:val="bottom"/>
          </w:tcPr>
          <w:p w:rsidR="00646EB5" w:rsidRDefault="00646EB5" w:rsidP="00646EB5">
            <w:pPr>
              <w:overflowPunct/>
              <w:autoSpaceDE/>
              <w:adjustRightInd/>
              <w:spacing w:line="276" w:lineRule="auto"/>
              <w:jc w:val="center"/>
              <w:rPr>
                <w:rFonts w:cs="Arial"/>
                <w:b/>
                <w:bCs/>
                <w:sz w:val="16"/>
                <w:szCs w:val="16"/>
                <w:lang w:val="ru-RU" w:eastAsia="ru-RU"/>
              </w:rPr>
            </w:pPr>
          </w:p>
          <w:p w:rsidR="00646EB5" w:rsidRDefault="00646EB5" w:rsidP="00646EB5">
            <w:pPr>
              <w:overflowPunct/>
              <w:autoSpaceDE/>
              <w:adjustRightInd/>
              <w:spacing w:line="276" w:lineRule="auto"/>
              <w:jc w:val="center"/>
              <w:rPr>
                <w:rFonts w:cs="Arial"/>
                <w:b/>
                <w:bCs/>
                <w:sz w:val="16"/>
                <w:szCs w:val="16"/>
                <w:lang w:val="ru-RU" w:eastAsia="ru-RU"/>
              </w:rPr>
            </w:pPr>
            <w:r>
              <w:rPr>
                <w:rFonts w:cs="Arial"/>
                <w:b/>
                <w:bCs/>
                <w:sz w:val="16"/>
                <w:szCs w:val="16"/>
                <w:lang w:val="ru-RU" w:eastAsia="ru-RU"/>
              </w:rPr>
              <w:t xml:space="preserve"> 2017 год</w:t>
            </w:r>
          </w:p>
        </w:tc>
      </w:tr>
      <w:tr w:rsidR="00646EB5" w:rsidTr="00646EB5">
        <w:trPr>
          <w:trHeight w:val="225"/>
        </w:trPr>
        <w:tc>
          <w:tcPr>
            <w:tcW w:w="3261" w:type="dxa"/>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Прочие налоги</w:t>
            </w:r>
          </w:p>
        </w:tc>
        <w:tc>
          <w:tcPr>
            <w:tcW w:w="3531" w:type="dxa"/>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71 644</w:t>
            </w:r>
          </w:p>
        </w:tc>
        <w:tc>
          <w:tcPr>
            <w:tcW w:w="2456" w:type="dxa"/>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43 097</w:t>
            </w:r>
          </w:p>
        </w:tc>
      </w:tr>
      <w:tr w:rsidR="00646EB5" w:rsidTr="00646EB5">
        <w:trPr>
          <w:trHeight w:val="225"/>
        </w:trPr>
        <w:tc>
          <w:tcPr>
            <w:tcW w:w="3261" w:type="dxa"/>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Налог на прибыль,</w:t>
            </w:r>
          </w:p>
        </w:tc>
        <w:tc>
          <w:tcPr>
            <w:tcW w:w="3531" w:type="dxa"/>
            <w:vAlign w:val="bottom"/>
          </w:tcPr>
          <w:p w:rsidR="00646EB5" w:rsidRPr="00F002A6" w:rsidRDefault="00646EB5" w:rsidP="00646EB5">
            <w:pPr>
              <w:overflowPunct/>
              <w:autoSpaceDE/>
              <w:adjustRightInd/>
              <w:spacing w:line="276" w:lineRule="auto"/>
              <w:jc w:val="center"/>
              <w:rPr>
                <w:rFonts w:cs="Arial"/>
                <w:sz w:val="16"/>
                <w:szCs w:val="16"/>
                <w:lang w:val="en-US" w:eastAsia="ru-RU"/>
              </w:rPr>
            </w:pPr>
            <w:r>
              <w:rPr>
                <w:rFonts w:cs="Arial"/>
                <w:sz w:val="16"/>
                <w:szCs w:val="16"/>
                <w:lang w:val="ru-RU" w:eastAsia="ru-RU"/>
              </w:rPr>
              <w:t>221</w:t>
            </w:r>
          </w:p>
        </w:tc>
        <w:tc>
          <w:tcPr>
            <w:tcW w:w="2456" w:type="dxa"/>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8 396</w:t>
            </w:r>
          </w:p>
        </w:tc>
      </w:tr>
      <w:tr w:rsidR="00646EB5" w:rsidRPr="0076245E" w:rsidTr="00646EB5">
        <w:trPr>
          <w:trHeight w:val="225"/>
        </w:trPr>
        <w:tc>
          <w:tcPr>
            <w:tcW w:w="3261" w:type="dxa"/>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 xml:space="preserve">в т. ч. корректировка налога за  прошлые годы                                                         </w:t>
            </w:r>
          </w:p>
        </w:tc>
        <w:tc>
          <w:tcPr>
            <w:tcW w:w="3531" w:type="dxa"/>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221</w:t>
            </w:r>
          </w:p>
        </w:tc>
        <w:tc>
          <w:tcPr>
            <w:tcW w:w="2456" w:type="dxa"/>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646EB5" w:rsidTr="00646EB5">
        <w:trPr>
          <w:trHeight w:val="225"/>
        </w:trPr>
        <w:tc>
          <w:tcPr>
            <w:tcW w:w="3261" w:type="dxa"/>
            <w:tcBorders>
              <w:top w:val="nil"/>
              <w:left w:val="nil"/>
              <w:bottom w:val="single" w:sz="4" w:space="0" w:color="auto"/>
              <w:right w:val="nil"/>
            </w:tcBorders>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Отложенный налог на прибыль</w:t>
            </w:r>
          </w:p>
        </w:tc>
        <w:tc>
          <w:tcPr>
            <w:tcW w:w="3531" w:type="dxa"/>
            <w:tcBorders>
              <w:top w:val="nil"/>
              <w:left w:val="nil"/>
              <w:bottom w:val="single" w:sz="4" w:space="0" w:color="auto"/>
              <w:right w:val="nil"/>
            </w:tcBorders>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19</w:t>
            </w:r>
            <w:r w:rsidRPr="006250B1">
              <w:rPr>
                <w:rFonts w:cs="Arial"/>
                <w:sz w:val="16"/>
                <w:szCs w:val="16"/>
                <w:lang w:val="ru-RU" w:eastAsia="ru-RU"/>
              </w:rPr>
              <w:t xml:space="preserve"> </w:t>
            </w:r>
            <w:r>
              <w:rPr>
                <w:rFonts w:cs="Arial"/>
                <w:sz w:val="16"/>
                <w:szCs w:val="16"/>
                <w:lang w:val="ru-RU" w:eastAsia="ru-RU"/>
              </w:rPr>
              <w:t>915</w:t>
            </w:r>
          </w:p>
        </w:tc>
        <w:tc>
          <w:tcPr>
            <w:tcW w:w="2456" w:type="dxa"/>
            <w:tcBorders>
              <w:top w:val="nil"/>
              <w:left w:val="nil"/>
              <w:bottom w:val="single" w:sz="4" w:space="0" w:color="auto"/>
              <w:right w:val="nil"/>
            </w:tcBorders>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(25 679)</w:t>
            </w:r>
          </w:p>
        </w:tc>
      </w:tr>
      <w:tr w:rsidR="00646EB5" w:rsidTr="00646EB5">
        <w:trPr>
          <w:trHeight w:val="225"/>
        </w:trPr>
        <w:tc>
          <w:tcPr>
            <w:tcW w:w="3261" w:type="dxa"/>
            <w:tcBorders>
              <w:top w:val="single" w:sz="4" w:space="0" w:color="auto"/>
              <w:left w:val="nil"/>
              <w:bottom w:val="double" w:sz="4" w:space="0" w:color="auto"/>
              <w:right w:val="nil"/>
            </w:tcBorders>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3531" w:type="dxa"/>
            <w:tcBorders>
              <w:top w:val="single" w:sz="4" w:space="0" w:color="auto"/>
              <w:left w:val="nil"/>
              <w:bottom w:val="double" w:sz="4" w:space="0" w:color="auto"/>
              <w:right w:val="nil"/>
            </w:tcBorders>
            <w:vAlign w:val="bottom"/>
          </w:tcPr>
          <w:p w:rsidR="00646EB5" w:rsidRPr="00F002A6" w:rsidRDefault="00646EB5" w:rsidP="00646EB5">
            <w:pPr>
              <w:overflowPunct/>
              <w:autoSpaceDE/>
              <w:adjustRightInd/>
              <w:spacing w:line="276" w:lineRule="auto"/>
              <w:jc w:val="center"/>
              <w:rPr>
                <w:rFonts w:cs="Arial"/>
                <w:sz w:val="16"/>
                <w:szCs w:val="16"/>
                <w:lang w:val="en-US" w:eastAsia="ru-RU"/>
              </w:rPr>
            </w:pPr>
            <w:r>
              <w:rPr>
                <w:rFonts w:cs="Arial"/>
                <w:sz w:val="16"/>
                <w:szCs w:val="16"/>
                <w:lang w:val="ru-RU" w:eastAsia="ru-RU"/>
              </w:rPr>
              <w:t>91 780</w:t>
            </w:r>
          </w:p>
        </w:tc>
        <w:tc>
          <w:tcPr>
            <w:tcW w:w="2456" w:type="dxa"/>
            <w:tcBorders>
              <w:top w:val="single" w:sz="4" w:space="0" w:color="auto"/>
              <w:left w:val="nil"/>
              <w:bottom w:val="double" w:sz="4" w:space="0" w:color="auto"/>
              <w:right w:val="nil"/>
            </w:tcBorders>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25 814</w:t>
            </w:r>
          </w:p>
        </w:tc>
      </w:tr>
    </w:tbl>
    <w:p w:rsidR="00646EB5" w:rsidRPr="00F508AC" w:rsidRDefault="00646EB5" w:rsidP="00646EB5">
      <w:pPr>
        <w:jc w:val="both"/>
        <w:rPr>
          <w:sz w:val="20"/>
          <w:szCs w:val="20"/>
          <w:lang w:val="ru-RU"/>
        </w:rPr>
      </w:pPr>
    </w:p>
    <w:p w:rsidR="00646EB5" w:rsidRPr="00F508AC" w:rsidRDefault="00646EB5" w:rsidP="00646EB5">
      <w:pPr>
        <w:overflowPunct/>
        <w:jc w:val="both"/>
        <w:textAlignment w:val="auto"/>
        <w:rPr>
          <w:sz w:val="20"/>
          <w:szCs w:val="20"/>
          <w:lang w:val="ru-RU"/>
        </w:rPr>
      </w:pPr>
      <w:r w:rsidRPr="00F508AC">
        <w:rPr>
          <w:sz w:val="20"/>
          <w:szCs w:val="20"/>
          <w:lang w:val="ru-RU"/>
        </w:rPr>
        <w:t>Результаты по сверке расхода (дохода) по налогу и результат умножения бухгалтерской прибыли на ставку налога раскрыт</w:t>
      </w:r>
      <w:r>
        <w:rPr>
          <w:sz w:val="20"/>
          <w:szCs w:val="20"/>
          <w:lang w:val="ru-RU"/>
        </w:rPr>
        <w:t>ы</w:t>
      </w:r>
      <w:r w:rsidRPr="00F508AC">
        <w:rPr>
          <w:sz w:val="20"/>
          <w:szCs w:val="20"/>
          <w:lang w:val="ru-RU"/>
        </w:rPr>
        <w:t xml:space="preserve"> в </w:t>
      </w:r>
      <w:r>
        <w:rPr>
          <w:sz w:val="20"/>
          <w:szCs w:val="20"/>
          <w:lang w:val="ru-RU"/>
        </w:rPr>
        <w:t xml:space="preserve">следующей </w:t>
      </w:r>
      <w:r w:rsidRPr="00F508AC">
        <w:rPr>
          <w:sz w:val="20"/>
          <w:szCs w:val="20"/>
          <w:lang w:val="ru-RU"/>
        </w:rPr>
        <w:t>таблице.</w:t>
      </w:r>
    </w:p>
    <w:p w:rsidR="00646EB5" w:rsidRPr="00F508AC" w:rsidRDefault="00646EB5" w:rsidP="00646EB5">
      <w:pPr>
        <w:jc w:val="both"/>
        <w:rPr>
          <w:sz w:val="20"/>
          <w:szCs w:val="20"/>
          <w:lang w:val="ru-RU"/>
        </w:rPr>
      </w:pPr>
    </w:p>
    <w:p w:rsidR="00646EB5" w:rsidRDefault="00646EB5" w:rsidP="00646EB5">
      <w:pPr>
        <w:jc w:val="both"/>
        <w:rPr>
          <w:b/>
          <w:sz w:val="20"/>
          <w:szCs w:val="20"/>
          <w:lang w:val="ru-RU"/>
        </w:rPr>
      </w:pPr>
      <w:r w:rsidRPr="00DC6534">
        <w:rPr>
          <w:b/>
          <w:sz w:val="20"/>
          <w:szCs w:val="20"/>
          <w:lang w:val="ru-RU"/>
        </w:rPr>
        <w:t xml:space="preserve">Информация о суммах расходов или доходов, связанных с изменением ставок налога и введением новых налогов </w:t>
      </w:r>
    </w:p>
    <w:p w:rsidR="00646EB5" w:rsidRPr="00DC6534" w:rsidRDefault="00646EB5" w:rsidP="00646EB5">
      <w:pPr>
        <w:jc w:val="both"/>
        <w:rPr>
          <w:b/>
          <w:sz w:val="20"/>
          <w:szCs w:val="20"/>
          <w:lang w:val="ru-RU"/>
        </w:rPr>
      </w:pPr>
    </w:p>
    <w:p w:rsidR="00646EB5" w:rsidRDefault="00646EB5" w:rsidP="00646EB5">
      <w:pPr>
        <w:overflowPunct/>
        <w:jc w:val="both"/>
        <w:textAlignment w:val="auto"/>
        <w:rPr>
          <w:sz w:val="20"/>
          <w:szCs w:val="20"/>
          <w:lang w:val="ru-RU"/>
        </w:rPr>
      </w:pPr>
      <w:r w:rsidRPr="00DC6534">
        <w:rPr>
          <w:sz w:val="20"/>
          <w:szCs w:val="20"/>
          <w:lang w:val="ru-RU"/>
        </w:rPr>
        <w:t>Ставка налога на прибыль</w:t>
      </w:r>
      <w:r>
        <w:rPr>
          <w:sz w:val="20"/>
          <w:szCs w:val="20"/>
          <w:lang w:val="ru-RU"/>
        </w:rPr>
        <w:t xml:space="preserve"> в</w:t>
      </w:r>
      <w:r w:rsidRPr="00DC6534">
        <w:rPr>
          <w:sz w:val="20"/>
          <w:szCs w:val="20"/>
          <w:lang w:val="ru-RU"/>
        </w:rPr>
        <w:t xml:space="preserve"> 201</w:t>
      </w:r>
      <w:r>
        <w:rPr>
          <w:sz w:val="20"/>
          <w:szCs w:val="20"/>
          <w:lang w:val="ru-RU"/>
        </w:rPr>
        <w:t>7</w:t>
      </w:r>
      <w:r w:rsidRPr="00DC6534">
        <w:rPr>
          <w:sz w:val="20"/>
          <w:szCs w:val="20"/>
          <w:lang w:val="ru-RU"/>
        </w:rPr>
        <w:t xml:space="preserve"> и 201</w:t>
      </w:r>
      <w:r>
        <w:rPr>
          <w:sz w:val="20"/>
          <w:szCs w:val="20"/>
          <w:lang w:val="ru-RU"/>
        </w:rPr>
        <w:t>8</w:t>
      </w:r>
      <w:r w:rsidRPr="00DC6534">
        <w:rPr>
          <w:sz w:val="20"/>
          <w:szCs w:val="20"/>
          <w:lang w:val="ru-RU"/>
        </w:rPr>
        <w:t xml:space="preserve"> год</w:t>
      </w:r>
      <w:r>
        <w:rPr>
          <w:sz w:val="20"/>
          <w:szCs w:val="20"/>
          <w:lang w:val="ru-RU"/>
        </w:rPr>
        <w:t>ах</w:t>
      </w:r>
      <w:r w:rsidRPr="00DC6534">
        <w:rPr>
          <w:sz w:val="20"/>
          <w:szCs w:val="20"/>
          <w:lang w:val="ru-RU"/>
        </w:rPr>
        <w:t xml:space="preserve"> составляла 20% от налогооблагаемой прибыли. Ставка налога на процентный (купонный) доход по государственным и муниципальным облигациям</w:t>
      </w:r>
      <w:r>
        <w:rPr>
          <w:sz w:val="20"/>
          <w:szCs w:val="20"/>
          <w:lang w:val="ru-RU"/>
        </w:rPr>
        <w:t xml:space="preserve">, а также по облигациям российских организаций, </w:t>
      </w:r>
      <w:r>
        <w:rPr>
          <w:rFonts w:eastAsiaTheme="minorHAnsi" w:cs="Arial"/>
          <w:sz w:val="20"/>
          <w:szCs w:val="20"/>
          <w:lang w:val="ru-RU"/>
        </w:rPr>
        <w:t>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w:t>
      </w:r>
      <w:r w:rsidRPr="00DC6534">
        <w:rPr>
          <w:sz w:val="20"/>
          <w:szCs w:val="20"/>
          <w:lang w:val="ru-RU"/>
        </w:rPr>
        <w:t xml:space="preserve"> в 201</w:t>
      </w:r>
      <w:r>
        <w:rPr>
          <w:sz w:val="20"/>
          <w:szCs w:val="20"/>
          <w:lang w:val="ru-RU"/>
        </w:rPr>
        <w:t>7</w:t>
      </w:r>
      <w:r w:rsidRPr="00DC6534">
        <w:rPr>
          <w:sz w:val="20"/>
          <w:szCs w:val="20"/>
          <w:lang w:val="ru-RU"/>
        </w:rPr>
        <w:t xml:space="preserve"> и 201</w:t>
      </w:r>
      <w:r>
        <w:rPr>
          <w:sz w:val="20"/>
          <w:szCs w:val="20"/>
          <w:lang w:val="ru-RU"/>
        </w:rPr>
        <w:t>8</w:t>
      </w:r>
      <w:r w:rsidRPr="00DC6534">
        <w:rPr>
          <w:sz w:val="20"/>
          <w:szCs w:val="20"/>
          <w:lang w:val="ru-RU"/>
        </w:rPr>
        <w:t xml:space="preserve"> годах составляла 15%. Дивиденды, выплачиваемые в пользу российских юридических лиц, подлежат обложению налогом по ставке </w:t>
      </w:r>
      <w:r>
        <w:rPr>
          <w:sz w:val="20"/>
          <w:szCs w:val="20"/>
          <w:lang w:val="ru-RU"/>
        </w:rPr>
        <w:t>13</w:t>
      </w:r>
      <w:r w:rsidRPr="00DC6534">
        <w:rPr>
          <w:sz w:val="20"/>
          <w:szCs w:val="20"/>
          <w:lang w:val="ru-RU"/>
        </w:rPr>
        <w:t>%. Ставки по прочим налогам также не изменялись. Эффективная ставка налога на прибыль отличается от законодательно установленной ставки налогообложения прибыли, так как налогооблагаемая прибыль отличается от прибыли по бухгалтерскому балансу, из-за влияния различного отражения расходов и доходов для налогового и бухгалтерского учета.</w:t>
      </w:r>
    </w:p>
    <w:p w:rsidR="00646EB5" w:rsidRDefault="00646EB5" w:rsidP="00646EB5">
      <w:pPr>
        <w:overflowPunct/>
        <w:jc w:val="both"/>
        <w:textAlignment w:val="auto"/>
        <w:rPr>
          <w:rFonts w:eastAsiaTheme="minorHAnsi" w:cs="Arial"/>
          <w:sz w:val="20"/>
          <w:szCs w:val="20"/>
          <w:lang w:val="ru-RU"/>
        </w:rPr>
      </w:pPr>
      <w:r>
        <w:rPr>
          <w:rFonts w:eastAsiaTheme="minorHAnsi" w:cs="Arial"/>
          <w:sz w:val="20"/>
          <w:szCs w:val="20"/>
          <w:lang w:val="ru-RU"/>
        </w:rPr>
        <w:t>Суммы отложенного налогового актива по перенесенным на будущее убыткам, у Банка нет.</w:t>
      </w:r>
    </w:p>
    <w:p w:rsidR="00646EB5" w:rsidRPr="006149A9" w:rsidRDefault="00646EB5" w:rsidP="00646EB5">
      <w:pPr>
        <w:jc w:val="both"/>
        <w:rPr>
          <w:b/>
          <w:sz w:val="20"/>
          <w:szCs w:val="20"/>
          <w:highlight w:val="yellow"/>
          <w:lang w:val="ru-RU"/>
        </w:rPr>
      </w:pPr>
    </w:p>
    <w:tbl>
      <w:tblPr>
        <w:tblW w:w="9248" w:type="dxa"/>
        <w:tblInd w:w="108" w:type="dxa"/>
        <w:tblLook w:val="04A0" w:firstRow="1" w:lastRow="0" w:firstColumn="1" w:lastColumn="0" w:noHBand="0" w:noVBand="1"/>
      </w:tblPr>
      <w:tblGrid>
        <w:gridCol w:w="4336"/>
        <w:gridCol w:w="2456"/>
        <w:gridCol w:w="2456"/>
      </w:tblGrid>
      <w:tr w:rsidR="00646EB5" w:rsidTr="00646EB5">
        <w:trPr>
          <w:trHeight w:val="255"/>
          <w:tblHeader/>
        </w:trPr>
        <w:tc>
          <w:tcPr>
            <w:tcW w:w="4336" w:type="dxa"/>
            <w:tcBorders>
              <w:top w:val="single" w:sz="4" w:space="0" w:color="auto"/>
              <w:left w:val="nil"/>
              <w:bottom w:val="nil"/>
              <w:right w:val="nil"/>
            </w:tcBorders>
            <w:noWrap/>
            <w:vAlign w:val="bottom"/>
            <w:hideMark/>
          </w:tcPr>
          <w:p w:rsidR="00646EB5" w:rsidRDefault="00646EB5" w:rsidP="00646EB5">
            <w:pPr>
              <w:overflowPunct/>
              <w:autoSpaceDE/>
              <w:adjustRightInd/>
              <w:spacing w:line="276" w:lineRule="auto"/>
              <w:rPr>
                <w:rFonts w:ascii="Arial CYR" w:hAnsi="Arial CYR" w:cs="Arial"/>
                <w:b/>
                <w:bCs/>
                <w:sz w:val="16"/>
                <w:szCs w:val="16"/>
                <w:lang w:val="ru-RU" w:eastAsia="ru-RU"/>
              </w:rPr>
            </w:pPr>
            <w:r>
              <w:rPr>
                <w:rFonts w:ascii="Arial CYR" w:hAnsi="Arial CYR" w:cs="Arial"/>
                <w:b/>
                <w:bCs/>
                <w:sz w:val="16"/>
                <w:szCs w:val="16"/>
                <w:lang w:val="ru-RU" w:eastAsia="ru-RU"/>
              </w:rPr>
              <w:t> </w:t>
            </w:r>
          </w:p>
        </w:tc>
        <w:tc>
          <w:tcPr>
            <w:tcW w:w="2456" w:type="dxa"/>
            <w:tcBorders>
              <w:top w:val="single" w:sz="4" w:space="0" w:color="auto"/>
              <w:left w:val="nil"/>
              <w:bottom w:val="single" w:sz="4" w:space="0" w:color="auto"/>
              <w:right w:val="nil"/>
            </w:tcBorders>
            <w:vAlign w:val="bottom"/>
          </w:tcPr>
          <w:p w:rsidR="00646EB5" w:rsidRDefault="00646EB5" w:rsidP="00646EB5">
            <w:pPr>
              <w:overflowPunct/>
              <w:autoSpaceDE/>
              <w:adjustRightInd/>
              <w:spacing w:line="276" w:lineRule="auto"/>
              <w:jc w:val="center"/>
              <w:rPr>
                <w:rFonts w:ascii="Arial CYR" w:hAnsi="Arial CYR" w:cs="Arial"/>
                <w:b/>
                <w:bCs/>
                <w:sz w:val="16"/>
                <w:szCs w:val="16"/>
                <w:lang w:val="ru-RU" w:eastAsia="ru-RU"/>
              </w:rPr>
            </w:pPr>
            <w:r>
              <w:rPr>
                <w:rFonts w:ascii="Arial CYR" w:hAnsi="Arial CYR" w:cs="Arial"/>
                <w:b/>
                <w:bCs/>
                <w:sz w:val="16"/>
                <w:szCs w:val="16"/>
                <w:lang w:val="ru-RU" w:eastAsia="ru-RU"/>
              </w:rPr>
              <w:t xml:space="preserve"> 2018 год</w:t>
            </w:r>
          </w:p>
        </w:tc>
        <w:tc>
          <w:tcPr>
            <w:tcW w:w="2456" w:type="dxa"/>
            <w:tcBorders>
              <w:top w:val="single" w:sz="4" w:space="0" w:color="auto"/>
              <w:left w:val="nil"/>
              <w:bottom w:val="single" w:sz="4" w:space="0" w:color="auto"/>
              <w:right w:val="nil"/>
            </w:tcBorders>
            <w:noWrap/>
            <w:vAlign w:val="bottom"/>
          </w:tcPr>
          <w:p w:rsidR="00646EB5" w:rsidRDefault="00646EB5" w:rsidP="00646EB5">
            <w:pPr>
              <w:overflowPunct/>
              <w:autoSpaceDE/>
              <w:adjustRightInd/>
              <w:spacing w:line="276" w:lineRule="auto"/>
              <w:jc w:val="center"/>
              <w:rPr>
                <w:rFonts w:ascii="Arial CYR" w:hAnsi="Arial CYR" w:cs="Arial"/>
                <w:b/>
                <w:bCs/>
                <w:sz w:val="16"/>
                <w:szCs w:val="16"/>
                <w:lang w:val="ru-RU" w:eastAsia="ru-RU"/>
              </w:rPr>
            </w:pPr>
            <w:r>
              <w:rPr>
                <w:rFonts w:ascii="Arial CYR" w:hAnsi="Arial CYR" w:cs="Arial"/>
                <w:b/>
                <w:bCs/>
                <w:sz w:val="16"/>
                <w:szCs w:val="16"/>
                <w:lang w:val="ru-RU" w:eastAsia="ru-RU"/>
              </w:rPr>
              <w:t xml:space="preserve"> 2017 год</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Прибыль без налогов</w:t>
            </w:r>
          </w:p>
        </w:tc>
        <w:tc>
          <w:tcPr>
            <w:tcW w:w="2456" w:type="dxa"/>
            <w:vAlign w:val="bottom"/>
          </w:tcPr>
          <w:p w:rsidR="00646EB5" w:rsidRPr="005D0297" w:rsidRDefault="00646EB5" w:rsidP="00646EB5">
            <w:pPr>
              <w:overflowPunct/>
              <w:autoSpaceDE/>
              <w:adjustRightInd/>
              <w:spacing w:line="276" w:lineRule="auto"/>
              <w:jc w:val="center"/>
              <w:rPr>
                <w:rFonts w:cs="Arial"/>
                <w:sz w:val="16"/>
                <w:szCs w:val="16"/>
                <w:lang w:val="en-US" w:eastAsia="ru-RU"/>
              </w:rPr>
            </w:pPr>
            <w:r>
              <w:rPr>
                <w:rFonts w:cs="Arial"/>
                <w:sz w:val="16"/>
                <w:szCs w:val="16"/>
                <w:lang w:val="en-US" w:eastAsia="ru-RU"/>
              </w:rPr>
              <w:t>(306</w:t>
            </w:r>
            <w:r>
              <w:rPr>
                <w:rFonts w:cs="Arial"/>
                <w:sz w:val="16"/>
                <w:szCs w:val="16"/>
                <w:lang w:val="ru-RU" w:eastAsia="ru-RU"/>
              </w:rPr>
              <w:t xml:space="preserve"> 861</w:t>
            </w:r>
            <w:r>
              <w:rPr>
                <w:rFonts w:cs="Arial"/>
                <w:sz w:val="16"/>
                <w:szCs w:val="16"/>
                <w:lang w:val="en-US" w:eastAsia="ru-RU"/>
              </w:rPr>
              <w:t>)</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88 976</w:t>
            </w:r>
          </w:p>
        </w:tc>
      </w:tr>
      <w:tr w:rsidR="00646EB5" w:rsidTr="00646EB5">
        <w:trPr>
          <w:trHeight w:val="84"/>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Законодательно установленная ставка</w:t>
            </w:r>
          </w:p>
        </w:tc>
        <w:tc>
          <w:tcPr>
            <w:tcW w:w="2456" w:type="dxa"/>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20%</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20%</w:t>
            </w:r>
          </w:p>
        </w:tc>
      </w:tr>
      <w:tr w:rsidR="00646EB5" w:rsidTr="00646EB5">
        <w:trPr>
          <w:trHeight w:val="185"/>
        </w:trPr>
        <w:tc>
          <w:tcPr>
            <w:tcW w:w="433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r>
      <w:tr w:rsidR="00646EB5" w:rsidTr="00646EB5">
        <w:trPr>
          <w:trHeight w:val="450"/>
        </w:trPr>
        <w:tc>
          <w:tcPr>
            <w:tcW w:w="4336" w:type="dxa"/>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Теоретические расходы по налогу на прибыль по официальной налоговой ставке</w:t>
            </w:r>
          </w:p>
        </w:tc>
        <w:tc>
          <w:tcPr>
            <w:tcW w:w="2456" w:type="dxa"/>
            <w:vAlign w:val="bottom"/>
          </w:tcPr>
          <w:p w:rsidR="00646EB5" w:rsidRPr="00263401" w:rsidRDefault="00263401"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17 795</w:t>
            </w:r>
          </w:p>
        </w:tc>
      </w:tr>
      <w:tr w:rsidR="00646EB5" w:rsidTr="00646EB5">
        <w:trPr>
          <w:trHeight w:val="110"/>
        </w:trPr>
        <w:tc>
          <w:tcPr>
            <w:tcW w:w="433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Расходы по налогу, не уменьшающие налогооблагаемую базу</w:t>
            </w:r>
          </w:p>
        </w:tc>
        <w:tc>
          <w:tcPr>
            <w:tcW w:w="2456" w:type="dxa"/>
            <w:vAlign w:val="bottom"/>
          </w:tcPr>
          <w:p w:rsidR="00646EB5" w:rsidRPr="00263401" w:rsidRDefault="00263401"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41 366</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Доходы по налогу, не увеличивающие налогооблагаемую базу</w:t>
            </w:r>
          </w:p>
        </w:tc>
        <w:tc>
          <w:tcPr>
            <w:tcW w:w="2456" w:type="dxa"/>
            <w:vAlign w:val="bottom"/>
          </w:tcPr>
          <w:p w:rsidR="00646EB5" w:rsidRDefault="00263401"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(62 677)</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Прочие разницы</w:t>
            </w:r>
          </w:p>
        </w:tc>
        <w:tc>
          <w:tcPr>
            <w:tcW w:w="2456" w:type="dxa"/>
            <w:vAlign w:val="bottom"/>
          </w:tcPr>
          <w:p w:rsidR="00646EB5" w:rsidRPr="00F002A6" w:rsidRDefault="00263401" w:rsidP="00646EB5">
            <w:pPr>
              <w:overflowPunct/>
              <w:autoSpaceDE/>
              <w:adjustRightInd/>
              <w:spacing w:line="276" w:lineRule="auto"/>
              <w:jc w:val="center"/>
              <w:rPr>
                <w:rFonts w:cs="Arial"/>
                <w:sz w:val="16"/>
                <w:szCs w:val="16"/>
                <w:lang w:val="en-US" w:eastAsia="ru-RU"/>
              </w:rPr>
            </w:pPr>
            <w:r>
              <w:rPr>
                <w:rFonts w:cs="Arial"/>
                <w:sz w:val="16"/>
                <w:szCs w:val="16"/>
                <w:lang w:val="ru-RU" w:eastAsia="ru-RU"/>
              </w:rPr>
              <w:t>-</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11 912</w:t>
            </w:r>
          </w:p>
        </w:tc>
      </w:tr>
      <w:tr w:rsidR="00646EB5" w:rsidRPr="00125110" w:rsidTr="00646EB5">
        <w:trPr>
          <w:trHeight w:val="255"/>
        </w:trPr>
        <w:tc>
          <w:tcPr>
            <w:tcW w:w="4336" w:type="dxa"/>
            <w:noWrap/>
            <w:vAlign w:val="bottom"/>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Корректировка налога за прошлые годы</w:t>
            </w:r>
          </w:p>
        </w:tc>
        <w:tc>
          <w:tcPr>
            <w:tcW w:w="2456" w:type="dxa"/>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221</w:t>
            </w:r>
          </w:p>
        </w:tc>
        <w:tc>
          <w:tcPr>
            <w:tcW w:w="2456" w:type="dxa"/>
            <w:noWrap/>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646EB5" w:rsidRPr="00125110" w:rsidTr="00646EB5">
        <w:trPr>
          <w:trHeight w:val="84"/>
        </w:trPr>
        <w:tc>
          <w:tcPr>
            <w:tcW w:w="433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vAlign w:val="bottom"/>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c>
          <w:tcPr>
            <w:tcW w:w="2456" w:type="dxa"/>
            <w:noWrap/>
            <w:vAlign w:val="bottom"/>
            <w:hideMark/>
          </w:tcPr>
          <w:p w:rsidR="00646EB5" w:rsidRDefault="00646EB5" w:rsidP="00646EB5">
            <w:pPr>
              <w:overflowPunct/>
              <w:autoSpaceDE/>
              <w:autoSpaceDN/>
              <w:adjustRightInd/>
              <w:spacing w:line="276" w:lineRule="auto"/>
              <w:rPr>
                <w:rFonts w:asciiTheme="minorHAnsi" w:eastAsiaTheme="minorHAnsi" w:hAnsiTheme="minorHAnsi" w:cs="Times New Roman"/>
                <w:sz w:val="22"/>
                <w:szCs w:val="22"/>
                <w:lang w:val="ru-RU"/>
              </w:rPr>
            </w:pPr>
          </w:p>
        </w:tc>
      </w:tr>
      <w:tr w:rsidR="00646EB5" w:rsidTr="00646EB5">
        <w:trPr>
          <w:trHeight w:val="255"/>
        </w:trPr>
        <w:tc>
          <w:tcPr>
            <w:tcW w:w="4336" w:type="dxa"/>
            <w:tcBorders>
              <w:top w:val="single" w:sz="4" w:space="0" w:color="auto"/>
              <w:left w:val="nil"/>
              <w:bottom w:val="nil"/>
              <w:right w:val="nil"/>
            </w:tcBorders>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Расход по налогу на прибыль</w:t>
            </w:r>
          </w:p>
        </w:tc>
        <w:tc>
          <w:tcPr>
            <w:tcW w:w="2456" w:type="dxa"/>
            <w:tcBorders>
              <w:top w:val="single" w:sz="4" w:space="0" w:color="auto"/>
              <w:left w:val="nil"/>
              <w:bottom w:val="nil"/>
              <w:right w:val="nil"/>
            </w:tcBorders>
            <w:vAlign w:val="bottom"/>
          </w:tcPr>
          <w:p w:rsidR="00646EB5" w:rsidRPr="005D0297" w:rsidRDefault="00646EB5" w:rsidP="00646EB5">
            <w:pPr>
              <w:overflowPunct/>
              <w:autoSpaceDE/>
              <w:adjustRightInd/>
              <w:spacing w:line="276" w:lineRule="auto"/>
              <w:jc w:val="center"/>
              <w:rPr>
                <w:rFonts w:cs="Arial"/>
                <w:sz w:val="16"/>
                <w:szCs w:val="16"/>
                <w:lang w:val="en-US" w:eastAsia="ru-RU"/>
              </w:rPr>
            </w:pPr>
            <w:r>
              <w:rPr>
                <w:rFonts w:cs="Arial"/>
                <w:sz w:val="16"/>
                <w:szCs w:val="16"/>
                <w:lang w:val="en-US" w:eastAsia="ru-RU"/>
              </w:rPr>
              <w:t>-</w:t>
            </w:r>
          </w:p>
        </w:tc>
        <w:tc>
          <w:tcPr>
            <w:tcW w:w="2456" w:type="dxa"/>
            <w:tcBorders>
              <w:top w:val="single" w:sz="4" w:space="0" w:color="auto"/>
              <w:left w:val="nil"/>
              <w:bottom w:val="nil"/>
              <w:right w:val="nil"/>
            </w:tcBorders>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8 396</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Налог на прибыль за прошлые годы</w:t>
            </w:r>
          </w:p>
        </w:tc>
        <w:tc>
          <w:tcPr>
            <w:tcW w:w="2456" w:type="dxa"/>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221</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Прочие расходы по налогам</w:t>
            </w:r>
          </w:p>
        </w:tc>
        <w:tc>
          <w:tcPr>
            <w:tcW w:w="2456" w:type="dxa"/>
            <w:vAlign w:val="bottom"/>
          </w:tcPr>
          <w:p w:rsidR="00646EB5" w:rsidRPr="005D0297" w:rsidRDefault="00646EB5" w:rsidP="00646EB5">
            <w:pPr>
              <w:overflowPunct/>
              <w:autoSpaceDE/>
              <w:adjustRightInd/>
              <w:spacing w:line="276" w:lineRule="auto"/>
              <w:jc w:val="center"/>
              <w:rPr>
                <w:rFonts w:cs="Arial"/>
                <w:sz w:val="16"/>
                <w:szCs w:val="16"/>
                <w:lang w:val="en-US" w:eastAsia="ru-RU"/>
              </w:rPr>
            </w:pPr>
            <w:r w:rsidRPr="003A4AAF">
              <w:rPr>
                <w:rFonts w:cs="Arial"/>
                <w:sz w:val="16"/>
                <w:szCs w:val="16"/>
                <w:lang w:val="en-US" w:eastAsia="ru-RU"/>
              </w:rPr>
              <w:t>71</w:t>
            </w:r>
            <w:r w:rsidRPr="003A4AAF">
              <w:rPr>
                <w:rFonts w:cs="Arial"/>
                <w:sz w:val="16"/>
                <w:szCs w:val="16"/>
                <w:lang w:val="ru-RU" w:eastAsia="ru-RU"/>
              </w:rPr>
              <w:t xml:space="preserve"> </w:t>
            </w:r>
            <w:r w:rsidRPr="003A4AAF">
              <w:rPr>
                <w:rFonts w:cs="Arial"/>
                <w:sz w:val="16"/>
                <w:szCs w:val="16"/>
                <w:lang w:val="en-US" w:eastAsia="ru-RU"/>
              </w:rPr>
              <w:t>644</w:t>
            </w:r>
          </w:p>
        </w:tc>
        <w:tc>
          <w:tcPr>
            <w:tcW w:w="2456" w:type="dxa"/>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43 097</w:t>
            </w:r>
          </w:p>
        </w:tc>
      </w:tr>
      <w:tr w:rsidR="00646EB5" w:rsidTr="00646EB5">
        <w:trPr>
          <w:trHeight w:val="255"/>
        </w:trPr>
        <w:tc>
          <w:tcPr>
            <w:tcW w:w="4336" w:type="dxa"/>
            <w:tcBorders>
              <w:top w:val="nil"/>
              <w:left w:val="nil"/>
              <w:bottom w:val="single" w:sz="4" w:space="0" w:color="auto"/>
              <w:right w:val="nil"/>
            </w:tcBorders>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lastRenderedPageBreak/>
              <w:t>Отложенный налог на прибыль</w:t>
            </w:r>
          </w:p>
        </w:tc>
        <w:tc>
          <w:tcPr>
            <w:tcW w:w="2456" w:type="dxa"/>
            <w:tcBorders>
              <w:top w:val="nil"/>
              <w:left w:val="nil"/>
              <w:bottom w:val="single" w:sz="4" w:space="0" w:color="auto"/>
              <w:right w:val="nil"/>
            </w:tcBorders>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sidRPr="003A4AAF">
              <w:rPr>
                <w:rFonts w:cs="Arial"/>
                <w:sz w:val="16"/>
                <w:szCs w:val="16"/>
                <w:lang w:val="en-US" w:eastAsia="ru-RU"/>
              </w:rPr>
              <w:t>19</w:t>
            </w:r>
            <w:r w:rsidRPr="003A4AAF">
              <w:rPr>
                <w:rFonts w:cs="Arial"/>
                <w:sz w:val="16"/>
                <w:szCs w:val="16"/>
                <w:lang w:val="ru-RU" w:eastAsia="ru-RU"/>
              </w:rPr>
              <w:t xml:space="preserve"> 9</w:t>
            </w:r>
            <w:r w:rsidRPr="003A4AAF">
              <w:rPr>
                <w:rFonts w:cs="Arial"/>
                <w:sz w:val="16"/>
                <w:szCs w:val="16"/>
                <w:lang w:val="en-US" w:eastAsia="ru-RU"/>
              </w:rPr>
              <w:t>15</w:t>
            </w:r>
          </w:p>
        </w:tc>
        <w:tc>
          <w:tcPr>
            <w:tcW w:w="2456" w:type="dxa"/>
            <w:tcBorders>
              <w:top w:val="nil"/>
              <w:left w:val="nil"/>
              <w:bottom w:val="single" w:sz="4" w:space="0" w:color="auto"/>
              <w:right w:val="nil"/>
            </w:tcBorders>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(25 679)</w:t>
            </w:r>
          </w:p>
        </w:tc>
      </w:tr>
      <w:tr w:rsidR="00646EB5" w:rsidTr="00646EB5">
        <w:trPr>
          <w:trHeight w:val="255"/>
        </w:trPr>
        <w:tc>
          <w:tcPr>
            <w:tcW w:w="4336" w:type="dxa"/>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Начисленные (уплаченные) налоги</w:t>
            </w:r>
          </w:p>
        </w:tc>
        <w:tc>
          <w:tcPr>
            <w:tcW w:w="2456" w:type="dxa"/>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en-US" w:eastAsia="ru-RU"/>
              </w:rPr>
              <w:t>91</w:t>
            </w:r>
            <w:r w:rsidRPr="006250B1">
              <w:rPr>
                <w:rFonts w:cs="Arial"/>
                <w:sz w:val="16"/>
                <w:szCs w:val="16"/>
                <w:lang w:val="ru-RU" w:eastAsia="ru-RU"/>
              </w:rPr>
              <w:t xml:space="preserve"> </w:t>
            </w:r>
            <w:r>
              <w:rPr>
                <w:rFonts w:cs="Arial"/>
                <w:sz w:val="16"/>
                <w:szCs w:val="16"/>
                <w:lang w:val="en-US" w:eastAsia="ru-RU"/>
              </w:rPr>
              <w:t>7</w:t>
            </w:r>
            <w:r w:rsidRPr="006250B1">
              <w:rPr>
                <w:rFonts w:cs="Arial"/>
                <w:sz w:val="16"/>
                <w:szCs w:val="16"/>
                <w:lang w:val="ru-RU" w:eastAsia="ru-RU"/>
              </w:rPr>
              <w:t>8</w:t>
            </w:r>
            <w:r>
              <w:rPr>
                <w:rFonts w:cs="Arial"/>
                <w:sz w:val="16"/>
                <w:szCs w:val="16"/>
                <w:lang w:val="en-US" w:eastAsia="ru-RU"/>
              </w:rPr>
              <w:t>0</w:t>
            </w:r>
          </w:p>
        </w:tc>
        <w:tc>
          <w:tcPr>
            <w:tcW w:w="2456" w:type="dxa"/>
            <w:noWrap/>
            <w:vAlign w:val="bottom"/>
            <w:hideMark/>
          </w:tcPr>
          <w:p w:rsidR="00646EB5" w:rsidRDefault="0081097B"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25 814</w:t>
            </w:r>
          </w:p>
        </w:tc>
      </w:tr>
      <w:tr w:rsidR="00646EB5" w:rsidTr="00646EB5">
        <w:trPr>
          <w:trHeight w:val="255"/>
        </w:trPr>
        <w:tc>
          <w:tcPr>
            <w:tcW w:w="4336" w:type="dxa"/>
            <w:tcBorders>
              <w:top w:val="nil"/>
              <w:left w:val="nil"/>
              <w:bottom w:val="nil"/>
              <w:right w:val="nil"/>
            </w:tcBorders>
            <w:noWrap/>
            <w:vAlign w:val="bottom"/>
            <w:hideMark/>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Прибыль (убыток) после налогообложения</w:t>
            </w:r>
          </w:p>
        </w:tc>
        <w:tc>
          <w:tcPr>
            <w:tcW w:w="2456" w:type="dxa"/>
            <w:tcBorders>
              <w:top w:val="nil"/>
              <w:left w:val="nil"/>
              <w:bottom w:val="nil"/>
              <w:right w:val="nil"/>
            </w:tcBorders>
            <w:vAlign w:val="bottom"/>
          </w:tcPr>
          <w:p w:rsidR="00646EB5" w:rsidRPr="006250B1" w:rsidRDefault="00646EB5" w:rsidP="00646EB5">
            <w:pPr>
              <w:overflowPunct/>
              <w:autoSpaceDE/>
              <w:adjustRightInd/>
              <w:spacing w:line="276" w:lineRule="auto"/>
              <w:jc w:val="center"/>
              <w:rPr>
                <w:rFonts w:cs="Arial"/>
                <w:sz w:val="16"/>
                <w:szCs w:val="16"/>
                <w:lang w:val="ru-RU" w:eastAsia="ru-RU"/>
              </w:rPr>
            </w:pPr>
            <w:r>
              <w:rPr>
                <w:rFonts w:cs="Arial"/>
                <w:sz w:val="16"/>
                <w:szCs w:val="16"/>
                <w:lang w:val="en-US" w:eastAsia="ru-RU"/>
              </w:rPr>
              <w:t>(287</w:t>
            </w:r>
            <w:r>
              <w:rPr>
                <w:rFonts w:cs="Arial"/>
                <w:sz w:val="16"/>
                <w:szCs w:val="16"/>
                <w:lang w:val="ru-RU" w:eastAsia="ru-RU"/>
              </w:rPr>
              <w:t> </w:t>
            </w:r>
            <w:r>
              <w:rPr>
                <w:rFonts w:cs="Arial"/>
                <w:sz w:val="16"/>
                <w:szCs w:val="16"/>
                <w:lang w:val="en-US" w:eastAsia="ru-RU"/>
              </w:rPr>
              <w:t>1</w:t>
            </w:r>
            <w:r>
              <w:rPr>
                <w:rFonts w:cs="Arial"/>
                <w:sz w:val="16"/>
                <w:szCs w:val="16"/>
                <w:lang w:val="ru-RU" w:eastAsia="ru-RU"/>
              </w:rPr>
              <w:t>67</w:t>
            </w:r>
            <w:r>
              <w:rPr>
                <w:rFonts w:cs="Arial"/>
                <w:sz w:val="16"/>
                <w:szCs w:val="16"/>
                <w:lang w:val="en-US" w:eastAsia="ru-RU"/>
              </w:rPr>
              <w:t>)</w:t>
            </w:r>
            <w:r w:rsidRPr="006250B1">
              <w:rPr>
                <w:rFonts w:cs="Arial"/>
                <w:sz w:val="16"/>
                <w:szCs w:val="16"/>
                <w:lang w:val="ru-RU" w:eastAsia="ru-RU"/>
              </w:rPr>
              <w:t xml:space="preserve">                  </w:t>
            </w:r>
          </w:p>
        </w:tc>
        <w:tc>
          <w:tcPr>
            <w:tcW w:w="2456" w:type="dxa"/>
            <w:tcBorders>
              <w:top w:val="nil"/>
              <w:left w:val="nil"/>
              <w:bottom w:val="nil"/>
              <w:right w:val="nil"/>
            </w:tcBorders>
            <w:noWrap/>
            <w:vAlign w:val="bottom"/>
            <w:hideMark/>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54 902</w:t>
            </w:r>
          </w:p>
        </w:tc>
      </w:tr>
      <w:tr w:rsidR="00646EB5" w:rsidRPr="005D5FD2" w:rsidTr="00646EB5">
        <w:trPr>
          <w:trHeight w:val="255"/>
        </w:trPr>
        <w:tc>
          <w:tcPr>
            <w:tcW w:w="4336" w:type="dxa"/>
            <w:tcBorders>
              <w:top w:val="nil"/>
              <w:left w:val="nil"/>
              <w:bottom w:val="nil"/>
              <w:right w:val="nil"/>
            </w:tcBorders>
            <w:noWrap/>
            <w:vAlign w:val="bottom"/>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 xml:space="preserve">Корректировка прибыли на прочий совокупный доход        </w:t>
            </w:r>
          </w:p>
        </w:tc>
        <w:tc>
          <w:tcPr>
            <w:tcW w:w="2456" w:type="dxa"/>
            <w:tcBorders>
              <w:top w:val="nil"/>
              <w:left w:val="nil"/>
              <w:bottom w:val="nil"/>
              <w:right w:val="nil"/>
            </w:tcBorders>
            <w:vAlign w:val="bottom"/>
          </w:tcPr>
          <w:p w:rsidR="00646EB5" w:rsidRPr="006250B1" w:rsidRDefault="00646EB5" w:rsidP="00840597">
            <w:pPr>
              <w:overflowPunct/>
              <w:autoSpaceDE/>
              <w:adjustRightInd/>
              <w:spacing w:line="276" w:lineRule="auto"/>
              <w:jc w:val="center"/>
              <w:rPr>
                <w:rFonts w:cs="Arial"/>
                <w:sz w:val="16"/>
                <w:szCs w:val="16"/>
                <w:lang w:val="ru-RU" w:eastAsia="ru-RU"/>
              </w:rPr>
            </w:pPr>
            <w:r w:rsidRPr="006250B1">
              <w:rPr>
                <w:rFonts w:cs="Arial"/>
                <w:sz w:val="16"/>
                <w:szCs w:val="16"/>
                <w:lang w:val="ru-RU" w:eastAsia="ru-RU"/>
              </w:rPr>
              <w:t>4</w:t>
            </w:r>
            <w:r>
              <w:rPr>
                <w:rFonts w:cs="Arial"/>
                <w:sz w:val="16"/>
                <w:szCs w:val="16"/>
                <w:lang w:val="en-US" w:eastAsia="ru-RU"/>
              </w:rPr>
              <w:t>8</w:t>
            </w:r>
            <w:r>
              <w:rPr>
                <w:rFonts w:cs="Arial"/>
                <w:sz w:val="16"/>
                <w:szCs w:val="16"/>
                <w:lang w:val="ru-RU" w:eastAsia="ru-RU"/>
              </w:rPr>
              <w:t> </w:t>
            </w:r>
            <w:r>
              <w:rPr>
                <w:rFonts w:cs="Arial"/>
                <w:sz w:val="16"/>
                <w:szCs w:val="16"/>
                <w:lang w:val="en-US" w:eastAsia="ru-RU"/>
              </w:rPr>
              <w:t>090</w:t>
            </w:r>
            <w:r w:rsidRPr="006250B1">
              <w:rPr>
                <w:rFonts w:cs="Arial"/>
                <w:sz w:val="16"/>
                <w:szCs w:val="16"/>
                <w:lang w:val="ru-RU" w:eastAsia="ru-RU"/>
              </w:rPr>
              <w:t xml:space="preserve">              </w:t>
            </w:r>
          </w:p>
        </w:tc>
        <w:tc>
          <w:tcPr>
            <w:tcW w:w="2456" w:type="dxa"/>
            <w:tcBorders>
              <w:top w:val="nil"/>
              <w:left w:val="nil"/>
              <w:bottom w:val="nil"/>
              <w:right w:val="nil"/>
            </w:tcBorders>
            <w:noWrap/>
            <w:vAlign w:val="bottom"/>
          </w:tcPr>
          <w:p w:rsidR="00646EB5" w:rsidRDefault="00646EB5" w:rsidP="00840597">
            <w:pPr>
              <w:overflowPunct/>
              <w:autoSpaceDE/>
              <w:adjustRightInd/>
              <w:spacing w:line="276" w:lineRule="auto"/>
              <w:jc w:val="center"/>
              <w:rPr>
                <w:rFonts w:cs="Arial"/>
                <w:sz w:val="16"/>
                <w:szCs w:val="16"/>
                <w:lang w:val="ru-RU" w:eastAsia="ru-RU"/>
              </w:rPr>
            </w:pPr>
            <w:r>
              <w:rPr>
                <w:rFonts w:cs="Arial"/>
                <w:sz w:val="16"/>
                <w:szCs w:val="16"/>
                <w:lang w:val="ru-RU" w:eastAsia="ru-RU"/>
              </w:rPr>
              <w:t>4 643</w:t>
            </w:r>
          </w:p>
        </w:tc>
      </w:tr>
      <w:tr w:rsidR="00646EB5" w:rsidRPr="005D5FD2" w:rsidTr="00646EB5">
        <w:trPr>
          <w:trHeight w:val="255"/>
        </w:trPr>
        <w:tc>
          <w:tcPr>
            <w:tcW w:w="4336" w:type="dxa"/>
            <w:tcBorders>
              <w:top w:val="nil"/>
              <w:left w:val="nil"/>
              <w:bottom w:val="double" w:sz="4" w:space="0" w:color="auto"/>
              <w:right w:val="nil"/>
            </w:tcBorders>
            <w:noWrap/>
            <w:vAlign w:val="bottom"/>
          </w:tcPr>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Прибыль (убыток) после налогообложения с учетом</w:t>
            </w:r>
          </w:p>
          <w:p w:rsidR="00646EB5" w:rsidRDefault="00646EB5" w:rsidP="00646EB5">
            <w:pPr>
              <w:overflowPunct/>
              <w:autoSpaceDE/>
              <w:adjustRightInd/>
              <w:spacing w:line="276" w:lineRule="auto"/>
              <w:rPr>
                <w:rFonts w:cs="Arial"/>
                <w:sz w:val="16"/>
                <w:szCs w:val="16"/>
                <w:lang w:val="ru-RU" w:eastAsia="ru-RU"/>
              </w:rPr>
            </w:pPr>
            <w:r>
              <w:rPr>
                <w:rFonts w:cs="Arial"/>
                <w:sz w:val="16"/>
                <w:szCs w:val="16"/>
                <w:lang w:val="ru-RU" w:eastAsia="ru-RU"/>
              </w:rPr>
              <w:t xml:space="preserve">изменения прочего совокупного дохода </w:t>
            </w:r>
          </w:p>
        </w:tc>
        <w:tc>
          <w:tcPr>
            <w:tcW w:w="2456" w:type="dxa"/>
            <w:tcBorders>
              <w:top w:val="nil"/>
              <w:left w:val="nil"/>
              <w:bottom w:val="double" w:sz="4" w:space="0" w:color="auto"/>
              <w:right w:val="nil"/>
            </w:tcBorders>
            <w:vAlign w:val="bottom"/>
          </w:tcPr>
          <w:p w:rsidR="00646EB5" w:rsidRPr="006250B1" w:rsidRDefault="00840597"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w:t>
            </w:r>
            <w:r w:rsidR="00646EB5">
              <w:rPr>
                <w:rFonts w:cs="Arial"/>
                <w:sz w:val="16"/>
                <w:szCs w:val="16"/>
                <w:lang w:val="ru-RU" w:eastAsia="ru-RU"/>
              </w:rPr>
              <w:t>239</w:t>
            </w:r>
            <w:r>
              <w:rPr>
                <w:rFonts w:cs="Arial"/>
                <w:sz w:val="16"/>
                <w:szCs w:val="16"/>
                <w:lang w:val="ru-RU" w:eastAsia="ru-RU"/>
              </w:rPr>
              <w:t> </w:t>
            </w:r>
            <w:r w:rsidR="00646EB5">
              <w:rPr>
                <w:rFonts w:cs="Arial"/>
                <w:sz w:val="16"/>
                <w:szCs w:val="16"/>
                <w:lang w:val="ru-RU" w:eastAsia="ru-RU"/>
              </w:rPr>
              <w:t>077</w:t>
            </w:r>
            <w:r>
              <w:rPr>
                <w:rFonts w:cs="Arial"/>
                <w:sz w:val="16"/>
                <w:szCs w:val="16"/>
                <w:lang w:val="ru-RU" w:eastAsia="ru-RU"/>
              </w:rPr>
              <w:t>)</w:t>
            </w:r>
            <w:r w:rsidR="00646EB5" w:rsidRPr="006250B1">
              <w:rPr>
                <w:rFonts w:cs="Arial"/>
                <w:sz w:val="16"/>
                <w:szCs w:val="16"/>
                <w:lang w:val="ru-RU" w:eastAsia="ru-RU"/>
              </w:rPr>
              <w:t xml:space="preserve"> </w:t>
            </w:r>
          </w:p>
        </w:tc>
        <w:tc>
          <w:tcPr>
            <w:tcW w:w="2456" w:type="dxa"/>
            <w:tcBorders>
              <w:top w:val="nil"/>
              <w:left w:val="nil"/>
              <w:bottom w:val="double" w:sz="4" w:space="0" w:color="auto"/>
              <w:right w:val="nil"/>
            </w:tcBorders>
            <w:noWrap/>
            <w:vAlign w:val="bottom"/>
          </w:tcPr>
          <w:p w:rsidR="00646EB5" w:rsidRDefault="00646EB5" w:rsidP="00646EB5">
            <w:pPr>
              <w:overflowPunct/>
              <w:autoSpaceDE/>
              <w:adjustRightInd/>
              <w:spacing w:line="276" w:lineRule="auto"/>
              <w:jc w:val="center"/>
              <w:rPr>
                <w:rFonts w:cs="Arial"/>
                <w:sz w:val="16"/>
                <w:szCs w:val="16"/>
                <w:lang w:val="ru-RU" w:eastAsia="ru-RU"/>
              </w:rPr>
            </w:pPr>
            <w:r>
              <w:rPr>
                <w:rFonts w:cs="Arial"/>
                <w:sz w:val="16"/>
                <w:szCs w:val="16"/>
                <w:lang w:val="ru-RU" w:eastAsia="ru-RU"/>
              </w:rPr>
              <w:t>59 545</w:t>
            </w:r>
          </w:p>
        </w:tc>
      </w:tr>
    </w:tbl>
    <w:p w:rsidR="00646EB5" w:rsidRDefault="00646EB5" w:rsidP="00646EB5">
      <w:pPr>
        <w:jc w:val="both"/>
        <w:rPr>
          <w:rFonts w:cs="Arial"/>
          <w:b/>
          <w:sz w:val="20"/>
          <w:szCs w:val="20"/>
          <w:lang w:val="ru-RU"/>
        </w:rPr>
      </w:pPr>
    </w:p>
    <w:p w:rsidR="003D5AC4" w:rsidRDefault="003D5AC4" w:rsidP="00646EB5">
      <w:pPr>
        <w:jc w:val="both"/>
        <w:rPr>
          <w:rFonts w:cs="Arial"/>
          <w:b/>
          <w:sz w:val="20"/>
          <w:szCs w:val="20"/>
          <w:lang w:val="ru-RU"/>
        </w:rPr>
      </w:pPr>
    </w:p>
    <w:p w:rsidR="00646EB5" w:rsidRDefault="00646EB5" w:rsidP="00646EB5">
      <w:pPr>
        <w:jc w:val="both"/>
        <w:rPr>
          <w:rFonts w:cs="Arial"/>
          <w:b/>
          <w:sz w:val="20"/>
          <w:szCs w:val="20"/>
          <w:lang w:val="ru-RU"/>
        </w:rPr>
      </w:pPr>
      <w:r w:rsidRPr="00216A9F">
        <w:rPr>
          <w:rFonts w:cs="Arial"/>
          <w:b/>
          <w:sz w:val="20"/>
          <w:szCs w:val="20"/>
          <w:lang w:val="ru-RU"/>
        </w:rPr>
        <w:t>Информация о затратах на исследования и разработки, признанные в качестве расходов</w:t>
      </w:r>
    </w:p>
    <w:p w:rsidR="00646EB5" w:rsidRPr="00216A9F" w:rsidRDefault="00646EB5" w:rsidP="00646EB5">
      <w:pPr>
        <w:jc w:val="both"/>
        <w:rPr>
          <w:rFonts w:cs="Arial"/>
          <w:b/>
          <w:sz w:val="20"/>
          <w:szCs w:val="20"/>
          <w:lang w:val="ru-RU"/>
        </w:rPr>
      </w:pPr>
    </w:p>
    <w:p w:rsidR="00646EB5" w:rsidRDefault="00646EB5" w:rsidP="00646EB5">
      <w:pPr>
        <w:jc w:val="both"/>
        <w:rPr>
          <w:sz w:val="20"/>
          <w:szCs w:val="20"/>
          <w:lang w:val="ru-RU"/>
        </w:rPr>
      </w:pPr>
      <w:r w:rsidRPr="00216A9F">
        <w:rPr>
          <w:sz w:val="20"/>
          <w:szCs w:val="20"/>
          <w:lang w:val="ru-RU"/>
        </w:rPr>
        <w:t>Затраты на исследования и разработки, признанные в качестве расходов в течение 201</w:t>
      </w:r>
      <w:r>
        <w:rPr>
          <w:sz w:val="20"/>
          <w:szCs w:val="20"/>
          <w:lang w:val="ru-RU"/>
        </w:rPr>
        <w:t>7</w:t>
      </w:r>
      <w:r w:rsidRPr="00216A9F">
        <w:rPr>
          <w:sz w:val="20"/>
          <w:szCs w:val="20"/>
          <w:lang w:val="ru-RU"/>
        </w:rPr>
        <w:t>-201</w:t>
      </w:r>
      <w:r>
        <w:rPr>
          <w:sz w:val="20"/>
          <w:szCs w:val="20"/>
          <w:lang w:val="ru-RU"/>
        </w:rPr>
        <w:t>8</w:t>
      </w:r>
      <w:r w:rsidRPr="00216A9F">
        <w:rPr>
          <w:sz w:val="20"/>
          <w:szCs w:val="20"/>
          <w:lang w:val="ru-RU"/>
        </w:rPr>
        <w:t>гг., Банком не осуществлялись.</w:t>
      </w:r>
    </w:p>
    <w:p w:rsidR="00646EB5" w:rsidRDefault="00646EB5" w:rsidP="00646EB5">
      <w:pPr>
        <w:jc w:val="both"/>
        <w:rPr>
          <w:lang w:val="ru-RU"/>
        </w:rPr>
      </w:pPr>
    </w:p>
    <w:p w:rsidR="00646EB5" w:rsidRDefault="00646EB5" w:rsidP="00646EB5">
      <w:pPr>
        <w:jc w:val="both"/>
        <w:rPr>
          <w:rFonts w:cs="Arial"/>
          <w:b/>
          <w:sz w:val="20"/>
          <w:szCs w:val="20"/>
          <w:lang w:val="ru-RU"/>
        </w:rPr>
      </w:pPr>
      <w:r w:rsidRPr="00326111">
        <w:rPr>
          <w:rFonts w:cs="Arial"/>
          <w:b/>
          <w:sz w:val="20"/>
          <w:szCs w:val="20"/>
          <w:lang w:val="ru-RU"/>
        </w:rPr>
        <w:t xml:space="preserve">Информация о </w:t>
      </w:r>
      <w:r>
        <w:rPr>
          <w:rFonts w:cs="Arial"/>
          <w:b/>
          <w:sz w:val="20"/>
          <w:szCs w:val="20"/>
          <w:lang w:val="ru-RU"/>
        </w:rPr>
        <w:t xml:space="preserve">списании стоимости основных средств до возмещаемой суммы, а также сторнирования таких списаний </w:t>
      </w:r>
    </w:p>
    <w:p w:rsidR="00646EB5" w:rsidRDefault="00646EB5" w:rsidP="00646EB5">
      <w:pPr>
        <w:jc w:val="both"/>
        <w:rPr>
          <w:rFonts w:cs="Arial"/>
          <w:b/>
          <w:sz w:val="20"/>
          <w:szCs w:val="20"/>
          <w:lang w:val="ru-RU"/>
        </w:rPr>
      </w:pPr>
    </w:p>
    <w:p w:rsidR="00646EB5" w:rsidRDefault="00646EB5" w:rsidP="00646EB5">
      <w:pPr>
        <w:jc w:val="both"/>
        <w:rPr>
          <w:sz w:val="20"/>
          <w:szCs w:val="20"/>
          <w:lang w:val="ru-RU"/>
        </w:rPr>
      </w:pPr>
      <w:r>
        <w:rPr>
          <w:sz w:val="20"/>
          <w:szCs w:val="20"/>
          <w:lang w:val="ru-RU"/>
        </w:rPr>
        <w:t>В отчетном периоде Банк</w:t>
      </w:r>
      <w:r w:rsidRPr="00326111">
        <w:rPr>
          <w:sz w:val="20"/>
          <w:szCs w:val="20"/>
          <w:lang w:val="ru-RU"/>
        </w:rPr>
        <w:t xml:space="preserve"> не осуществлял списание основных средств, а также </w:t>
      </w:r>
      <w:r>
        <w:rPr>
          <w:sz w:val="20"/>
          <w:szCs w:val="20"/>
          <w:lang w:val="ru-RU"/>
        </w:rPr>
        <w:t xml:space="preserve">не осуществлял </w:t>
      </w:r>
      <w:r w:rsidRPr="00326111">
        <w:rPr>
          <w:sz w:val="20"/>
          <w:szCs w:val="20"/>
          <w:lang w:val="ru-RU"/>
        </w:rPr>
        <w:t>сторнирования таких списаний</w:t>
      </w:r>
      <w:r>
        <w:rPr>
          <w:sz w:val="20"/>
          <w:szCs w:val="20"/>
          <w:lang w:val="ru-RU"/>
        </w:rPr>
        <w:t>.</w:t>
      </w:r>
    </w:p>
    <w:p w:rsidR="00646EB5" w:rsidRDefault="00646EB5" w:rsidP="00646EB5">
      <w:pPr>
        <w:jc w:val="both"/>
        <w:rPr>
          <w:sz w:val="20"/>
          <w:szCs w:val="20"/>
          <w:lang w:val="ru-RU"/>
        </w:rPr>
      </w:pPr>
    </w:p>
    <w:p w:rsidR="00646EB5" w:rsidRDefault="00646EB5" w:rsidP="00646EB5">
      <w:pPr>
        <w:jc w:val="both"/>
        <w:rPr>
          <w:rFonts w:cs="Arial"/>
          <w:b/>
          <w:sz w:val="20"/>
          <w:szCs w:val="20"/>
          <w:lang w:val="ru-RU"/>
        </w:rPr>
      </w:pPr>
      <w:r w:rsidRPr="000045A9">
        <w:rPr>
          <w:rFonts w:cs="Arial"/>
          <w:b/>
          <w:sz w:val="20"/>
          <w:szCs w:val="20"/>
          <w:lang w:val="ru-RU"/>
        </w:rPr>
        <w:t>Выбытие объектов основных средств</w:t>
      </w:r>
    </w:p>
    <w:p w:rsidR="00646EB5" w:rsidRPr="000045A9" w:rsidRDefault="00646EB5" w:rsidP="00646EB5">
      <w:pPr>
        <w:jc w:val="both"/>
        <w:rPr>
          <w:rFonts w:cs="Arial"/>
          <w:b/>
          <w:sz w:val="20"/>
          <w:szCs w:val="20"/>
          <w:lang w:val="ru-RU"/>
        </w:rPr>
      </w:pPr>
    </w:p>
    <w:tbl>
      <w:tblPr>
        <w:tblW w:w="9288" w:type="dxa"/>
        <w:tblInd w:w="108" w:type="dxa"/>
        <w:tblLook w:val="04A0" w:firstRow="1" w:lastRow="0" w:firstColumn="1" w:lastColumn="0" w:noHBand="0" w:noVBand="1"/>
      </w:tblPr>
      <w:tblGrid>
        <w:gridCol w:w="2856"/>
        <w:gridCol w:w="1581"/>
        <w:gridCol w:w="1635"/>
        <w:gridCol w:w="1581"/>
        <w:gridCol w:w="1635"/>
      </w:tblGrid>
      <w:tr w:rsidR="00646EB5" w:rsidRPr="000045A9" w:rsidTr="00646EB5">
        <w:trPr>
          <w:trHeight w:val="225"/>
          <w:tblHeader/>
        </w:trPr>
        <w:tc>
          <w:tcPr>
            <w:tcW w:w="2856" w:type="dxa"/>
            <w:tcBorders>
              <w:top w:val="single" w:sz="4" w:space="0" w:color="auto"/>
              <w:left w:val="nil"/>
              <w:right w:val="nil"/>
            </w:tcBorders>
            <w:shd w:val="clear" w:color="auto" w:fill="auto"/>
            <w:noWrap/>
            <w:vAlign w:val="bottom"/>
            <w:hideMark/>
          </w:tcPr>
          <w:p w:rsidR="00646EB5" w:rsidRPr="000045A9" w:rsidRDefault="00646EB5" w:rsidP="00646EB5">
            <w:pPr>
              <w:overflowPunct/>
              <w:autoSpaceDE/>
              <w:autoSpaceDN/>
              <w:adjustRightInd/>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 </w:t>
            </w:r>
          </w:p>
        </w:tc>
        <w:tc>
          <w:tcPr>
            <w:tcW w:w="3216" w:type="dxa"/>
            <w:gridSpan w:val="2"/>
            <w:tcBorders>
              <w:top w:val="single" w:sz="4" w:space="0" w:color="auto"/>
              <w:left w:val="nil"/>
              <w:bottom w:val="single" w:sz="4" w:space="0" w:color="auto"/>
              <w:right w:val="nil"/>
            </w:tcBorders>
            <w:shd w:val="clear" w:color="auto" w:fill="auto"/>
            <w:noWrap/>
            <w:vAlign w:val="bottom"/>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31.12.2018</w:t>
            </w:r>
          </w:p>
        </w:tc>
        <w:tc>
          <w:tcPr>
            <w:tcW w:w="3216" w:type="dxa"/>
            <w:gridSpan w:val="2"/>
            <w:tcBorders>
              <w:top w:val="single" w:sz="4" w:space="0" w:color="auto"/>
              <w:left w:val="nil"/>
              <w:bottom w:val="single" w:sz="4" w:space="0" w:color="auto"/>
              <w:right w:val="nil"/>
            </w:tcBorders>
            <w:shd w:val="clear" w:color="auto" w:fill="auto"/>
            <w:noWrap/>
            <w:vAlign w:val="bottom"/>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31.12.201</w:t>
            </w:r>
            <w:r>
              <w:rPr>
                <w:rFonts w:ascii="Arial CYR" w:hAnsi="Arial CYR" w:cs="Arial CYR"/>
                <w:b/>
                <w:bCs/>
                <w:sz w:val="16"/>
                <w:szCs w:val="16"/>
                <w:lang w:val="ru-RU" w:eastAsia="ru-RU"/>
              </w:rPr>
              <w:t>7</w:t>
            </w:r>
          </w:p>
        </w:tc>
      </w:tr>
      <w:tr w:rsidR="00646EB5" w:rsidRPr="000045A9" w:rsidTr="00646EB5">
        <w:trPr>
          <w:trHeight w:val="225"/>
          <w:tblHeader/>
        </w:trPr>
        <w:tc>
          <w:tcPr>
            <w:tcW w:w="2856" w:type="dxa"/>
            <w:tcBorders>
              <w:left w:val="nil"/>
              <w:bottom w:val="single" w:sz="4" w:space="0" w:color="auto"/>
              <w:right w:val="nil"/>
            </w:tcBorders>
            <w:shd w:val="clear" w:color="auto" w:fill="auto"/>
            <w:noWrap/>
            <w:vAlign w:val="bottom"/>
            <w:hideMark/>
          </w:tcPr>
          <w:p w:rsidR="00646EB5" w:rsidRPr="000045A9" w:rsidRDefault="00646EB5" w:rsidP="00646EB5">
            <w:pPr>
              <w:overflowPunct/>
              <w:autoSpaceDE/>
              <w:autoSpaceDN/>
              <w:adjustRightInd/>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Категория основных средств</w:t>
            </w:r>
          </w:p>
        </w:tc>
        <w:tc>
          <w:tcPr>
            <w:tcW w:w="1581" w:type="dxa"/>
            <w:tcBorders>
              <w:top w:val="nil"/>
              <w:left w:val="nil"/>
              <w:bottom w:val="single" w:sz="4" w:space="0" w:color="auto"/>
              <w:right w:val="nil"/>
            </w:tcBorders>
            <w:shd w:val="clear" w:color="auto" w:fill="auto"/>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расходы</w:t>
            </w:r>
            <w:r w:rsidRPr="000045A9">
              <w:rPr>
                <w:rFonts w:ascii="Arial CYR" w:hAnsi="Arial CYR" w:cs="Arial CYR"/>
                <w:b/>
                <w:bCs/>
                <w:sz w:val="16"/>
                <w:szCs w:val="16"/>
                <w:lang w:val="ru-RU" w:eastAsia="ru-RU"/>
              </w:rPr>
              <w:t xml:space="preserve">  </w:t>
            </w:r>
          </w:p>
        </w:tc>
        <w:tc>
          <w:tcPr>
            <w:tcW w:w="1581" w:type="dxa"/>
            <w:tcBorders>
              <w:top w:val="nil"/>
              <w:left w:val="nil"/>
              <w:bottom w:val="single" w:sz="4" w:space="0" w:color="auto"/>
              <w:right w:val="nil"/>
            </w:tcBorders>
            <w:shd w:val="clear" w:color="auto" w:fill="auto"/>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 xml:space="preserve">доходы    </w:t>
            </w:r>
          </w:p>
        </w:tc>
        <w:tc>
          <w:tcPr>
            <w:tcW w:w="1635" w:type="dxa"/>
            <w:tcBorders>
              <w:top w:val="nil"/>
              <w:left w:val="nil"/>
              <w:bottom w:val="single" w:sz="4" w:space="0" w:color="auto"/>
              <w:right w:val="nil"/>
            </w:tcBorders>
            <w:shd w:val="clear" w:color="auto" w:fill="auto"/>
            <w:hideMark/>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 xml:space="preserve">расходы    </w:t>
            </w:r>
          </w:p>
        </w:tc>
      </w:tr>
      <w:tr w:rsidR="00646EB5" w:rsidRPr="000045A9" w:rsidTr="00646EB5">
        <w:trPr>
          <w:trHeight w:val="225"/>
        </w:trPr>
        <w:tc>
          <w:tcPr>
            <w:tcW w:w="2856" w:type="dxa"/>
            <w:tcBorders>
              <w:top w:val="nil"/>
              <w:left w:val="nil"/>
              <w:bottom w:val="nil"/>
              <w:right w:val="nil"/>
            </w:tcBorders>
            <w:shd w:val="clear" w:color="auto" w:fill="auto"/>
            <w:hideMark/>
          </w:tcPr>
          <w:p w:rsidR="00646EB5" w:rsidRPr="000045A9" w:rsidRDefault="00646EB5" w:rsidP="00646EB5">
            <w:pPr>
              <w:overflowPunct/>
              <w:autoSpaceDE/>
              <w:autoSpaceDN/>
              <w:adjustRightInd/>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Недвижимость</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r>
      <w:tr w:rsidR="00646EB5" w:rsidRPr="000045A9" w:rsidTr="00646EB5">
        <w:trPr>
          <w:trHeight w:val="225"/>
        </w:trPr>
        <w:tc>
          <w:tcPr>
            <w:tcW w:w="2856" w:type="dxa"/>
            <w:tcBorders>
              <w:top w:val="nil"/>
              <w:left w:val="nil"/>
              <w:bottom w:val="nil"/>
              <w:right w:val="nil"/>
            </w:tcBorders>
            <w:shd w:val="clear" w:color="auto" w:fill="auto"/>
            <w:hideMark/>
          </w:tcPr>
          <w:p w:rsidR="00646EB5" w:rsidRPr="000045A9" w:rsidRDefault="00646EB5" w:rsidP="00646EB5">
            <w:pPr>
              <w:overflowPunct/>
              <w:autoSpaceDE/>
              <w:autoSpaceDN/>
              <w:adjustRightInd/>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Земля</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r>
      <w:tr w:rsidR="00646EB5" w:rsidRPr="000045A9" w:rsidTr="00646EB5">
        <w:trPr>
          <w:trHeight w:val="225"/>
        </w:trPr>
        <w:tc>
          <w:tcPr>
            <w:tcW w:w="2856" w:type="dxa"/>
            <w:tcBorders>
              <w:top w:val="nil"/>
              <w:left w:val="nil"/>
              <w:bottom w:val="nil"/>
              <w:right w:val="nil"/>
            </w:tcBorders>
            <w:shd w:val="clear" w:color="auto" w:fill="auto"/>
            <w:hideMark/>
          </w:tcPr>
          <w:p w:rsidR="00646EB5" w:rsidRPr="000045A9" w:rsidRDefault="00646EB5" w:rsidP="00646EB5">
            <w:pPr>
              <w:overflowPunct/>
              <w:autoSpaceDE/>
              <w:autoSpaceDN/>
              <w:adjustRightInd/>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Транспорт</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903</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r>
      <w:tr w:rsidR="00646EB5" w:rsidRPr="000045A9" w:rsidTr="00646EB5">
        <w:trPr>
          <w:trHeight w:val="225"/>
        </w:trPr>
        <w:tc>
          <w:tcPr>
            <w:tcW w:w="2856" w:type="dxa"/>
            <w:tcBorders>
              <w:top w:val="nil"/>
              <w:left w:val="nil"/>
              <w:bottom w:val="nil"/>
              <w:right w:val="nil"/>
            </w:tcBorders>
            <w:shd w:val="clear" w:color="auto" w:fill="auto"/>
            <w:hideMark/>
          </w:tcPr>
          <w:p w:rsidR="00646EB5" w:rsidRPr="000045A9" w:rsidRDefault="00646EB5" w:rsidP="00646EB5">
            <w:pPr>
              <w:overflowPunct/>
              <w:autoSpaceDE/>
              <w:autoSpaceDN/>
              <w:adjustRightInd/>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Оборудование</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581"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c>
          <w:tcPr>
            <w:tcW w:w="1635" w:type="dxa"/>
            <w:tcBorders>
              <w:top w:val="nil"/>
              <w:left w:val="nil"/>
              <w:bottom w:val="nil"/>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Pr>
                <w:rFonts w:ascii="Arial CYR" w:hAnsi="Arial CYR" w:cs="Arial CYR"/>
                <w:sz w:val="16"/>
                <w:szCs w:val="16"/>
                <w:lang w:val="ru-RU" w:eastAsia="ru-RU"/>
              </w:rPr>
              <w:t>-</w:t>
            </w:r>
          </w:p>
        </w:tc>
      </w:tr>
      <w:tr w:rsidR="00646EB5" w:rsidRPr="000045A9" w:rsidTr="00646EB5">
        <w:trPr>
          <w:trHeight w:val="225"/>
        </w:trPr>
        <w:tc>
          <w:tcPr>
            <w:tcW w:w="2856" w:type="dxa"/>
            <w:tcBorders>
              <w:top w:val="nil"/>
              <w:left w:val="nil"/>
              <w:bottom w:val="single" w:sz="4" w:space="0" w:color="auto"/>
              <w:right w:val="nil"/>
            </w:tcBorders>
            <w:shd w:val="clear" w:color="auto" w:fill="auto"/>
            <w:hideMark/>
          </w:tcPr>
          <w:p w:rsidR="00646EB5" w:rsidRPr="000045A9" w:rsidRDefault="00646EB5" w:rsidP="00646EB5">
            <w:pPr>
              <w:overflowPunct/>
              <w:autoSpaceDE/>
              <w:autoSpaceDN/>
              <w:adjustRightInd/>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Мебель</w:t>
            </w:r>
          </w:p>
        </w:tc>
        <w:tc>
          <w:tcPr>
            <w:tcW w:w="1581" w:type="dxa"/>
            <w:tcBorders>
              <w:top w:val="nil"/>
              <w:left w:val="nil"/>
              <w:bottom w:val="sing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sing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581" w:type="dxa"/>
            <w:tcBorders>
              <w:top w:val="nil"/>
              <w:left w:val="nil"/>
              <w:bottom w:val="sing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c>
          <w:tcPr>
            <w:tcW w:w="1635" w:type="dxa"/>
            <w:tcBorders>
              <w:top w:val="nil"/>
              <w:left w:val="nil"/>
              <w:bottom w:val="sing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sz w:val="16"/>
                <w:szCs w:val="16"/>
                <w:lang w:val="ru-RU" w:eastAsia="ru-RU"/>
              </w:rPr>
            </w:pPr>
            <w:r w:rsidRPr="000045A9">
              <w:rPr>
                <w:rFonts w:ascii="Arial CYR" w:hAnsi="Arial CYR" w:cs="Arial CYR"/>
                <w:sz w:val="16"/>
                <w:szCs w:val="16"/>
                <w:lang w:val="ru-RU" w:eastAsia="ru-RU"/>
              </w:rPr>
              <w:t>-</w:t>
            </w:r>
          </w:p>
        </w:tc>
      </w:tr>
      <w:tr w:rsidR="00646EB5" w:rsidRPr="00367D3E" w:rsidTr="00646EB5">
        <w:trPr>
          <w:trHeight w:val="240"/>
        </w:trPr>
        <w:tc>
          <w:tcPr>
            <w:tcW w:w="2856" w:type="dxa"/>
            <w:tcBorders>
              <w:top w:val="nil"/>
              <w:left w:val="nil"/>
              <w:bottom w:val="double" w:sz="4" w:space="0" w:color="auto"/>
              <w:right w:val="nil"/>
            </w:tcBorders>
            <w:shd w:val="clear" w:color="auto" w:fill="auto"/>
            <w:hideMark/>
          </w:tcPr>
          <w:p w:rsidR="0081097B" w:rsidRDefault="00646EB5" w:rsidP="00646EB5">
            <w:pPr>
              <w:overflowPunct/>
              <w:autoSpaceDE/>
              <w:autoSpaceDN/>
              <w:adjustRightInd/>
              <w:textAlignment w:val="auto"/>
              <w:rPr>
                <w:rFonts w:ascii="Arial CYR" w:hAnsi="Arial CYR" w:cs="Arial CYR"/>
                <w:b/>
                <w:bCs/>
                <w:sz w:val="16"/>
                <w:szCs w:val="16"/>
                <w:lang w:val="ru-RU" w:eastAsia="ru-RU"/>
              </w:rPr>
            </w:pPr>
            <w:r w:rsidRPr="000045A9">
              <w:rPr>
                <w:rFonts w:ascii="Arial CYR" w:hAnsi="Arial CYR" w:cs="Arial CYR"/>
                <w:b/>
                <w:bCs/>
                <w:sz w:val="16"/>
                <w:szCs w:val="16"/>
                <w:lang w:val="ru-RU" w:eastAsia="ru-RU"/>
              </w:rPr>
              <w:t> </w:t>
            </w:r>
          </w:p>
          <w:p w:rsidR="00646EB5" w:rsidRPr="000045A9" w:rsidRDefault="002F26BD" w:rsidP="00646EB5">
            <w:pPr>
              <w:overflowPunct/>
              <w:autoSpaceDE/>
              <w:autoSpaceDN/>
              <w:adjustRightInd/>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Итог</w:t>
            </w:r>
            <w:r w:rsidR="0081097B">
              <w:rPr>
                <w:rFonts w:ascii="Arial CYR" w:hAnsi="Arial CYR" w:cs="Arial CYR"/>
                <w:b/>
                <w:bCs/>
                <w:sz w:val="16"/>
                <w:szCs w:val="16"/>
                <w:lang w:val="ru-RU" w:eastAsia="ru-RU"/>
              </w:rPr>
              <w:t>о</w:t>
            </w:r>
          </w:p>
        </w:tc>
        <w:tc>
          <w:tcPr>
            <w:tcW w:w="1581" w:type="dxa"/>
            <w:tcBorders>
              <w:top w:val="nil"/>
              <w:left w:val="nil"/>
              <w:bottom w:val="double" w:sz="4" w:space="0" w:color="auto"/>
              <w:right w:val="nil"/>
            </w:tcBorders>
            <w:shd w:val="clear" w:color="auto" w:fill="auto"/>
            <w:noWrap/>
            <w:vAlign w:val="bottom"/>
          </w:tcPr>
          <w:p w:rsidR="00646EB5" w:rsidRPr="000045A9" w:rsidRDefault="002F26BD"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903</w:t>
            </w:r>
          </w:p>
        </w:tc>
        <w:tc>
          <w:tcPr>
            <w:tcW w:w="1635" w:type="dxa"/>
            <w:tcBorders>
              <w:top w:val="nil"/>
              <w:left w:val="nil"/>
              <w:bottom w:val="doub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w:t>
            </w:r>
          </w:p>
        </w:tc>
        <w:tc>
          <w:tcPr>
            <w:tcW w:w="1581" w:type="dxa"/>
            <w:tcBorders>
              <w:top w:val="nil"/>
              <w:left w:val="nil"/>
              <w:bottom w:val="doub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w:t>
            </w:r>
          </w:p>
        </w:tc>
        <w:tc>
          <w:tcPr>
            <w:tcW w:w="1635" w:type="dxa"/>
            <w:tcBorders>
              <w:top w:val="nil"/>
              <w:left w:val="nil"/>
              <w:bottom w:val="double" w:sz="4" w:space="0" w:color="auto"/>
              <w:right w:val="nil"/>
            </w:tcBorders>
            <w:shd w:val="clear" w:color="auto" w:fill="auto"/>
            <w:noWrap/>
            <w:vAlign w:val="bottom"/>
          </w:tcPr>
          <w:p w:rsidR="00646EB5" w:rsidRPr="000045A9" w:rsidRDefault="00646EB5" w:rsidP="00646EB5">
            <w:pPr>
              <w:overflowPunct/>
              <w:autoSpaceDE/>
              <w:autoSpaceDN/>
              <w:adjustRightInd/>
              <w:jc w:val="center"/>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w:t>
            </w:r>
          </w:p>
        </w:tc>
      </w:tr>
    </w:tbl>
    <w:p w:rsidR="00646EB5" w:rsidRDefault="00646EB5" w:rsidP="00646EB5">
      <w:pPr>
        <w:jc w:val="both"/>
        <w:rPr>
          <w:sz w:val="20"/>
          <w:szCs w:val="20"/>
          <w:lang w:val="ru-RU"/>
        </w:rPr>
      </w:pPr>
    </w:p>
    <w:p w:rsidR="00646EB5" w:rsidRDefault="00646EB5" w:rsidP="00646EB5">
      <w:pPr>
        <w:jc w:val="both"/>
        <w:rPr>
          <w:b/>
          <w:sz w:val="20"/>
          <w:szCs w:val="20"/>
          <w:lang w:val="ru-RU"/>
        </w:rPr>
      </w:pPr>
      <w:r w:rsidRPr="00956F86">
        <w:rPr>
          <w:b/>
          <w:sz w:val="20"/>
          <w:szCs w:val="20"/>
          <w:lang w:val="ru-RU"/>
        </w:rPr>
        <w:t>Прочие случаи восстановления резервов</w:t>
      </w:r>
    </w:p>
    <w:p w:rsidR="00646EB5" w:rsidRPr="00326111" w:rsidRDefault="00646EB5" w:rsidP="00646EB5">
      <w:pPr>
        <w:jc w:val="both"/>
        <w:rPr>
          <w:sz w:val="20"/>
          <w:szCs w:val="20"/>
          <w:lang w:val="ru-RU"/>
        </w:rPr>
      </w:pPr>
    </w:p>
    <w:p w:rsidR="00646EB5" w:rsidRDefault="00646EB5" w:rsidP="00646EB5">
      <w:pPr>
        <w:jc w:val="both"/>
        <w:rPr>
          <w:sz w:val="20"/>
          <w:szCs w:val="20"/>
          <w:lang w:val="ru-RU"/>
        </w:rPr>
      </w:pPr>
      <w:r>
        <w:rPr>
          <w:sz w:val="20"/>
          <w:szCs w:val="20"/>
          <w:lang w:val="ru-RU"/>
        </w:rPr>
        <w:t>В 2018 году по результатам проведенной инвентаризации дебиторской задолженности на 01.11.2018г. (Приказ о проведении инвентаризации №127 от 27.09.2018) с баланса Банка списана безнадежная дебиторская задолженность на сумму 16 202 тыс. руб. (Приказ об утверждении материалов инвентаризации №177 от 11.12.2018). Просроченная дебиторская задолженность учтена на внебалансовых счетах 91803 «Долги, списанные в убыток». Резерв, созданный по дебиторской задолженности, восстановлен в сумме 16 202 тыс.</w:t>
      </w:r>
      <w:r w:rsidRPr="006B5043">
        <w:rPr>
          <w:sz w:val="20"/>
          <w:szCs w:val="20"/>
          <w:lang w:val="ru-RU"/>
        </w:rPr>
        <w:t xml:space="preserve"> </w:t>
      </w:r>
      <w:r>
        <w:rPr>
          <w:sz w:val="20"/>
          <w:szCs w:val="20"/>
          <w:lang w:val="ru-RU"/>
        </w:rPr>
        <w:t>руб.</w:t>
      </w:r>
    </w:p>
    <w:p w:rsidR="00646EB5" w:rsidRDefault="00646EB5" w:rsidP="00646EB5">
      <w:pPr>
        <w:jc w:val="both"/>
        <w:rPr>
          <w:sz w:val="20"/>
          <w:szCs w:val="20"/>
          <w:lang w:val="ru-RU"/>
        </w:rPr>
      </w:pPr>
    </w:p>
    <w:p w:rsidR="00646EB5" w:rsidRPr="000045A9" w:rsidRDefault="00646EB5" w:rsidP="00646EB5">
      <w:pPr>
        <w:jc w:val="both"/>
        <w:rPr>
          <w:sz w:val="20"/>
          <w:szCs w:val="20"/>
          <w:lang w:val="ru-RU"/>
        </w:rPr>
      </w:pPr>
      <w:r>
        <w:rPr>
          <w:sz w:val="20"/>
          <w:szCs w:val="20"/>
          <w:lang w:val="ru-RU"/>
        </w:rPr>
        <w:t>Д</w:t>
      </w:r>
      <w:r w:rsidRPr="000045A9">
        <w:rPr>
          <w:sz w:val="20"/>
          <w:szCs w:val="20"/>
          <w:lang w:val="ru-RU"/>
        </w:rPr>
        <w:t xml:space="preserve">оходов и расходов </w:t>
      </w:r>
      <w:r>
        <w:rPr>
          <w:sz w:val="20"/>
          <w:szCs w:val="20"/>
          <w:lang w:val="ru-RU"/>
        </w:rPr>
        <w:t xml:space="preserve">по </w:t>
      </w:r>
      <w:r w:rsidRPr="000045A9">
        <w:rPr>
          <w:sz w:val="20"/>
          <w:szCs w:val="20"/>
          <w:lang w:val="ru-RU"/>
        </w:rPr>
        <w:t>реструктуризаци</w:t>
      </w:r>
      <w:r>
        <w:rPr>
          <w:sz w:val="20"/>
          <w:szCs w:val="20"/>
          <w:lang w:val="ru-RU"/>
        </w:rPr>
        <w:t>и деятельности, выбытию</w:t>
      </w:r>
      <w:r w:rsidRPr="000045A9">
        <w:rPr>
          <w:sz w:val="20"/>
          <w:szCs w:val="20"/>
          <w:lang w:val="ru-RU"/>
        </w:rPr>
        <w:t xml:space="preserve"> инвестиций, прекращенн</w:t>
      </w:r>
      <w:r>
        <w:rPr>
          <w:sz w:val="20"/>
          <w:szCs w:val="20"/>
          <w:lang w:val="ru-RU"/>
        </w:rPr>
        <w:t>ой деятельности</w:t>
      </w:r>
      <w:r w:rsidRPr="000045A9">
        <w:rPr>
          <w:sz w:val="20"/>
          <w:szCs w:val="20"/>
          <w:lang w:val="ru-RU"/>
        </w:rPr>
        <w:t>, урегулиров</w:t>
      </w:r>
      <w:r>
        <w:rPr>
          <w:sz w:val="20"/>
          <w:szCs w:val="20"/>
          <w:lang w:val="ru-RU"/>
        </w:rPr>
        <w:t>анию</w:t>
      </w:r>
      <w:r w:rsidRPr="000045A9">
        <w:rPr>
          <w:sz w:val="20"/>
          <w:szCs w:val="20"/>
          <w:lang w:val="ru-RU"/>
        </w:rPr>
        <w:t xml:space="preserve"> судебных разбирательств и связанных с этими случаями восстановления резервов нет</w:t>
      </w:r>
      <w:r>
        <w:rPr>
          <w:sz w:val="20"/>
          <w:szCs w:val="20"/>
          <w:lang w:val="ru-RU"/>
        </w:rPr>
        <w:t>.</w:t>
      </w:r>
    </w:p>
    <w:p w:rsidR="00C355D3" w:rsidRPr="00C355D3" w:rsidRDefault="00C355D3" w:rsidP="00C355D3">
      <w:pPr>
        <w:spacing w:before="200"/>
        <w:jc w:val="both"/>
        <w:rPr>
          <w:rFonts w:cs="Arial"/>
          <w:b/>
          <w:sz w:val="20"/>
          <w:szCs w:val="20"/>
          <w:lang w:val="ru-RU"/>
        </w:rPr>
      </w:pPr>
      <w:r w:rsidRPr="00C355D3">
        <w:rPr>
          <w:rFonts w:cs="Arial"/>
          <w:b/>
          <w:sz w:val="20"/>
          <w:szCs w:val="20"/>
          <w:lang w:val="ru-RU"/>
        </w:rPr>
        <w:t>Информация о финансовых результатах от прекращенной деятельности и выбытия долгосро</w:t>
      </w:r>
      <w:r>
        <w:rPr>
          <w:rFonts w:cs="Arial"/>
          <w:b/>
          <w:sz w:val="20"/>
          <w:szCs w:val="20"/>
          <w:lang w:val="ru-RU"/>
        </w:rPr>
        <w:t>чных активов (выбывающих групп)</w:t>
      </w:r>
    </w:p>
    <w:p w:rsidR="00C355D3" w:rsidRPr="00C355D3" w:rsidRDefault="00C355D3" w:rsidP="00C355D3">
      <w:pPr>
        <w:spacing w:before="200"/>
        <w:jc w:val="both"/>
        <w:rPr>
          <w:rFonts w:cs="Arial"/>
          <w:sz w:val="20"/>
          <w:szCs w:val="20"/>
          <w:lang w:val="ru-RU"/>
        </w:rPr>
      </w:pPr>
      <w:r w:rsidRPr="00C355D3">
        <w:rPr>
          <w:rFonts w:cs="Arial"/>
          <w:sz w:val="20"/>
          <w:szCs w:val="20"/>
          <w:lang w:val="ru-RU"/>
        </w:rPr>
        <w:t xml:space="preserve">В связи с отсутствием информации Банк не раскрывает информацию о финансовых результатах от прекращенной деятельности. </w:t>
      </w:r>
    </w:p>
    <w:p w:rsidR="00C355D3" w:rsidRPr="00C355D3" w:rsidRDefault="00C355D3" w:rsidP="00C355D3">
      <w:pPr>
        <w:spacing w:before="200"/>
        <w:jc w:val="both"/>
        <w:rPr>
          <w:rFonts w:cs="Arial"/>
          <w:sz w:val="20"/>
          <w:szCs w:val="20"/>
          <w:lang w:val="ru-RU"/>
        </w:rPr>
      </w:pPr>
      <w:r w:rsidRPr="00C355D3">
        <w:rPr>
          <w:rFonts w:cs="Arial"/>
          <w:sz w:val="20"/>
          <w:szCs w:val="20"/>
          <w:lang w:val="ru-RU"/>
        </w:rPr>
        <w:t>Убыток, признанный при переоценке долгосрочных активов, предназначенных для продажи до справедливой стоимости за вычетом затрат на продажу за 2018 год, составил 3</w:t>
      </w:r>
      <w:r>
        <w:rPr>
          <w:rFonts w:cs="Arial"/>
          <w:sz w:val="20"/>
          <w:szCs w:val="20"/>
        </w:rPr>
        <w:t> </w:t>
      </w:r>
      <w:r w:rsidRPr="00C355D3">
        <w:rPr>
          <w:rFonts w:cs="Arial"/>
          <w:sz w:val="20"/>
          <w:szCs w:val="20"/>
          <w:lang w:val="ru-RU"/>
        </w:rPr>
        <w:t xml:space="preserve">027 тыс. руб. </w:t>
      </w:r>
    </w:p>
    <w:p w:rsidR="00C355D3" w:rsidRPr="00C355D3" w:rsidRDefault="00C355D3" w:rsidP="00C355D3">
      <w:pPr>
        <w:spacing w:before="200"/>
        <w:jc w:val="both"/>
        <w:rPr>
          <w:rFonts w:cs="Arial"/>
          <w:sz w:val="20"/>
          <w:szCs w:val="20"/>
          <w:lang w:val="ru-RU"/>
        </w:rPr>
      </w:pPr>
      <w:r w:rsidRPr="00C355D3">
        <w:rPr>
          <w:rFonts w:cs="Arial"/>
          <w:sz w:val="20"/>
          <w:szCs w:val="20"/>
          <w:lang w:val="ru-RU"/>
        </w:rPr>
        <w:t>За отчетный период Банком отражен финансовый результат от выбытия долгосрочных активов, предназначенных для продажи в сумме 4</w:t>
      </w:r>
      <w:r>
        <w:rPr>
          <w:rFonts w:cs="Arial"/>
          <w:sz w:val="20"/>
          <w:szCs w:val="20"/>
        </w:rPr>
        <w:t> </w:t>
      </w:r>
      <w:r w:rsidRPr="00C355D3">
        <w:rPr>
          <w:rFonts w:cs="Arial"/>
          <w:sz w:val="20"/>
          <w:szCs w:val="20"/>
          <w:lang w:val="ru-RU"/>
        </w:rPr>
        <w:t>557 тыс. руб. (убыток в сумме 1</w:t>
      </w:r>
      <w:r>
        <w:rPr>
          <w:rFonts w:cs="Arial"/>
          <w:sz w:val="20"/>
          <w:szCs w:val="20"/>
        </w:rPr>
        <w:t> </w:t>
      </w:r>
      <w:r w:rsidRPr="00C355D3">
        <w:rPr>
          <w:rFonts w:cs="Arial"/>
          <w:sz w:val="20"/>
          <w:szCs w:val="20"/>
          <w:lang w:val="ru-RU"/>
        </w:rPr>
        <w:t>815 тыс. руб. и прибыль в сумме 6</w:t>
      </w:r>
      <w:r>
        <w:rPr>
          <w:rFonts w:cs="Arial"/>
          <w:sz w:val="20"/>
          <w:szCs w:val="20"/>
        </w:rPr>
        <w:t> </w:t>
      </w:r>
      <w:r w:rsidRPr="00C355D3">
        <w:rPr>
          <w:rFonts w:cs="Arial"/>
          <w:sz w:val="20"/>
          <w:szCs w:val="20"/>
          <w:lang w:val="ru-RU"/>
        </w:rPr>
        <w:t xml:space="preserve">372 тыс. руб.) </w:t>
      </w:r>
    </w:p>
    <w:p w:rsidR="00C355D3" w:rsidRDefault="00C355D3" w:rsidP="00C355D3">
      <w:pPr>
        <w:spacing w:before="200"/>
        <w:rPr>
          <w:rFonts w:cs="Arial"/>
          <w:sz w:val="20"/>
          <w:szCs w:val="20"/>
          <w:lang w:val="ru-RU"/>
        </w:rPr>
      </w:pPr>
      <w:r w:rsidRPr="00C355D3">
        <w:rPr>
          <w:rFonts w:cs="Arial"/>
          <w:sz w:val="20"/>
          <w:szCs w:val="20"/>
          <w:lang w:val="ru-RU"/>
        </w:rPr>
        <w:t>Состав, структура и изменение долгосрочных актив</w:t>
      </w:r>
      <w:r>
        <w:rPr>
          <w:rFonts w:cs="Arial"/>
          <w:sz w:val="20"/>
          <w:szCs w:val="20"/>
          <w:lang w:val="ru-RU"/>
        </w:rPr>
        <w:t>ов, предназначенных для продажи</w:t>
      </w:r>
    </w:p>
    <w:p w:rsidR="00C355D3" w:rsidRPr="00C355D3" w:rsidRDefault="00C355D3" w:rsidP="00C355D3">
      <w:pPr>
        <w:rPr>
          <w:rFonts w:cs="Arial"/>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993"/>
        <w:gridCol w:w="850"/>
        <w:gridCol w:w="1134"/>
        <w:gridCol w:w="1134"/>
        <w:gridCol w:w="992"/>
        <w:gridCol w:w="851"/>
        <w:gridCol w:w="831"/>
        <w:gridCol w:w="979"/>
      </w:tblGrid>
      <w:tr w:rsidR="00C355D3" w:rsidRPr="007C2830" w:rsidTr="00A01AD9">
        <w:tc>
          <w:tcPr>
            <w:tcW w:w="1809" w:type="dxa"/>
            <w:tcBorders>
              <w:top w:val="single" w:sz="4" w:space="0" w:color="auto"/>
            </w:tcBorders>
          </w:tcPr>
          <w:p w:rsidR="00C355D3" w:rsidRPr="00C355D3" w:rsidRDefault="00C355D3" w:rsidP="00A01AD9">
            <w:pPr>
              <w:jc w:val="both"/>
              <w:rPr>
                <w:rFonts w:cs="Arial"/>
                <w:b/>
                <w:sz w:val="14"/>
                <w:szCs w:val="14"/>
                <w:lang w:val="ru-RU"/>
              </w:rPr>
            </w:pPr>
          </w:p>
        </w:tc>
        <w:tc>
          <w:tcPr>
            <w:tcW w:w="1843" w:type="dxa"/>
            <w:gridSpan w:val="2"/>
            <w:tcBorders>
              <w:top w:val="single" w:sz="4" w:space="0" w:color="auto"/>
              <w:bottom w:val="single" w:sz="4" w:space="0" w:color="auto"/>
            </w:tcBorders>
          </w:tcPr>
          <w:p w:rsidR="00C355D3" w:rsidRPr="00C355D3" w:rsidRDefault="00C355D3" w:rsidP="00A01AD9">
            <w:pPr>
              <w:jc w:val="center"/>
              <w:rPr>
                <w:rFonts w:cs="Arial"/>
                <w:b/>
                <w:sz w:val="14"/>
                <w:szCs w:val="14"/>
                <w:lang w:val="ru-RU"/>
              </w:rPr>
            </w:pPr>
          </w:p>
          <w:p w:rsidR="00C355D3" w:rsidRPr="007C2830" w:rsidRDefault="00C355D3" w:rsidP="00A01AD9">
            <w:pPr>
              <w:jc w:val="center"/>
              <w:rPr>
                <w:rFonts w:cs="Arial"/>
                <w:b/>
                <w:sz w:val="14"/>
                <w:szCs w:val="14"/>
              </w:rPr>
            </w:pPr>
            <w:r w:rsidRPr="007C2830">
              <w:rPr>
                <w:rFonts w:cs="Arial"/>
                <w:b/>
                <w:sz w:val="14"/>
                <w:szCs w:val="14"/>
              </w:rPr>
              <w:t>31.12.2017</w:t>
            </w:r>
          </w:p>
        </w:tc>
        <w:tc>
          <w:tcPr>
            <w:tcW w:w="3260" w:type="dxa"/>
            <w:gridSpan w:val="3"/>
            <w:tcBorders>
              <w:top w:val="single" w:sz="4" w:space="0" w:color="auto"/>
              <w:bottom w:val="single" w:sz="4" w:space="0" w:color="auto"/>
            </w:tcBorders>
          </w:tcPr>
          <w:p w:rsidR="00C355D3" w:rsidRPr="007C2830" w:rsidRDefault="00C355D3" w:rsidP="00A01AD9">
            <w:pPr>
              <w:jc w:val="center"/>
              <w:rPr>
                <w:rFonts w:cs="Arial"/>
                <w:b/>
                <w:sz w:val="14"/>
                <w:szCs w:val="14"/>
              </w:rPr>
            </w:pPr>
            <w:r w:rsidRPr="007C2830">
              <w:rPr>
                <w:rFonts w:cs="Arial"/>
                <w:b/>
                <w:sz w:val="14"/>
                <w:szCs w:val="14"/>
              </w:rPr>
              <w:t>За двенадцать месяцев, завершившихся 31.12.2018</w:t>
            </w:r>
          </w:p>
        </w:tc>
        <w:tc>
          <w:tcPr>
            <w:tcW w:w="2661" w:type="dxa"/>
            <w:gridSpan w:val="3"/>
            <w:tcBorders>
              <w:top w:val="single" w:sz="4" w:space="0" w:color="auto"/>
              <w:bottom w:val="single" w:sz="4" w:space="0" w:color="auto"/>
            </w:tcBorders>
          </w:tcPr>
          <w:p w:rsidR="00C355D3" w:rsidRPr="007C2830" w:rsidRDefault="00C355D3" w:rsidP="00A01AD9">
            <w:pPr>
              <w:rPr>
                <w:rFonts w:cs="Arial"/>
                <w:b/>
                <w:sz w:val="14"/>
                <w:szCs w:val="14"/>
              </w:rPr>
            </w:pPr>
          </w:p>
          <w:p w:rsidR="00C355D3" w:rsidRPr="007C2830" w:rsidRDefault="00C355D3" w:rsidP="00A01AD9">
            <w:pPr>
              <w:jc w:val="center"/>
              <w:rPr>
                <w:rFonts w:cs="Arial"/>
                <w:b/>
                <w:sz w:val="14"/>
                <w:szCs w:val="14"/>
              </w:rPr>
            </w:pPr>
            <w:r w:rsidRPr="007C2830">
              <w:rPr>
                <w:rFonts w:cs="Arial"/>
                <w:b/>
                <w:sz w:val="14"/>
                <w:szCs w:val="14"/>
              </w:rPr>
              <w:t>31.12.2018</w:t>
            </w:r>
          </w:p>
        </w:tc>
      </w:tr>
      <w:tr w:rsidR="00C355D3" w:rsidRPr="007C2830" w:rsidTr="00A01AD9">
        <w:tc>
          <w:tcPr>
            <w:tcW w:w="1809" w:type="dxa"/>
            <w:tcBorders>
              <w:bottom w:val="single" w:sz="4" w:space="0" w:color="auto"/>
            </w:tcBorders>
          </w:tcPr>
          <w:p w:rsidR="00C355D3" w:rsidRPr="007C2830" w:rsidRDefault="00C355D3" w:rsidP="00A01AD9">
            <w:pPr>
              <w:jc w:val="both"/>
              <w:rPr>
                <w:rFonts w:cs="Arial"/>
                <w:b/>
                <w:sz w:val="14"/>
                <w:szCs w:val="14"/>
              </w:rPr>
            </w:pPr>
          </w:p>
          <w:p w:rsidR="00C355D3" w:rsidRPr="007C2830" w:rsidRDefault="00C355D3" w:rsidP="00A01AD9">
            <w:pPr>
              <w:jc w:val="both"/>
              <w:rPr>
                <w:rFonts w:cs="Arial"/>
                <w:b/>
                <w:sz w:val="14"/>
                <w:szCs w:val="14"/>
              </w:rPr>
            </w:pPr>
            <w:r w:rsidRPr="007C2830">
              <w:rPr>
                <w:rFonts w:cs="Arial"/>
                <w:b/>
                <w:sz w:val="14"/>
                <w:szCs w:val="14"/>
              </w:rPr>
              <w:t>Вид актива</w:t>
            </w:r>
          </w:p>
        </w:tc>
        <w:tc>
          <w:tcPr>
            <w:tcW w:w="993"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Сумма актива</w:t>
            </w:r>
          </w:p>
        </w:tc>
        <w:tc>
          <w:tcPr>
            <w:tcW w:w="850"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резерв</w:t>
            </w:r>
          </w:p>
        </w:tc>
        <w:tc>
          <w:tcPr>
            <w:tcW w:w="1134"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переоценка</w:t>
            </w:r>
          </w:p>
        </w:tc>
        <w:tc>
          <w:tcPr>
            <w:tcW w:w="1134"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поступление</w:t>
            </w:r>
          </w:p>
        </w:tc>
        <w:tc>
          <w:tcPr>
            <w:tcW w:w="992"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выбытие</w:t>
            </w:r>
          </w:p>
        </w:tc>
        <w:tc>
          <w:tcPr>
            <w:tcW w:w="851"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Сумма актива</w:t>
            </w:r>
          </w:p>
        </w:tc>
        <w:tc>
          <w:tcPr>
            <w:tcW w:w="831"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резерв</w:t>
            </w:r>
          </w:p>
        </w:tc>
        <w:tc>
          <w:tcPr>
            <w:tcW w:w="979"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Стоимость актива</w:t>
            </w:r>
          </w:p>
        </w:tc>
      </w:tr>
      <w:tr w:rsidR="00C355D3" w:rsidRPr="007C2830" w:rsidTr="00A01AD9">
        <w:tc>
          <w:tcPr>
            <w:tcW w:w="1809" w:type="dxa"/>
            <w:tcBorders>
              <w:top w:val="single" w:sz="4" w:space="0" w:color="auto"/>
              <w:bottom w:val="single" w:sz="4" w:space="0" w:color="auto"/>
            </w:tcBorders>
          </w:tcPr>
          <w:p w:rsidR="00C355D3" w:rsidRPr="007C2830" w:rsidRDefault="00C355D3" w:rsidP="00A01AD9">
            <w:pPr>
              <w:jc w:val="both"/>
              <w:rPr>
                <w:rFonts w:cs="Arial"/>
                <w:sz w:val="14"/>
                <w:szCs w:val="14"/>
              </w:rPr>
            </w:pPr>
            <w:r w:rsidRPr="007C2830">
              <w:rPr>
                <w:rFonts w:cs="Arial"/>
                <w:sz w:val="14"/>
                <w:szCs w:val="14"/>
              </w:rPr>
              <w:t>Долгосрочные активы для продажи</w:t>
            </w:r>
          </w:p>
        </w:tc>
        <w:tc>
          <w:tcPr>
            <w:tcW w:w="993"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333 667</w:t>
            </w:r>
          </w:p>
        </w:tc>
        <w:tc>
          <w:tcPr>
            <w:tcW w:w="850"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(3)</w:t>
            </w: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(3 027)</w:t>
            </w: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center"/>
              <w:rPr>
                <w:rFonts w:cs="Arial"/>
                <w:sz w:val="14"/>
                <w:szCs w:val="14"/>
              </w:rPr>
            </w:pPr>
            <w:r w:rsidRPr="007C2830">
              <w:rPr>
                <w:rFonts w:cs="Arial"/>
                <w:sz w:val="14"/>
                <w:szCs w:val="14"/>
              </w:rPr>
              <w:t>119 554</w:t>
            </w:r>
          </w:p>
        </w:tc>
        <w:tc>
          <w:tcPr>
            <w:tcW w:w="992"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(51 746)</w:t>
            </w:r>
          </w:p>
        </w:tc>
        <w:tc>
          <w:tcPr>
            <w:tcW w:w="851"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398 448</w:t>
            </w:r>
          </w:p>
        </w:tc>
        <w:tc>
          <w:tcPr>
            <w:tcW w:w="831"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(926)</w:t>
            </w:r>
          </w:p>
        </w:tc>
        <w:tc>
          <w:tcPr>
            <w:tcW w:w="979"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b/>
                <w:sz w:val="14"/>
                <w:szCs w:val="14"/>
              </w:rPr>
            </w:pPr>
            <w:r w:rsidRPr="007C2830">
              <w:rPr>
                <w:rFonts w:cs="Arial"/>
                <w:b/>
                <w:sz w:val="14"/>
                <w:szCs w:val="14"/>
              </w:rPr>
              <w:t>397 522</w:t>
            </w:r>
          </w:p>
        </w:tc>
      </w:tr>
      <w:tr w:rsidR="00C355D3" w:rsidRPr="007C2830" w:rsidTr="00A01AD9">
        <w:tc>
          <w:tcPr>
            <w:tcW w:w="1809" w:type="dxa"/>
            <w:tcBorders>
              <w:top w:val="single" w:sz="4" w:space="0" w:color="auto"/>
              <w:bottom w:val="single" w:sz="4" w:space="0" w:color="auto"/>
            </w:tcBorders>
          </w:tcPr>
          <w:p w:rsidR="00C355D3" w:rsidRPr="007C2830" w:rsidRDefault="00C355D3" w:rsidP="00A01AD9">
            <w:pPr>
              <w:jc w:val="both"/>
              <w:rPr>
                <w:rFonts w:cs="Arial"/>
                <w:sz w:val="14"/>
                <w:szCs w:val="14"/>
              </w:rPr>
            </w:pPr>
          </w:p>
        </w:tc>
        <w:tc>
          <w:tcPr>
            <w:tcW w:w="993"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50"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992"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51"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31"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979" w:type="dxa"/>
            <w:tcBorders>
              <w:top w:val="single" w:sz="4" w:space="0" w:color="auto"/>
              <w:bottom w:val="single" w:sz="4" w:space="0" w:color="auto"/>
            </w:tcBorders>
          </w:tcPr>
          <w:p w:rsidR="00C355D3" w:rsidRPr="007C2830" w:rsidRDefault="00C355D3" w:rsidP="00A01AD9">
            <w:pPr>
              <w:jc w:val="right"/>
              <w:rPr>
                <w:rFonts w:cs="Arial"/>
                <w:sz w:val="14"/>
                <w:szCs w:val="14"/>
              </w:rPr>
            </w:pPr>
          </w:p>
        </w:tc>
      </w:tr>
      <w:tr w:rsidR="00C355D3" w:rsidRPr="007C2830" w:rsidTr="00A01AD9">
        <w:tc>
          <w:tcPr>
            <w:tcW w:w="1809" w:type="dxa"/>
            <w:tcBorders>
              <w:top w:val="single" w:sz="4" w:space="0" w:color="auto"/>
            </w:tcBorders>
          </w:tcPr>
          <w:p w:rsidR="00C355D3" w:rsidRPr="007C2830" w:rsidRDefault="00C355D3" w:rsidP="00A01AD9">
            <w:pPr>
              <w:jc w:val="both"/>
              <w:rPr>
                <w:rFonts w:cs="Arial"/>
                <w:sz w:val="14"/>
                <w:szCs w:val="14"/>
              </w:rPr>
            </w:pPr>
          </w:p>
        </w:tc>
        <w:tc>
          <w:tcPr>
            <w:tcW w:w="993" w:type="dxa"/>
            <w:tcBorders>
              <w:top w:val="single" w:sz="4" w:space="0" w:color="auto"/>
            </w:tcBorders>
          </w:tcPr>
          <w:p w:rsidR="00C355D3" w:rsidRPr="007C2830" w:rsidRDefault="00C355D3" w:rsidP="00A01AD9">
            <w:pPr>
              <w:jc w:val="right"/>
              <w:rPr>
                <w:rFonts w:cs="Arial"/>
                <w:sz w:val="14"/>
                <w:szCs w:val="14"/>
              </w:rPr>
            </w:pPr>
          </w:p>
        </w:tc>
        <w:tc>
          <w:tcPr>
            <w:tcW w:w="850" w:type="dxa"/>
            <w:tcBorders>
              <w:top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tcBorders>
          </w:tcPr>
          <w:p w:rsidR="00C355D3" w:rsidRPr="007C2830" w:rsidRDefault="00C355D3" w:rsidP="00A01AD9">
            <w:pPr>
              <w:jc w:val="right"/>
              <w:rPr>
                <w:rFonts w:cs="Arial"/>
                <w:sz w:val="14"/>
                <w:szCs w:val="14"/>
              </w:rPr>
            </w:pPr>
          </w:p>
        </w:tc>
        <w:tc>
          <w:tcPr>
            <w:tcW w:w="992" w:type="dxa"/>
            <w:tcBorders>
              <w:top w:val="single" w:sz="4" w:space="0" w:color="auto"/>
            </w:tcBorders>
          </w:tcPr>
          <w:p w:rsidR="00C355D3" w:rsidRPr="007C2830" w:rsidRDefault="00C355D3" w:rsidP="00A01AD9">
            <w:pPr>
              <w:jc w:val="right"/>
              <w:rPr>
                <w:rFonts w:cs="Arial"/>
                <w:sz w:val="14"/>
                <w:szCs w:val="14"/>
              </w:rPr>
            </w:pPr>
          </w:p>
        </w:tc>
        <w:tc>
          <w:tcPr>
            <w:tcW w:w="851" w:type="dxa"/>
            <w:tcBorders>
              <w:top w:val="single" w:sz="4" w:space="0" w:color="auto"/>
            </w:tcBorders>
          </w:tcPr>
          <w:p w:rsidR="00C355D3" w:rsidRPr="007C2830" w:rsidRDefault="00C355D3" w:rsidP="00A01AD9">
            <w:pPr>
              <w:jc w:val="right"/>
              <w:rPr>
                <w:rFonts w:cs="Arial"/>
                <w:sz w:val="14"/>
                <w:szCs w:val="14"/>
              </w:rPr>
            </w:pPr>
          </w:p>
        </w:tc>
        <w:tc>
          <w:tcPr>
            <w:tcW w:w="831" w:type="dxa"/>
            <w:tcBorders>
              <w:top w:val="single" w:sz="4" w:space="0" w:color="auto"/>
            </w:tcBorders>
          </w:tcPr>
          <w:p w:rsidR="00C355D3" w:rsidRPr="007C2830" w:rsidRDefault="00C355D3" w:rsidP="00A01AD9">
            <w:pPr>
              <w:jc w:val="right"/>
              <w:rPr>
                <w:rFonts w:cs="Arial"/>
                <w:sz w:val="14"/>
                <w:szCs w:val="14"/>
              </w:rPr>
            </w:pPr>
          </w:p>
        </w:tc>
        <w:tc>
          <w:tcPr>
            <w:tcW w:w="979" w:type="dxa"/>
            <w:tcBorders>
              <w:top w:val="single" w:sz="4" w:space="0" w:color="auto"/>
            </w:tcBorders>
          </w:tcPr>
          <w:p w:rsidR="00C355D3" w:rsidRPr="007C2830" w:rsidRDefault="00C355D3" w:rsidP="00A01AD9">
            <w:pPr>
              <w:jc w:val="right"/>
              <w:rPr>
                <w:rFonts w:cs="Arial"/>
                <w:sz w:val="14"/>
                <w:szCs w:val="14"/>
              </w:rPr>
            </w:pPr>
          </w:p>
        </w:tc>
      </w:tr>
      <w:tr w:rsidR="00C355D3" w:rsidRPr="007C2830" w:rsidTr="00A01AD9">
        <w:tc>
          <w:tcPr>
            <w:tcW w:w="1809" w:type="dxa"/>
            <w:tcBorders>
              <w:top w:val="single" w:sz="4" w:space="0" w:color="auto"/>
            </w:tcBorders>
          </w:tcPr>
          <w:p w:rsidR="00C355D3" w:rsidRPr="007C2830" w:rsidRDefault="00C355D3" w:rsidP="00A01AD9">
            <w:pPr>
              <w:jc w:val="both"/>
              <w:rPr>
                <w:rFonts w:cs="Arial"/>
                <w:b/>
                <w:sz w:val="14"/>
                <w:szCs w:val="14"/>
              </w:rPr>
            </w:pPr>
          </w:p>
        </w:tc>
        <w:tc>
          <w:tcPr>
            <w:tcW w:w="1843" w:type="dxa"/>
            <w:gridSpan w:val="2"/>
            <w:tcBorders>
              <w:top w:val="single" w:sz="4" w:space="0" w:color="auto"/>
              <w:bottom w:val="single" w:sz="4" w:space="0" w:color="auto"/>
            </w:tcBorders>
          </w:tcPr>
          <w:p w:rsidR="00C355D3" w:rsidRPr="007C2830" w:rsidRDefault="00C355D3" w:rsidP="00A01AD9">
            <w:pPr>
              <w:jc w:val="center"/>
              <w:rPr>
                <w:rFonts w:cs="Arial"/>
                <w:b/>
                <w:sz w:val="14"/>
                <w:szCs w:val="14"/>
              </w:rPr>
            </w:pPr>
          </w:p>
          <w:p w:rsidR="00C355D3" w:rsidRPr="007C2830" w:rsidRDefault="00C355D3" w:rsidP="00A01AD9">
            <w:pPr>
              <w:jc w:val="center"/>
              <w:rPr>
                <w:rFonts w:cs="Arial"/>
                <w:b/>
                <w:sz w:val="14"/>
                <w:szCs w:val="14"/>
              </w:rPr>
            </w:pPr>
            <w:r>
              <w:rPr>
                <w:rFonts w:cs="Arial"/>
                <w:b/>
                <w:sz w:val="14"/>
                <w:szCs w:val="14"/>
              </w:rPr>
              <w:t>31.12.2016</w:t>
            </w:r>
          </w:p>
        </w:tc>
        <w:tc>
          <w:tcPr>
            <w:tcW w:w="3260" w:type="dxa"/>
            <w:gridSpan w:val="3"/>
            <w:tcBorders>
              <w:top w:val="single" w:sz="4" w:space="0" w:color="auto"/>
              <w:bottom w:val="single" w:sz="4" w:space="0" w:color="auto"/>
            </w:tcBorders>
          </w:tcPr>
          <w:p w:rsidR="00C355D3" w:rsidRPr="007C2830" w:rsidRDefault="00C355D3" w:rsidP="00A01AD9">
            <w:pPr>
              <w:jc w:val="center"/>
              <w:rPr>
                <w:rFonts w:cs="Arial"/>
                <w:b/>
                <w:sz w:val="14"/>
                <w:szCs w:val="14"/>
              </w:rPr>
            </w:pPr>
            <w:r w:rsidRPr="007C2830">
              <w:rPr>
                <w:rFonts w:cs="Arial"/>
                <w:b/>
                <w:sz w:val="14"/>
                <w:szCs w:val="14"/>
              </w:rPr>
              <w:t>За двенадцать м</w:t>
            </w:r>
            <w:r>
              <w:rPr>
                <w:rFonts w:cs="Arial"/>
                <w:b/>
                <w:sz w:val="14"/>
                <w:szCs w:val="14"/>
              </w:rPr>
              <w:t>есяцев, завершившихся 31.12.2017</w:t>
            </w:r>
          </w:p>
        </w:tc>
        <w:tc>
          <w:tcPr>
            <w:tcW w:w="2661" w:type="dxa"/>
            <w:gridSpan w:val="3"/>
            <w:tcBorders>
              <w:top w:val="single" w:sz="4" w:space="0" w:color="auto"/>
              <w:bottom w:val="single" w:sz="4" w:space="0" w:color="auto"/>
            </w:tcBorders>
          </w:tcPr>
          <w:p w:rsidR="00C355D3" w:rsidRPr="007C2830" w:rsidRDefault="00C355D3" w:rsidP="00A01AD9">
            <w:pPr>
              <w:rPr>
                <w:rFonts w:cs="Arial"/>
                <w:b/>
                <w:sz w:val="14"/>
                <w:szCs w:val="14"/>
              </w:rPr>
            </w:pPr>
          </w:p>
          <w:p w:rsidR="00C355D3" w:rsidRPr="007C2830" w:rsidRDefault="00C355D3" w:rsidP="00A01AD9">
            <w:pPr>
              <w:jc w:val="center"/>
              <w:rPr>
                <w:rFonts w:cs="Arial"/>
                <w:b/>
                <w:sz w:val="14"/>
                <w:szCs w:val="14"/>
              </w:rPr>
            </w:pPr>
            <w:r>
              <w:rPr>
                <w:rFonts w:cs="Arial"/>
                <w:b/>
                <w:sz w:val="14"/>
                <w:szCs w:val="14"/>
              </w:rPr>
              <w:t>31.12.2017</w:t>
            </w:r>
          </w:p>
        </w:tc>
      </w:tr>
      <w:tr w:rsidR="00C355D3" w:rsidRPr="007C2830" w:rsidTr="00A01AD9">
        <w:tc>
          <w:tcPr>
            <w:tcW w:w="1809" w:type="dxa"/>
            <w:tcBorders>
              <w:bottom w:val="single" w:sz="4" w:space="0" w:color="auto"/>
            </w:tcBorders>
          </w:tcPr>
          <w:p w:rsidR="00C355D3" w:rsidRPr="007C2830" w:rsidRDefault="00C355D3" w:rsidP="00A01AD9">
            <w:pPr>
              <w:jc w:val="both"/>
              <w:rPr>
                <w:rFonts w:cs="Arial"/>
                <w:b/>
                <w:sz w:val="14"/>
                <w:szCs w:val="14"/>
              </w:rPr>
            </w:pPr>
          </w:p>
          <w:p w:rsidR="00C355D3" w:rsidRPr="007C2830" w:rsidRDefault="00C355D3" w:rsidP="00A01AD9">
            <w:pPr>
              <w:jc w:val="both"/>
              <w:rPr>
                <w:rFonts w:cs="Arial"/>
                <w:b/>
                <w:sz w:val="14"/>
                <w:szCs w:val="14"/>
              </w:rPr>
            </w:pPr>
            <w:r w:rsidRPr="007C2830">
              <w:rPr>
                <w:rFonts w:cs="Arial"/>
                <w:b/>
                <w:sz w:val="14"/>
                <w:szCs w:val="14"/>
              </w:rPr>
              <w:t>Вид актива</w:t>
            </w:r>
          </w:p>
        </w:tc>
        <w:tc>
          <w:tcPr>
            <w:tcW w:w="993"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Сумма актива</w:t>
            </w:r>
          </w:p>
        </w:tc>
        <w:tc>
          <w:tcPr>
            <w:tcW w:w="850"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резерв</w:t>
            </w:r>
          </w:p>
        </w:tc>
        <w:tc>
          <w:tcPr>
            <w:tcW w:w="1134"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переоценка</w:t>
            </w:r>
          </w:p>
        </w:tc>
        <w:tc>
          <w:tcPr>
            <w:tcW w:w="1134"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поступление</w:t>
            </w:r>
          </w:p>
        </w:tc>
        <w:tc>
          <w:tcPr>
            <w:tcW w:w="992"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выбытие</w:t>
            </w:r>
          </w:p>
        </w:tc>
        <w:tc>
          <w:tcPr>
            <w:tcW w:w="851"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Сумма актива</w:t>
            </w:r>
          </w:p>
        </w:tc>
        <w:tc>
          <w:tcPr>
            <w:tcW w:w="831" w:type="dxa"/>
            <w:tcBorders>
              <w:top w:val="single" w:sz="4" w:space="0" w:color="auto"/>
              <w:bottom w:val="single" w:sz="4" w:space="0" w:color="auto"/>
            </w:tcBorders>
          </w:tcPr>
          <w:p w:rsidR="00C355D3" w:rsidRPr="007C2830" w:rsidRDefault="00C355D3" w:rsidP="00A01AD9">
            <w:pPr>
              <w:jc w:val="right"/>
              <w:rPr>
                <w:rFonts w:cs="Arial"/>
                <w:b/>
                <w:sz w:val="14"/>
                <w:szCs w:val="14"/>
              </w:rPr>
            </w:pPr>
          </w:p>
          <w:p w:rsidR="00C355D3" w:rsidRPr="007C2830" w:rsidRDefault="00C355D3" w:rsidP="00A01AD9">
            <w:pPr>
              <w:jc w:val="right"/>
              <w:rPr>
                <w:rFonts w:cs="Arial"/>
                <w:b/>
                <w:sz w:val="14"/>
                <w:szCs w:val="14"/>
              </w:rPr>
            </w:pPr>
            <w:r w:rsidRPr="007C2830">
              <w:rPr>
                <w:rFonts w:cs="Arial"/>
                <w:b/>
                <w:sz w:val="14"/>
                <w:szCs w:val="14"/>
              </w:rPr>
              <w:t>резерв</w:t>
            </w:r>
          </w:p>
        </w:tc>
        <w:tc>
          <w:tcPr>
            <w:tcW w:w="979" w:type="dxa"/>
            <w:tcBorders>
              <w:top w:val="single" w:sz="4" w:space="0" w:color="auto"/>
              <w:bottom w:val="single" w:sz="4" w:space="0" w:color="auto"/>
            </w:tcBorders>
          </w:tcPr>
          <w:p w:rsidR="00C355D3" w:rsidRPr="007C2830" w:rsidRDefault="00C355D3" w:rsidP="00A01AD9">
            <w:pPr>
              <w:jc w:val="right"/>
              <w:rPr>
                <w:rFonts w:cs="Arial"/>
                <w:b/>
                <w:sz w:val="14"/>
                <w:szCs w:val="14"/>
              </w:rPr>
            </w:pPr>
            <w:r w:rsidRPr="007C2830">
              <w:rPr>
                <w:rFonts w:cs="Arial"/>
                <w:b/>
                <w:sz w:val="14"/>
                <w:szCs w:val="14"/>
              </w:rPr>
              <w:t>Стоимость актива</w:t>
            </w:r>
          </w:p>
        </w:tc>
      </w:tr>
      <w:tr w:rsidR="00C355D3" w:rsidRPr="007C2830" w:rsidTr="00A01AD9">
        <w:tc>
          <w:tcPr>
            <w:tcW w:w="1809" w:type="dxa"/>
            <w:tcBorders>
              <w:top w:val="single" w:sz="4" w:space="0" w:color="auto"/>
              <w:bottom w:val="single" w:sz="4" w:space="0" w:color="auto"/>
            </w:tcBorders>
          </w:tcPr>
          <w:p w:rsidR="00C355D3" w:rsidRPr="007C2830" w:rsidRDefault="00C355D3" w:rsidP="00A01AD9">
            <w:pPr>
              <w:jc w:val="both"/>
              <w:rPr>
                <w:rFonts w:cs="Arial"/>
                <w:sz w:val="14"/>
                <w:szCs w:val="14"/>
              </w:rPr>
            </w:pPr>
            <w:r w:rsidRPr="007C2830">
              <w:rPr>
                <w:rFonts w:cs="Arial"/>
                <w:sz w:val="14"/>
                <w:szCs w:val="14"/>
              </w:rPr>
              <w:t>Долгосрочные активы для продажи</w:t>
            </w:r>
          </w:p>
        </w:tc>
        <w:tc>
          <w:tcPr>
            <w:tcW w:w="993"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Pr>
                <w:rFonts w:cs="Arial"/>
                <w:sz w:val="14"/>
                <w:szCs w:val="14"/>
              </w:rPr>
              <w:t>273 012</w:t>
            </w:r>
          </w:p>
        </w:tc>
        <w:tc>
          <w:tcPr>
            <w:tcW w:w="850"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Pr>
                <w:rFonts w:cs="Arial"/>
                <w:sz w:val="14"/>
                <w:szCs w:val="14"/>
              </w:rPr>
              <w:t>(2 241</w:t>
            </w:r>
            <w:r w:rsidRPr="007C2830">
              <w:rPr>
                <w:rFonts w:cs="Arial"/>
                <w:sz w:val="14"/>
                <w:szCs w:val="14"/>
              </w:rPr>
              <w:t>)</w:t>
            </w: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w:t>
            </w:r>
            <w:r>
              <w:rPr>
                <w:rFonts w:cs="Arial"/>
                <w:sz w:val="14"/>
                <w:szCs w:val="14"/>
              </w:rPr>
              <w:t>1 609</w:t>
            </w:r>
            <w:r w:rsidRPr="007C2830">
              <w:rPr>
                <w:rFonts w:cs="Arial"/>
                <w:sz w:val="14"/>
                <w:szCs w:val="14"/>
              </w:rPr>
              <w:t>)</w:t>
            </w: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center"/>
              <w:rPr>
                <w:rFonts w:cs="Arial"/>
                <w:sz w:val="14"/>
                <w:szCs w:val="14"/>
              </w:rPr>
            </w:pPr>
            <w:r>
              <w:rPr>
                <w:rFonts w:cs="Arial"/>
                <w:sz w:val="14"/>
                <w:szCs w:val="14"/>
              </w:rPr>
              <w:t>71 047</w:t>
            </w:r>
          </w:p>
        </w:tc>
        <w:tc>
          <w:tcPr>
            <w:tcW w:w="992"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sidRPr="007C2830">
              <w:rPr>
                <w:rFonts w:cs="Arial"/>
                <w:sz w:val="14"/>
                <w:szCs w:val="14"/>
              </w:rPr>
              <w:t>(</w:t>
            </w:r>
            <w:r>
              <w:rPr>
                <w:rFonts w:cs="Arial"/>
                <w:sz w:val="14"/>
                <w:szCs w:val="14"/>
              </w:rPr>
              <w:t>8 783</w:t>
            </w:r>
            <w:r w:rsidRPr="007C2830">
              <w:rPr>
                <w:rFonts w:cs="Arial"/>
                <w:sz w:val="14"/>
                <w:szCs w:val="14"/>
              </w:rPr>
              <w:t>)</w:t>
            </w:r>
          </w:p>
        </w:tc>
        <w:tc>
          <w:tcPr>
            <w:tcW w:w="851"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Pr>
                <w:rFonts w:cs="Arial"/>
                <w:sz w:val="14"/>
                <w:szCs w:val="14"/>
              </w:rPr>
              <w:t>333 667</w:t>
            </w:r>
          </w:p>
        </w:tc>
        <w:tc>
          <w:tcPr>
            <w:tcW w:w="831"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sz w:val="14"/>
                <w:szCs w:val="14"/>
              </w:rPr>
            </w:pPr>
            <w:r>
              <w:rPr>
                <w:rFonts w:cs="Arial"/>
                <w:sz w:val="14"/>
                <w:szCs w:val="14"/>
              </w:rPr>
              <w:t>(3</w:t>
            </w:r>
            <w:r w:rsidRPr="007C2830">
              <w:rPr>
                <w:rFonts w:cs="Arial"/>
                <w:sz w:val="14"/>
                <w:szCs w:val="14"/>
              </w:rPr>
              <w:t>)</w:t>
            </w:r>
          </w:p>
        </w:tc>
        <w:tc>
          <w:tcPr>
            <w:tcW w:w="979" w:type="dxa"/>
            <w:tcBorders>
              <w:top w:val="single" w:sz="4" w:space="0" w:color="auto"/>
              <w:bottom w:val="single" w:sz="4" w:space="0" w:color="auto"/>
            </w:tcBorders>
          </w:tcPr>
          <w:p w:rsidR="00C355D3" w:rsidRPr="007C2830" w:rsidRDefault="00C355D3" w:rsidP="00A01AD9">
            <w:pPr>
              <w:jc w:val="right"/>
              <w:rPr>
                <w:rFonts w:cs="Arial"/>
                <w:sz w:val="14"/>
                <w:szCs w:val="14"/>
              </w:rPr>
            </w:pPr>
          </w:p>
          <w:p w:rsidR="00C355D3" w:rsidRPr="007C2830" w:rsidRDefault="00C355D3" w:rsidP="00A01AD9">
            <w:pPr>
              <w:jc w:val="right"/>
              <w:rPr>
                <w:rFonts w:cs="Arial"/>
                <w:b/>
                <w:sz w:val="14"/>
                <w:szCs w:val="14"/>
              </w:rPr>
            </w:pPr>
            <w:r>
              <w:rPr>
                <w:rFonts w:cs="Arial"/>
                <w:b/>
                <w:sz w:val="14"/>
                <w:szCs w:val="14"/>
              </w:rPr>
              <w:t>333 664</w:t>
            </w:r>
          </w:p>
        </w:tc>
      </w:tr>
      <w:tr w:rsidR="00C355D3" w:rsidRPr="007C2830" w:rsidTr="00A01AD9">
        <w:tc>
          <w:tcPr>
            <w:tcW w:w="1809" w:type="dxa"/>
            <w:tcBorders>
              <w:top w:val="single" w:sz="4" w:space="0" w:color="auto"/>
              <w:bottom w:val="single" w:sz="4" w:space="0" w:color="auto"/>
            </w:tcBorders>
          </w:tcPr>
          <w:p w:rsidR="00C355D3" w:rsidRPr="007C2830" w:rsidRDefault="00C355D3" w:rsidP="00A01AD9">
            <w:pPr>
              <w:jc w:val="both"/>
              <w:rPr>
                <w:rFonts w:cs="Arial"/>
                <w:sz w:val="14"/>
                <w:szCs w:val="14"/>
              </w:rPr>
            </w:pPr>
          </w:p>
        </w:tc>
        <w:tc>
          <w:tcPr>
            <w:tcW w:w="993"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50"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1134"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992"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51"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831" w:type="dxa"/>
            <w:tcBorders>
              <w:top w:val="single" w:sz="4" w:space="0" w:color="auto"/>
              <w:bottom w:val="single" w:sz="4" w:space="0" w:color="auto"/>
            </w:tcBorders>
          </w:tcPr>
          <w:p w:rsidR="00C355D3" w:rsidRPr="007C2830" w:rsidRDefault="00C355D3" w:rsidP="00A01AD9">
            <w:pPr>
              <w:jc w:val="right"/>
              <w:rPr>
                <w:rFonts w:cs="Arial"/>
                <w:sz w:val="14"/>
                <w:szCs w:val="14"/>
              </w:rPr>
            </w:pPr>
          </w:p>
        </w:tc>
        <w:tc>
          <w:tcPr>
            <w:tcW w:w="979" w:type="dxa"/>
            <w:tcBorders>
              <w:top w:val="single" w:sz="4" w:space="0" w:color="auto"/>
              <w:bottom w:val="single" w:sz="4" w:space="0" w:color="auto"/>
            </w:tcBorders>
          </w:tcPr>
          <w:p w:rsidR="00C355D3" w:rsidRPr="007C2830" w:rsidRDefault="00C355D3" w:rsidP="00A01AD9">
            <w:pPr>
              <w:jc w:val="right"/>
              <w:rPr>
                <w:rFonts w:cs="Arial"/>
                <w:sz w:val="14"/>
                <w:szCs w:val="14"/>
              </w:rPr>
            </w:pPr>
          </w:p>
        </w:tc>
      </w:tr>
      <w:tr w:rsidR="00C355D3" w:rsidRPr="007C2830" w:rsidTr="00A01AD9">
        <w:tc>
          <w:tcPr>
            <w:tcW w:w="1809" w:type="dxa"/>
            <w:tcBorders>
              <w:top w:val="single" w:sz="4" w:space="0" w:color="auto"/>
            </w:tcBorders>
          </w:tcPr>
          <w:p w:rsidR="00C355D3" w:rsidRPr="00C355D3" w:rsidRDefault="00C355D3" w:rsidP="00C355D3">
            <w:pPr>
              <w:jc w:val="both"/>
              <w:rPr>
                <w:rFonts w:cs="Arial"/>
                <w:sz w:val="20"/>
                <w:szCs w:val="20"/>
              </w:rPr>
            </w:pPr>
          </w:p>
        </w:tc>
        <w:tc>
          <w:tcPr>
            <w:tcW w:w="993" w:type="dxa"/>
            <w:tcBorders>
              <w:top w:val="single" w:sz="4" w:space="0" w:color="auto"/>
            </w:tcBorders>
          </w:tcPr>
          <w:p w:rsidR="00C355D3" w:rsidRPr="007C2830" w:rsidRDefault="00C355D3" w:rsidP="00C355D3">
            <w:pPr>
              <w:jc w:val="right"/>
              <w:rPr>
                <w:rFonts w:cs="Arial"/>
                <w:sz w:val="14"/>
                <w:szCs w:val="14"/>
              </w:rPr>
            </w:pPr>
          </w:p>
        </w:tc>
        <w:tc>
          <w:tcPr>
            <w:tcW w:w="850" w:type="dxa"/>
            <w:tcBorders>
              <w:top w:val="single" w:sz="4" w:space="0" w:color="auto"/>
            </w:tcBorders>
          </w:tcPr>
          <w:p w:rsidR="00C355D3" w:rsidRPr="007C2830" w:rsidRDefault="00C355D3" w:rsidP="00C355D3">
            <w:pPr>
              <w:jc w:val="right"/>
              <w:rPr>
                <w:rFonts w:cs="Arial"/>
                <w:sz w:val="14"/>
                <w:szCs w:val="14"/>
              </w:rPr>
            </w:pPr>
          </w:p>
        </w:tc>
        <w:tc>
          <w:tcPr>
            <w:tcW w:w="1134" w:type="dxa"/>
            <w:tcBorders>
              <w:top w:val="single" w:sz="4" w:space="0" w:color="auto"/>
            </w:tcBorders>
          </w:tcPr>
          <w:p w:rsidR="00C355D3" w:rsidRPr="007C2830" w:rsidRDefault="00C355D3" w:rsidP="00C355D3">
            <w:pPr>
              <w:jc w:val="right"/>
              <w:rPr>
                <w:rFonts w:cs="Arial"/>
                <w:sz w:val="14"/>
                <w:szCs w:val="14"/>
              </w:rPr>
            </w:pPr>
          </w:p>
        </w:tc>
        <w:tc>
          <w:tcPr>
            <w:tcW w:w="1134" w:type="dxa"/>
            <w:tcBorders>
              <w:top w:val="single" w:sz="4" w:space="0" w:color="auto"/>
            </w:tcBorders>
          </w:tcPr>
          <w:p w:rsidR="00C355D3" w:rsidRPr="007C2830" w:rsidRDefault="00C355D3" w:rsidP="00C355D3">
            <w:pPr>
              <w:jc w:val="right"/>
              <w:rPr>
                <w:rFonts w:cs="Arial"/>
                <w:sz w:val="14"/>
                <w:szCs w:val="14"/>
              </w:rPr>
            </w:pPr>
          </w:p>
        </w:tc>
        <w:tc>
          <w:tcPr>
            <w:tcW w:w="992" w:type="dxa"/>
            <w:tcBorders>
              <w:top w:val="single" w:sz="4" w:space="0" w:color="auto"/>
            </w:tcBorders>
          </w:tcPr>
          <w:p w:rsidR="00C355D3" w:rsidRPr="007C2830" w:rsidRDefault="00C355D3" w:rsidP="00C355D3">
            <w:pPr>
              <w:jc w:val="right"/>
              <w:rPr>
                <w:rFonts w:cs="Arial"/>
                <w:sz w:val="14"/>
                <w:szCs w:val="14"/>
              </w:rPr>
            </w:pPr>
          </w:p>
        </w:tc>
        <w:tc>
          <w:tcPr>
            <w:tcW w:w="851" w:type="dxa"/>
            <w:tcBorders>
              <w:top w:val="single" w:sz="4" w:space="0" w:color="auto"/>
            </w:tcBorders>
          </w:tcPr>
          <w:p w:rsidR="00C355D3" w:rsidRPr="007C2830" w:rsidRDefault="00C355D3" w:rsidP="00C355D3">
            <w:pPr>
              <w:jc w:val="right"/>
              <w:rPr>
                <w:rFonts w:cs="Arial"/>
                <w:sz w:val="14"/>
                <w:szCs w:val="14"/>
              </w:rPr>
            </w:pPr>
          </w:p>
        </w:tc>
        <w:tc>
          <w:tcPr>
            <w:tcW w:w="831" w:type="dxa"/>
            <w:tcBorders>
              <w:top w:val="single" w:sz="4" w:space="0" w:color="auto"/>
            </w:tcBorders>
          </w:tcPr>
          <w:p w:rsidR="00C355D3" w:rsidRPr="007C2830" w:rsidRDefault="00C355D3" w:rsidP="00C355D3">
            <w:pPr>
              <w:jc w:val="right"/>
              <w:rPr>
                <w:rFonts w:cs="Arial"/>
                <w:sz w:val="14"/>
                <w:szCs w:val="14"/>
              </w:rPr>
            </w:pPr>
          </w:p>
        </w:tc>
        <w:tc>
          <w:tcPr>
            <w:tcW w:w="979" w:type="dxa"/>
            <w:tcBorders>
              <w:top w:val="single" w:sz="4" w:space="0" w:color="auto"/>
            </w:tcBorders>
          </w:tcPr>
          <w:p w:rsidR="00C355D3" w:rsidRPr="007C2830" w:rsidRDefault="00C355D3" w:rsidP="00C355D3">
            <w:pPr>
              <w:jc w:val="right"/>
              <w:rPr>
                <w:rFonts w:cs="Arial"/>
                <w:sz w:val="14"/>
                <w:szCs w:val="14"/>
              </w:rPr>
            </w:pPr>
          </w:p>
        </w:tc>
      </w:tr>
    </w:tbl>
    <w:p w:rsidR="00C355D3" w:rsidRDefault="00C355D3" w:rsidP="00C355D3">
      <w:pPr>
        <w:jc w:val="both"/>
        <w:rPr>
          <w:rFonts w:cs="Arial"/>
          <w:sz w:val="20"/>
          <w:szCs w:val="20"/>
          <w:lang w:val="ru-RU"/>
        </w:rPr>
      </w:pPr>
      <w:r w:rsidRPr="00C355D3">
        <w:rPr>
          <w:rFonts w:cs="Arial"/>
          <w:sz w:val="20"/>
          <w:szCs w:val="20"/>
          <w:lang w:val="ru-RU"/>
        </w:rPr>
        <w:t>За 2018 год согласно план</w:t>
      </w:r>
      <w:r>
        <w:rPr>
          <w:rFonts w:cs="Arial"/>
          <w:sz w:val="20"/>
          <w:szCs w:val="20"/>
          <w:lang w:val="ru-RU"/>
        </w:rPr>
        <w:t>ам</w:t>
      </w:r>
      <w:r w:rsidRPr="00C355D3">
        <w:rPr>
          <w:rFonts w:cs="Arial"/>
          <w:sz w:val="20"/>
          <w:szCs w:val="20"/>
          <w:lang w:val="ru-RU"/>
        </w:rPr>
        <w:t xml:space="preserve"> продаж по реализации долгосрочных активов Банк, заключил договоры купли-продажи:</w:t>
      </w:r>
    </w:p>
    <w:p w:rsidR="00C355D3" w:rsidRPr="00C355D3" w:rsidRDefault="00C355D3" w:rsidP="00C355D3">
      <w:pPr>
        <w:jc w:val="both"/>
        <w:rPr>
          <w:rFonts w:cs="Arial"/>
          <w:sz w:val="20"/>
          <w:szCs w:val="20"/>
          <w:lang w:val="ru-RU"/>
        </w:rPr>
      </w:pPr>
    </w:p>
    <w:tbl>
      <w:tblPr>
        <w:tblW w:w="9498" w:type="dxa"/>
        <w:tblLayout w:type="fixed"/>
        <w:tblCellMar>
          <w:left w:w="0" w:type="dxa"/>
          <w:right w:w="0" w:type="dxa"/>
        </w:tblCellMar>
        <w:tblLook w:val="0600" w:firstRow="0" w:lastRow="0" w:firstColumn="0" w:lastColumn="0" w:noHBand="1" w:noVBand="1"/>
      </w:tblPr>
      <w:tblGrid>
        <w:gridCol w:w="2410"/>
        <w:gridCol w:w="567"/>
        <w:gridCol w:w="4961"/>
        <w:gridCol w:w="1560"/>
      </w:tblGrid>
      <w:tr w:rsidR="007E3BA3" w:rsidRPr="00032E85" w:rsidTr="007E3BA3">
        <w:trPr>
          <w:trHeight w:val="255"/>
          <w:tblHeader/>
        </w:trPr>
        <w:tc>
          <w:tcPr>
            <w:tcW w:w="2410" w:type="dxa"/>
            <w:tcBorders>
              <w:top w:val="single" w:sz="4" w:space="0" w:color="auto"/>
              <w:bottom w:val="single" w:sz="4" w:space="0" w:color="auto"/>
            </w:tcBorders>
            <w:shd w:val="clear" w:color="auto" w:fill="auto"/>
            <w:noWrap/>
            <w:vAlign w:val="center"/>
            <w:hideMark/>
          </w:tcPr>
          <w:p w:rsidR="007E3BA3" w:rsidRPr="00032E85" w:rsidRDefault="007E3BA3" w:rsidP="00A01AD9">
            <w:pPr>
              <w:jc w:val="center"/>
              <w:rPr>
                <w:rFonts w:cs="Arial"/>
                <w:b/>
                <w:sz w:val="14"/>
                <w:szCs w:val="14"/>
                <w:lang w:eastAsia="ru-RU"/>
              </w:rPr>
            </w:pPr>
            <w:r w:rsidRPr="00032E85">
              <w:rPr>
                <w:rFonts w:cs="Arial"/>
                <w:b/>
                <w:sz w:val="14"/>
                <w:szCs w:val="14"/>
                <w:lang w:eastAsia="ru-RU"/>
              </w:rPr>
              <w:t>Наименование объекта</w:t>
            </w:r>
          </w:p>
        </w:tc>
        <w:tc>
          <w:tcPr>
            <w:tcW w:w="567" w:type="dxa"/>
            <w:tcBorders>
              <w:top w:val="single" w:sz="4" w:space="0" w:color="auto"/>
              <w:bottom w:val="single" w:sz="4" w:space="0" w:color="auto"/>
            </w:tcBorders>
            <w:vAlign w:val="center"/>
          </w:tcPr>
          <w:p w:rsidR="007E3BA3" w:rsidRPr="00032E85" w:rsidRDefault="007E3BA3" w:rsidP="00A01AD9">
            <w:pPr>
              <w:jc w:val="center"/>
              <w:rPr>
                <w:rFonts w:cs="Arial"/>
                <w:b/>
                <w:sz w:val="14"/>
                <w:szCs w:val="14"/>
                <w:lang w:eastAsia="ru-RU"/>
              </w:rPr>
            </w:pPr>
            <w:r w:rsidRPr="00032E85">
              <w:rPr>
                <w:rFonts w:cs="Arial"/>
                <w:b/>
                <w:sz w:val="14"/>
                <w:szCs w:val="14"/>
                <w:lang w:eastAsia="ru-RU"/>
              </w:rPr>
              <w:t>Кол-во</w:t>
            </w:r>
          </w:p>
        </w:tc>
        <w:tc>
          <w:tcPr>
            <w:tcW w:w="4961" w:type="dxa"/>
            <w:tcBorders>
              <w:top w:val="single" w:sz="4" w:space="0" w:color="auto"/>
              <w:bottom w:val="single" w:sz="4" w:space="0" w:color="auto"/>
            </w:tcBorders>
            <w:vAlign w:val="center"/>
          </w:tcPr>
          <w:p w:rsidR="007E3BA3" w:rsidRPr="00032E85" w:rsidRDefault="007E3BA3" w:rsidP="00A01AD9">
            <w:pPr>
              <w:jc w:val="center"/>
              <w:rPr>
                <w:rFonts w:cs="Arial"/>
                <w:b/>
                <w:sz w:val="14"/>
                <w:szCs w:val="14"/>
                <w:lang w:eastAsia="ru-RU"/>
              </w:rPr>
            </w:pPr>
            <w:r w:rsidRPr="00032E85">
              <w:rPr>
                <w:rFonts w:cs="Arial"/>
                <w:b/>
                <w:sz w:val="14"/>
                <w:szCs w:val="14"/>
                <w:lang w:eastAsia="ru-RU"/>
              </w:rPr>
              <w:t>Основание</w:t>
            </w:r>
          </w:p>
        </w:tc>
        <w:tc>
          <w:tcPr>
            <w:tcW w:w="1560" w:type="dxa"/>
            <w:tcBorders>
              <w:top w:val="single" w:sz="4" w:space="0" w:color="auto"/>
              <w:bottom w:val="single" w:sz="4" w:space="0" w:color="auto"/>
            </w:tcBorders>
            <w:shd w:val="clear" w:color="auto" w:fill="auto"/>
            <w:noWrap/>
            <w:vAlign w:val="center"/>
            <w:hideMark/>
          </w:tcPr>
          <w:p w:rsidR="007E3BA3" w:rsidRPr="00032E85" w:rsidRDefault="007E3BA3" w:rsidP="00A01AD9">
            <w:pPr>
              <w:jc w:val="center"/>
              <w:rPr>
                <w:rFonts w:cs="Arial"/>
                <w:b/>
                <w:sz w:val="14"/>
                <w:szCs w:val="14"/>
                <w:lang w:eastAsia="ru-RU"/>
              </w:rPr>
            </w:pPr>
            <w:r w:rsidRPr="00032E85">
              <w:rPr>
                <w:rFonts w:cs="Arial"/>
                <w:b/>
                <w:sz w:val="14"/>
                <w:szCs w:val="14"/>
                <w:lang w:eastAsia="ru-RU"/>
              </w:rPr>
              <w:t>Выбытие (реализация)</w:t>
            </w:r>
          </w:p>
        </w:tc>
      </w:tr>
      <w:tr w:rsidR="007E3BA3" w:rsidRPr="00032E85" w:rsidTr="007E3BA3">
        <w:trPr>
          <w:trHeight w:val="284"/>
        </w:trPr>
        <w:tc>
          <w:tcPr>
            <w:tcW w:w="2410" w:type="dxa"/>
            <w:shd w:val="clear" w:color="auto" w:fill="auto"/>
            <w:noWrap/>
            <w:vAlign w:val="center"/>
          </w:tcPr>
          <w:p w:rsidR="007E3BA3" w:rsidRPr="00032E85" w:rsidRDefault="007E3BA3" w:rsidP="00A01AD9">
            <w:pPr>
              <w:rPr>
                <w:rFonts w:cs="Arial"/>
                <w:sz w:val="14"/>
                <w:szCs w:val="14"/>
                <w:lang w:eastAsia="ru-RU"/>
              </w:rPr>
            </w:pPr>
            <w:r w:rsidRPr="00032E85">
              <w:rPr>
                <w:rFonts w:cs="Arial"/>
                <w:sz w:val="14"/>
                <w:szCs w:val="14"/>
                <w:lang w:eastAsia="ru-RU"/>
              </w:rPr>
              <w:t>Земельный участок</w:t>
            </w:r>
          </w:p>
        </w:tc>
        <w:tc>
          <w:tcPr>
            <w:tcW w:w="567" w:type="dxa"/>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1</w:t>
            </w:r>
          </w:p>
        </w:tc>
        <w:tc>
          <w:tcPr>
            <w:tcW w:w="4961" w:type="dxa"/>
            <w:vAlign w:val="center"/>
          </w:tcPr>
          <w:p w:rsidR="007E3BA3" w:rsidRPr="00C355D3" w:rsidRDefault="007E3BA3" w:rsidP="00A01AD9">
            <w:pPr>
              <w:rPr>
                <w:rFonts w:cs="Arial"/>
                <w:sz w:val="14"/>
                <w:szCs w:val="14"/>
                <w:lang w:val="ru-RU" w:eastAsia="ru-RU"/>
              </w:rPr>
            </w:pPr>
            <w:r w:rsidRPr="00C355D3">
              <w:rPr>
                <w:rFonts w:cs="Arial"/>
                <w:sz w:val="14"/>
                <w:szCs w:val="14"/>
                <w:lang w:val="ru-RU" w:eastAsia="ru-RU"/>
              </w:rPr>
              <w:t>Договор купли-продажи недвижимого имущества</w:t>
            </w:r>
          </w:p>
        </w:tc>
        <w:tc>
          <w:tcPr>
            <w:tcW w:w="1560" w:type="dxa"/>
            <w:shd w:val="clear" w:color="auto" w:fill="auto"/>
            <w:noWrap/>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517</w:t>
            </w:r>
          </w:p>
        </w:tc>
      </w:tr>
      <w:tr w:rsidR="007E3BA3" w:rsidRPr="00032E85" w:rsidTr="007E3BA3">
        <w:trPr>
          <w:trHeight w:val="284"/>
        </w:trPr>
        <w:tc>
          <w:tcPr>
            <w:tcW w:w="2410" w:type="dxa"/>
            <w:shd w:val="clear" w:color="auto" w:fill="auto"/>
            <w:noWrap/>
            <w:vAlign w:val="center"/>
          </w:tcPr>
          <w:p w:rsidR="007E3BA3" w:rsidRPr="00032E85" w:rsidRDefault="007E3BA3" w:rsidP="00A01AD9">
            <w:pPr>
              <w:rPr>
                <w:rFonts w:cs="Arial"/>
                <w:sz w:val="14"/>
                <w:szCs w:val="14"/>
                <w:lang w:eastAsia="ru-RU"/>
              </w:rPr>
            </w:pPr>
            <w:r w:rsidRPr="00032E85">
              <w:rPr>
                <w:rFonts w:cs="Arial"/>
                <w:sz w:val="14"/>
                <w:szCs w:val="14"/>
                <w:lang w:eastAsia="ru-RU"/>
              </w:rPr>
              <w:t>Квартира</w:t>
            </w:r>
          </w:p>
        </w:tc>
        <w:tc>
          <w:tcPr>
            <w:tcW w:w="567" w:type="dxa"/>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9</w:t>
            </w:r>
          </w:p>
        </w:tc>
        <w:tc>
          <w:tcPr>
            <w:tcW w:w="4961" w:type="dxa"/>
            <w:vAlign w:val="center"/>
          </w:tcPr>
          <w:p w:rsidR="007E3BA3" w:rsidRPr="00032E85" w:rsidRDefault="007E3BA3" w:rsidP="00A01AD9">
            <w:pPr>
              <w:rPr>
                <w:rFonts w:cs="Arial"/>
                <w:sz w:val="14"/>
                <w:szCs w:val="14"/>
                <w:lang w:eastAsia="ru-RU"/>
              </w:rPr>
            </w:pPr>
            <w:r w:rsidRPr="00032E85">
              <w:rPr>
                <w:rFonts w:cs="Arial"/>
                <w:sz w:val="14"/>
                <w:szCs w:val="14"/>
                <w:lang w:eastAsia="ru-RU"/>
              </w:rPr>
              <w:t>Договор купли-продажи квартиры</w:t>
            </w:r>
          </w:p>
        </w:tc>
        <w:tc>
          <w:tcPr>
            <w:tcW w:w="1560" w:type="dxa"/>
            <w:shd w:val="clear" w:color="auto" w:fill="auto"/>
            <w:noWrap/>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21 042</w:t>
            </w:r>
          </w:p>
        </w:tc>
      </w:tr>
      <w:tr w:rsidR="007E3BA3" w:rsidRPr="00032E85" w:rsidTr="007E3BA3">
        <w:trPr>
          <w:trHeight w:val="284"/>
        </w:trPr>
        <w:tc>
          <w:tcPr>
            <w:tcW w:w="2410" w:type="dxa"/>
            <w:tcBorders>
              <w:bottom w:val="single" w:sz="4" w:space="0" w:color="auto"/>
            </w:tcBorders>
            <w:shd w:val="clear" w:color="auto" w:fill="auto"/>
            <w:noWrap/>
            <w:vAlign w:val="center"/>
          </w:tcPr>
          <w:p w:rsidR="007E3BA3" w:rsidRPr="00C355D3" w:rsidRDefault="007E3BA3" w:rsidP="00A01AD9">
            <w:pPr>
              <w:rPr>
                <w:rFonts w:cs="Arial"/>
                <w:sz w:val="14"/>
                <w:szCs w:val="14"/>
                <w:lang w:val="ru-RU" w:eastAsia="ru-RU"/>
              </w:rPr>
            </w:pPr>
            <w:r w:rsidRPr="00C355D3">
              <w:rPr>
                <w:rFonts w:cs="Arial"/>
                <w:sz w:val="14"/>
                <w:szCs w:val="14"/>
                <w:lang w:val="ru-RU" w:eastAsia="ru-RU"/>
              </w:rPr>
              <w:t>Индивидуальный жилой дом</w:t>
            </w:r>
          </w:p>
          <w:p w:rsidR="007E3BA3" w:rsidRPr="00C355D3" w:rsidRDefault="007E3BA3" w:rsidP="00A01AD9">
            <w:pPr>
              <w:rPr>
                <w:rFonts w:cs="Arial"/>
                <w:sz w:val="14"/>
                <w:szCs w:val="14"/>
                <w:lang w:val="ru-RU" w:eastAsia="ru-RU"/>
              </w:rPr>
            </w:pPr>
          </w:p>
          <w:p w:rsidR="007E3BA3" w:rsidRPr="00C355D3" w:rsidRDefault="007E3BA3" w:rsidP="00A01AD9">
            <w:pPr>
              <w:rPr>
                <w:rFonts w:cs="Arial"/>
                <w:sz w:val="14"/>
                <w:szCs w:val="14"/>
                <w:lang w:val="ru-RU" w:eastAsia="ru-RU"/>
              </w:rPr>
            </w:pPr>
            <w:r w:rsidRPr="00C355D3">
              <w:rPr>
                <w:rFonts w:cs="Arial"/>
                <w:sz w:val="14"/>
                <w:szCs w:val="14"/>
                <w:lang w:val="ru-RU" w:eastAsia="ru-RU"/>
              </w:rPr>
              <w:t>Жилой дом</w:t>
            </w:r>
          </w:p>
        </w:tc>
        <w:tc>
          <w:tcPr>
            <w:tcW w:w="567" w:type="dxa"/>
            <w:tcBorders>
              <w:bottom w:val="single" w:sz="4" w:space="0" w:color="auto"/>
            </w:tcBorders>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13</w:t>
            </w:r>
          </w:p>
          <w:p w:rsidR="007E3BA3" w:rsidRPr="00032E85" w:rsidRDefault="007E3BA3" w:rsidP="00A01AD9">
            <w:pPr>
              <w:jc w:val="center"/>
              <w:rPr>
                <w:rFonts w:cs="Arial"/>
                <w:sz w:val="14"/>
                <w:szCs w:val="14"/>
                <w:lang w:eastAsia="ru-RU"/>
              </w:rPr>
            </w:pPr>
          </w:p>
          <w:p w:rsidR="007E3BA3" w:rsidRPr="00032E85" w:rsidRDefault="007E3BA3" w:rsidP="00A01AD9">
            <w:pPr>
              <w:jc w:val="center"/>
              <w:rPr>
                <w:rFonts w:cs="Arial"/>
                <w:sz w:val="14"/>
                <w:szCs w:val="14"/>
                <w:lang w:eastAsia="ru-RU"/>
              </w:rPr>
            </w:pPr>
            <w:r w:rsidRPr="00032E85">
              <w:rPr>
                <w:rFonts w:cs="Arial"/>
                <w:sz w:val="14"/>
                <w:szCs w:val="14"/>
                <w:lang w:eastAsia="ru-RU"/>
              </w:rPr>
              <w:t>1</w:t>
            </w:r>
          </w:p>
        </w:tc>
        <w:tc>
          <w:tcPr>
            <w:tcW w:w="4961" w:type="dxa"/>
            <w:tcBorders>
              <w:bottom w:val="single" w:sz="4" w:space="0" w:color="auto"/>
            </w:tcBorders>
            <w:vAlign w:val="center"/>
          </w:tcPr>
          <w:p w:rsidR="007E3BA3" w:rsidRPr="00C355D3" w:rsidRDefault="007E3BA3" w:rsidP="00A01AD9">
            <w:pPr>
              <w:rPr>
                <w:rFonts w:cs="Arial"/>
                <w:sz w:val="14"/>
                <w:szCs w:val="14"/>
                <w:lang w:val="ru-RU" w:eastAsia="ru-RU"/>
              </w:rPr>
            </w:pPr>
            <w:r w:rsidRPr="00C355D3">
              <w:rPr>
                <w:rFonts w:cs="Arial"/>
                <w:sz w:val="14"/>
                <w:szCs w:val="14"/>
                <w:lang w:val="ru-RU" w:eastAsia="ru-RU"/>
              </w:rPr>
              <w:t>Договор купли-продажи жилого дома</w:t>
            </w:r>
          </w:p>
          <w:p w:rsidR="007E3BA3" w:rsidRPr="00C355D3" w:rsidRDefault="007E3BA3" w:rsidP="00A01AD9">
            <w:pPr>
              <w:rPr>
                <w:rFonts w:cs="Arial"/>
                <w:sz w:val="14"/>
                <w:szCs w:val="14"/>
                <w:lang w:val="ru-RU" w:eastAsia="ru-RU"/>
              </w:rPr>
            </w:pPr>
            <w:r w:rsidRPr="00C355D3">
              <w:rPr>
                <w:rFonts w:cs="Arial"/>
                <w:sz w:val="14"/>
                <w:szCs w:val="14"/>
                <w:lang w:val="ru-RU" w:eastAsia="ru-RU"/>
              </w:rPr>
              <w:t>Выписка из ЕГРН; Акт обследования; Акт о пожаре; Постановление об отказе в возбуждении уголовного дела</w:t>
            </w:r>
          </w:p>
        </w:tc>
        <w:tc>
          <w:tcPr>
            <w:tcW w:w="1560" w:type="dxa"/>
            <w:tcBorders>
              <w:bottom w:val="single" w:sz="4" w:space="0" w:color="auto"/>
            </w:tcBorders>
            <w:shd w:val="clear" w:color="auto" w:fill="auto"/>
            <w:noWrap/>
            <w:vAlign w:val="center"/>
          </w:tcPr>
          <w:p w:rsidR="007E3BA3" w:rsidRPr="00032E85" w:rsidRDefault="007E3BA3" w:rsidP="00A01AD9">
            <w:pPr>
              <w:jc w:val="center"/>
              <w:rPr>
                <w:rFonts w:cs="Arial"/>
                <w:sz w:val="14"/>
                <w:szCs w:val="14"/>
                <w:lang w:eastAsia="ru-RU"/>
              </w:rPr>
            </w:pPr>
            <w:r w:rsidRPr="00032E85">
              <w:rPr>
                <w:rFonts w:cs="Arial"/>
                <w:sz w:val="14"/>
                <w:szCs w:val="14"/>
                <w:lang w:eastAsia="ru-RU"/>
              </w:rPr>
              <w:t>29 993</w:t>
            </w:r>
          </w:p>
          <w:p w:rsidR="007E3BA3" w:rsidRPr="00032E85" w:rsidRDefault="007E3BA3" w:rsidP="00A01AD9">
            <w:pPr>
              <w:jc w:val="center"/>
              <w:rPr>
                <w:rFonts w:cs="Arial"/>
                <w:sz w:val="14"/>
                <w:szCs w:val="14"/>
                <w:lang w:eastAsia="ru-RU"/>
              </w:rPr>
            </w:pPr>
          </w:p>
          <w:p w:rsidR="007E3BA3" w:rsidRPr="00032E85" w:rsidRDefault="007E3BA3" w:rsidP="00A01AD9">
            <w:pPr>
              <w:jc w:val="center"/>
              <w:rPr>
                <w:rFonts w:cs="Arial"/>
                <w:sz w:val="14"/>
                <w:szCs w:val="14"/>
                <w:lang w:eastAsia="ru-RU"/>
              </w:rPr>
            </w:pPr>
            <w:r w:rsidRPr="00032E85">
              <w:rPr>
                <w:rFonts w:cs="Arial"/>
                <w:sz w:val="14"/>
                <w:szCs w:val="14"/>
                <w:lang w:eastAsia="ru-RU"/>
              </w:rPr>
              <w:t>194</w:t>
            </w:r>
          </w:p>
        </w:tc>
      </w:tr>
    </w:tbl>
    <w:p w:rsidR="00C355D3" w:rsidRDefault="00C355D3" w:rsidP="00C355D3">
      <w:pPr>
        <w:jc w:val="both"/>
        <w:rPr>
          <w:rFonts w:cs="Arial"/>
          <w:sz w:val="20"/>
          <w:szCs w:val="20"/>
          <w:lang w:val="ru-RU"/>
        </w:rPr>
      </w:pPr>
    </w:p>
    <w:p w:rsidR="00C355D3" w:rsidRPr="00C355D3" w:rsidRDefault="00C355D3" w:rsidP="00C355D3">
      <w:pPr>
        <w:jc w:val="both"/>
        <w:rPr>
          <w:rFonts w:cs="Arial"/>
          <w:sz w:val="20"/>
          <w:szCs w:val="20"/>
          <w:lang w:val="ru-RU"/>
        </w:rPr>
      </w:pPr>
      <w:r w:rsidRPr="00C355D3">
        <w:rPr>
          <w:rFonts w:cs="Arial"/>
          <w:sz w:val="20"/>
          <w:szCs w:val="20"/>
          <w:lang w:val="ru-RU"/>
        </w:rPr>
        <w:t>За 2018 год Банком, признан убыток в результате переоценки долгосрочных активов, предназначенных для продажи до справедливой стоимости за вычетом расходов от продажи в сумме 3</w:t>
      </w:r>
      <w:r>
        <w:rPr>
          <w:rFonts w:cs="Arial"/>
          <w:sz w:val="20"/>
          <w:szCs w:val="20"/>
        </w:rPr>
        <w:t> </w:t>
      </w:r>
      <w:r w:rsidRPr="00C355D3">
        <w:rPr>
          <w:rFonts w:cs="Arial"/>
          <w:sz w:val="20"/>
          <w:szCs w:val="20"/>
          <w:lang w:val="ru-RU"/>
        </w:rPr>
        <w:t>027 тыс. руб. Убыток включен в статью 21 «Операционные расходы» отчета о финансовых результатах за 2018 год.</w:t>
      </w:r>
    </w:p>
    <w:p w:rsidR="00C355D3" w:rsidRPr="00C355D3" w:rsidRDefault="00C355D3" w:rsidP="00C355D3">
      <w:pPr>
        <w:jc w:val="both"/>
        <w:rPr>
          <w:rFonts w:cs="Arial"/>
          <w:sz w:val="20"/>
          <w:szCs w:val="20"/>
          <w:lang w:val="ru-RU"/>
        </w:rPr>
      </w:pPr>
      <w:r>
        <w:rPr>
          <w:rFonts w:cs="Arial"/>
          <w:sz w:val="20"/>
          <w:szCs w:val="20"/>
          <w:lang w:val="ru-RU"/>
        </w:rPr>
        <w:t>В</w:t>
      </w:r>
      <w:r w:rsidRPr="00C355D3">
        <w:rPr>
          <w:rFonts w:cs="Arial"/>
          <w:sz w:val="20"/>
          <w:szCs w:val="20"/>
          <w:lang w:val="ru-RU"/>
        </w:rPr>
        <w:t xml:space="preserve"> 2018 год</w:t>
      </w:r>
      <w:r>
        <w:rPr>
          <w:rFonts w:cs="Arial"/>
          <w:sz w:val="20"/>
          <w:szCs w:val="20"/>
          <w:lang w:val="ru-RU"/>
        </w:rPr>
        <w:t>у</w:t>
      </w:r>
      <w:r w:rsidRPr="00C355D3">
        <w:rPr>
          <w:rFonts w:cs="Arial"/>
          <w:sz w:val="20"/>
          <w:szCs w:val="20"/>
          <w:lang w:val="ru-RU"/>
        </w:rPr>
        <w:t xml:space="preserve"> Банк, не вносил изменения планы продаж долгосрочных активов.</w:t>
      </w:r>
    </w:p>
    <w:p w:rsidR="00545CB4" w:rsidRPr="00386744" w:rsidRDefault="00545CB4" w:rsidP="00C355D3">
      <w:pPr>
        <w:jc w:val="both"/>
        <w:rPr>
          <w:rFonts w:cs="Arial"/>
          <w:sz w:val="20"/>
          <w:szCs w:val="20"/>
          <w:highlight w:val="yellow"/>
          <w:lang w:val="ru-RU"/>
        </w:rPr>
      </w:pPr>
    </w:p>
    <w:p w:rsidR="003E30CD" w:rsidRPr="00386744" w:rsidRDefault="003E30CD" w:rsidP="003E30CD">
      <w:pPr>
        <w:overflowPunct/>
        <w:jc w:val="both"/>
        <w:textAlignment w:val="auto"/>
        <w:rPr>
          <w:rFonts w:eastAsiaTheme="minorHAnsi" w:cs="Arial"/>
          <w:b/>
          <w:bCs/>
          <w:sz w:val="20"/>
          <w:szCs w:val="20"/>
          <w:lang w:val="ru-RU"/>
        </w:rPr>
      </w:pPr>
      <w:r w:rsidRPr="00386744">
        <w:rPr>
          <w:rFonts w:eastAsiaTheme="minorHAnsi" w:cs="Arial"/>
          <w:b/>
          <w:bCs/>
          <w:sz w:val="20"/>
          <w:szCs w:val="20"/>
          <w:lang w:val="ru-RU"/>
        </w:rPr>
        <w:t>6.3. Сопроводительная информация к статьям отчета об изменениях в капитале</w:t>
      </w:r>
    </w:p>
    <w:p w:rsidR="00386744" w:rsidRPr="00386744" w:rsidRDefault="00386744" w:rsidP="003E30CD">
      <w:pPr>
        <w:overflowPunct/>
        <w:jc w:val="both"/>
        <w:textAlignment w:val="auto"/>
        <w:rPr>
          <w:rFonts w:eastAsiaTheme="minorHAnsi" w:cs="Arial"/>
          <w:b/>
          <w:bCs/>
          <w:sz w:val="20"/>
          <w:szCs w:val="20"/>
          <w:lang w:val="ru-RU"/>
        </w:rPr>
      </w:pPr>
    </w:p>
    <w:p w:rsidR="00386744" w:rsidRPr="00386744" w:rsidRDefault="00386744" w:rsidP="00386744">
      <w:pPr>
        <w:overflowPunct/>
        <w:jc w:val="both"/>
        <w:textAlignment w:val="auto"/>
        <w:rPr>
          <w:rFonts w:eastAsiaTheme="minorHAnsi" w:cs="Arial"/>
          <w:sz w:val="20"/>
          <w:szCs w:val="20"/>
          <w:lang w:val="ru-RU"/>
        </w:rPr>
      </w:pPr>
      <w:r w:rsidRPr="00386744">
        <w:rPr>
          <w:rFonts w:eastAsiaTheme="minorHAnsi" w:cs="Arial"/>
          <w:sz w:val="20"/>
          <w:szCs w:val="20"/>
          <w:lang w:val="ru-RU"/>
        </w:rPr>
        <w:t>Сверка балансовой стоимости инструментов капитала на начало и конец отчетного периода представлена ниже:</w:t>
      </w:r>
    </w:p>
    <w:tbl>
      <w:tblPr>
        <w:tblW w:w="9654" w:type="dxa"/>
        <w:tblInd w:w="-34" w:type="dxa"/>
        <w:tblLook w:val="04A0" w:firstRow="1" w:lastRow="0" w:firstColumn="1" w:lastColumn="0" w:noHBand="0" w:noVBand="1"/>
      </w:tblPr>
      <w:tblGrid>
        <w:gridCol w:w="4410"/>
        <w:gridCol w:w="1017"/>
        <w:gridCol w:w="1017"/>
        <w:gridCol w:w="1084"/>
        <w:gridCol w:w="1134"/>
        <w:gridCol w:w="992"/>
      </w:tblGrid>
      <w:tr w:rsidR="00386744" w:rsidRPr="006C0DB6" w:rsidTr="00B53D00">
        <w:trPr>
          <w:trHeight w:val="300"/>
        </w:trPr>
        <w:tc>
          <w:tcPr>
            <w:tcW w:w="4410"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p>
        </w:tc>
        <w:tc>
          <w:tcPr>
            <w:tcW w:w="1017"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1017"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1084"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1134"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992"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r>
      <w:tr w:rsidR="00386744" w:rsidRPr="00386744" w:rsidTr="00B53D00">
        <w:trPr>
          <w:trHeight w:val="554"/>
        </w:trPr>
        <w:tc>
          <w:tcPr>
            <w:tcW w:w="4410"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Показатель</w:t>
            </w:r>
          </w:p>
        </w:tc>
        <w:tc>
          <w:tcPr>
            <w:tcW w:w="1017"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31.12.2018</w:t>
            </w:r>
          </w:p>
        </w:tc>
        <w:tc>
          <w:tcPr>
            <w:tcW w:w="1017"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31.12.2017</w:t>
            </w:r>
          </w:p>
        </w:tc>
        <w:tc>
          <w:tcPr>
            <w:tcW w:w="1084"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Изм.(+/-) за 2018</w:t>
            </w:r>
          </w:p>
        </w:tc>
        <w:tc>
          <w:tcPr>
            <w:tcW w:w="1134"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31.12.2016</w:t>
            </w:r>
          </w:p>
        </w:tc>
        <w:tc>
          <w:tcPr>
            <w:tcW w:w="992"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Изм.(+/-) за 2017</w:t>
            </w:r>
          </w:p>
        </w:tc>
      </w:tr>
      <w:tr w:rsidR="00386744" w:rsidRPr="00386744" w:rsidTr="00B53D00">
        <w:trPr>
          <w:trHeight w:val="300"/>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Уставный капитал</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1 355 929</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1 355 929</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1 355 929</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405"/>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Собственные акции (доли), выкупленные у акционеров (участников)</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(4 450)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4 450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(4 450)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426"/>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Эмиссионный доход</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3 800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3 800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3 800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675"/>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Переоценка по справедливой стоимости ценных бумаг, имеющихся в наличии для продажи, уменьшенная на отложенное налоговое обязательство (увеличенная на отложенный налоговый актив)</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675"/>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Переоценка основных средств и нематериальных активов, уменьшенная на отложенное налоговое обязательство</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338 659</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290 569</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48 090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285 926</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4 643</w:t>
            </w:r>
          </w:p>
        </w:tc>
      </w:tr>
      <w:tr w:rsidR="00386744" w:rsidRPr="00386744" w:rsidTr="00B53D00">
        <w:trPr>
          <w:trHeight w:val="675"/>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Увеличение (уменьшение) обязательств  (требований) по выплате долгосрочных вознаграждений работникам по окончании трудовой деятельности при переоценке</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300"/>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Переоценка инструментов хеджирования</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300"/>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Резервный фонд</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76 026</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73 276</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2 750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68 768</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4 508</w:t>
            </w:r>
          </w:p>
        </w:tc>
      </w:tr>
      <w:tr w:rsidR="00386744" w:rsidRPr="00386744" w:rsidTr="00B53D00">
        <w:trPr>
          <w:trHeight w:val="300"/>
        </w:trPr>
        <w:tc>
          <w:tcPr>
            <w:tcW w:w="441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Денежные средства безвозмездного финансирования (вклады в имущество)</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08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134"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992"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r>
      <w:tr w:rsidR="00386744" w:rsidRPr="00386744" w:rsidTr="00B53D00">
        <w:trPr>
          <w:trHeight w:val="300"/>
        </w:trPr>
        <w:tc>
          <w:tcPr>
            <w:tcW w:w="4410"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textAlignment w:val="auto"/>
              <w:rPr>
                <w:rFonts w:cs="Arial"/>
                <w:color w:val="000000"/>
                <w:sz w:val="16"/>
                <w:szCs w:val="16"/>
                <w:lang w:val="ru-RU" w:eastAsia="ru-RU"/>
              </w:rPr>
            </w:pPr>
            <w:r w:rsidRPr="00386744">
              <w:rPr>
                <w:rFonts w:cs="Arial"/>
                <w:color w:val="000000"/>
                <w:sz w:val="16"/>
                <w:szCs w:val="16"/>
                <w:lang w:val="ru-RU" w:eastAsia="ru-RU"/>
              </w:rPr>
              <w:t>Нераспределенная прибыль (убыток)</w:t>
            </w:r>
          </w:p>
        </w:tc>
        <w:tc>
          <w:tcPr>
            <w:tcW w:w="1017"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272 309</w:t>
            </w:r>
          </w:p>
        </w:tc>
        <w:tc>
          <w:tcPr>
            <w:tcW w:w="1017"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712 344</w:t>
            </w:r>
          </w:p>
        </w:tc>
        <w:tc>
          <w:tcPr>
            <w:tcW w:w="1084"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(440 035)</w:t>
            </w:r>
          </w:p>
        </w:tc>
        <w:tc>
          <w:tcPr>
            <w:tcW w:w="1134"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863 036</w:t>
            </w:r>
          </w:p>
        </w:tc>
        <w:tc>
          <w:tcPr>
            <w:tcW w:w="992"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(150 692)</w:t>
            </w:r>
          </w:p>
        </w:tc>
      </w:tr>
      <w:tr w:rsidR="00386744" w:rsidRPr="00386744" w:rsidTr="00B53D00">
        <w:trPr>
          <w:trHeight w:val="315"/>
        </w:trPr>
        <w:tc>
          <w:tcPr>
            <w:tcW w:w="4410" w:type="dxa"/>
            <w:tcBorders>
              <w:top w:val="nil"/>
              <w:left w:val="nil"/>
              <w:bottom w:val="double" w:sz="6"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Итого источники капитала</w:t>
            </w:r>
          </w:p>
        </w:tc>
        <w:tc>
          <w:tcPr>
            <w:tcW w:w="1017"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2 046 723</w:t>
            </w:r>
          </w:p>
        </w:tc>
        <w:tc>
          <w:tcPr>
            <w:tcW w:w="1017"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2 431 468</w:t>
            </w:r>
          </w:p>
        </w:tc>
        <w:tc>
          <w:tcPr>
            <w:tcW w:w="1084"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 xml:space="preserve"> (384 745)</w:t>
            </w:r>
          </w:p>
        </w:tc>
        <w:tc>
          <w:tcPr>
            <w:tcW w:w="1134"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2 573 009</w:t>
            </w:r>
          </w:p>
        </w:tc>
        <w:tc>
          <w:tcPr>
            <w:tcW w:w="992"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 xml:space="preserve"> (141 541)</w:t>
            </w:r>
          </w:p>
        </w:tc>
      </w:tr>
    </w:tbl>
    <w:p w:rsidR="00386744" w:rsidRPr="00386744" w:rsidRDefault="00386744" w:rsidP="00386744">
      <w:pPr>
        <w:overflowPunct/>
        <w:jc w:val="both"/>
        <w:textAlignment w:val="auto"/>
        <w:rPr>
          <w:rFonts w:eastAsiaTheme="minorHAnsi" w:cs="Arial"/>
          <w:sz w:val="20"/>
          <w:szCs w:val="20"/>
          <w:lang w:val="ru-RU"/>
        </w:rPr>
      </w:pPr>
    </w:p>
    <w:p w:rsidR="00386744" w:rsidRPr="00386744" w:rsidRDefault="00386744" w:rsidP="00386744">
      <w:pPr>
        <w:overflowPunct/>
        <w:jc w:val="both"/>
        <w:textAlignment w:val="auto"/>
        <w:rPr>
          <w:sz w:val="20"/>
          <w:szCs w:val="20"/>
          <w:lang w:val="ru-RU"/>
        </w:rPr>
      </w:pPr>
      <w:r w:rsidRPr="00386744">
        <w:rPr>
          <w:sz w:val="20"/>
          <w:szCs w:val="20"/>
          <w:lang w:val="ru-RU"/>
        </w:rPr>
        <w:t xml:space="preserve">Изменение фонда переоценки основных средств и нематериальных активов обусловлено проведением ежегодной переоценки основных средств. </w:t>
      </w:r>
    </w:p>
    <w:p w:rsidR="00386744" w:rsidRPr="00386744" w:rsidRDefault="00386744" w:rsidP="00386744">
      <w:pPr>
        <w:overflowPunct/>
        <w:jc w:val="both"/>
        <w:textAlignment w:val="auto"/>
        <w:rPr>
          <w:sz w:val="20"/>
          <w:szCs w:val="20"/>
          <w:lang w:val="ru-RU"/>
        </w:rPr>
      </w:pPr>
    </w:p>
    <w:p w:rsidR="00386744" w:rsidRPr="00386744" w:rsidRDefault="00386744" w:rsidP="00386744">
      <w:pPr>
        <w:overflowPunct/>
        <w:jc w:val="both"/>
        <w:textAlignment w:val="auto"/>
        <w:rPr>
          <w:sz w:val="20"/>
          <w:szCs w:val="20"/>
          <w:lang w:val="ru-RU"/>
        </w:rPr>
      </w:pPr>
      <w:r w:rsidRPr="00386744">
        <w:rPr>
          <w:sz w:val="20"/>
          <w:szCs w:val="20"/>
          <w:lang w:val="ru-RU"/>
        </w:rPr>
        <w:t>Факторы изменения фонда нераспределенной прибыли представлены в таблице ниже:</w:t>
      </w:r>
    </w:p>
    <w:tbl>
      <w:tblPr>
        <w:tblW w:w="9006" w:type="dxa"/>
        <w:tblInd w:w="93" w:type="dxa"/>
        <w:tblLook w:val="04A0" w:firstRow="1" w:lastRow="0" w:firstColumn="1" w:lastColumn="0" w:noHBand="0" w:noVBand="1"/>
      </w:tblPr>
      <w:tblGrid>
        <w:gridCol w:w="5969"/>
        <w:gridCol w:w="1417"/>
        <w:gridCol w:w="1620"/>
      </w:tblGrid>
      <w:tr w:rsidR="00386744" w:rsidRPr="006C0DB6" w:rsidTr="00B53D00">
        <w:trPr>
          <w:trHeight w:val="300"/>
        </w:trPr>
        <w:tc>
          <w:tcPr>
            <w:tcW w:w="5969"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p>
        </w:tc>
        <w:tc>
          <w:tcPr>
            <w:tcW w:w="1417"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1620" w:type="dxa"/>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r>
      <w:tr w:rsidR="00386744" w:rsidRPr="00386744" w:rsidTr="00B53D00">
        <w:trPr>
          <w:trHeight w:val="300"/>
        </w:trPr>
        <w:tc>
          <w:tcPr>
            <w:tcW w:w="5969"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Показатель</w:t>
            </w:r>
          </w:p>
        </w:tc>
        <w:tc>
          <w:tcPr>
            <w:tcW w:w="1417"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за 2018</w:t>
            </w:r>
          </w:p>
        </w:tc>
        <w:tc>
          <w:tcPr>
            <w:tcW w:w="1620" w:type="dxa"/>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lang w:val="ru-RU" w:eastAsia="ru-RU"/>
              </w:rPr>
              <w:t>за 2017</w:t>
            </w:r>
          </w:p>
        </w:tc>
      </w:tr>
      <w:tr w:rsidR="00386744" w:rsidRPr="00386744" w:rsidTr="00B53D00">
        <w:trPr>
          <w:trHeight w:val="300"/>
        </w:trPr>
        <w:tc>
          <w:tcPr>
            <w:tcW w:w="5969"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Нераспределенная прибыль (убыток) на  начало года</w:t>
            </w:r>
          </w:p>
        </w:tc>
        <w:tc>
          <w:tcPr>
            <w:tcW w:w="14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712 344</w:t>
            </w:r>
          </w:p>
        </w:tc>
        <w:tc>
          <w:tcPr>
            <w:tcW w:w="162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863 036</w:t>
            </w:r>
          </w:p>
        </w:tc>
      </w:tr>
      <w:tr w:rsidR="00386744" w:rsidRPr="00386744" w:rsidTr="00B53D00">
        <w:trPr>
          <w:trHeight w:val="300"/>
        </w:trPr>
        <w:tc>
          <w:tcPr>
            <w:tcW w:w="5969"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33"/>
              <w:jc w:val="both"/>
              <w:textAlignment w:val="auto"/>
              <w:rPr>
                <w:rFonts w:cs="Arial"/>
                <w:color w:val="000000"/>
                <w:sz w:val="16"/>
                <w:szCs w:val="16"/>
                <w:lang w:val="ru-RU" w:eastAsia="ru-RU"/>
              </w:rPr>
            </w:pPr>
            <w:r w:rsidRPr="00386744">
              <w:rPr>
                <w:rFonts w:cs="Arial"/>
                <w:color w:val="000000"/>
                <w:sz w:val="16"/>
                <w:szCs w:val="16"/>
                <w:lang w:val="ru-RU" w:eastAsia="ru-RU"/>
              </w:rPr>
              <w:t>Прибыль (убыток)  за отчетный период</w:t>
            </w:r>
          </w:p>
        </w:tc>
        <w:tc>
          <w:tcPr>
            <w:tcW w:w="14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lang w:val="ru-RU"/>
              </w:rPr>
              <w:t xml:space="preserve"> </w:t>
            </w:r>
            <w:r w:rsidRPr="00386744">
              <w:rPr>
                <w:rFonts w:cs="Arial"/>
                <w:color w:val="000000"/>
                <w:sz w:val="16"/>
                <w:szCs w:val="16"/>
              </w:rPr>
              <w:t>(287 167)</w:t>
            </w:r>
          </w:p>
        </w:tc>
        <w:tc>
          <w:tcPr>
            <w:tcW w:w="162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54 902</w:t>
            </w:r>
          </w:p>
        </w:tc>
      </w:tr>
      <w:tr w:rsidR="00386744" w:rsidRPr="00386744" w:rsidTr="00B53D00">
        <w:trPr>
          <w:trHeight w:val="300"/>
        </w:trPr>
        <w:tc>
          <w:tcPr>
            <w:tcW w:w="5969"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33"/>
              <w:jc w:val="both"/>
              <w:textAlignment w:val="auto"/>
              <w:rPr>
                <w:rFonts w:cs="Arial"/>
                <w:color w:val="000000"/>
                <w:sz w:val="16"/>
                <w:szCs w:val="16"/>
                <w:lang w:val="ru-RU" w:eastAsia="ru-RU"/>
              </w:rPr>
            </w:pPr>
            <w:r w:rsidRPr="00386744">
              <w:rPr>
                <w:rFonts w:cs="Arial"/>
                <w:color w:val="000000"/>
                <w:sz w:val="16"/>
                <w:szCs w:val="16"/>
                <w:lang w:val="ru-RU" w:eastAsia="ru-RU"/>
              </w:rPr>
              <w:t>Формирование резервного фонда</w:t>
            </w:r>
          </w:p>
        </w:tc>
        <w:tc>
          <w:tcPr>
            <w:tcW w:w="14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(2 750)</w:t>
            </w:r>
          </w:p>
        </w:tc>
        <w:tc>
          <w:tcPr>
            <w:tcW w:w="162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(4 508)</w:t>
            </w:r>
          </w:p>
        </w:tc>
      </w:tr>
      <w:tr w:rsidR="00386744" w:rsidRPr="00386744" w:rsidTr="00B53D00">
        <w:trPr>
          <w:trHeight w:val="450"/>
        </w:trPr>
        <w:tc>
          <w:tcPr>
            <w:tcW w:w="5969"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33"/>
              <w:jc w:val="both"/>
              <w:textAlignment w:val="auto"/>
              <w:rPr>
                <w:rFonts w:cs="Arial"/>
                <w:color w:val="000000"/>
                <w:sz w:val="16"/>
                <w:szCs w:val="16"/>
                <w:lang w:val="ru-RU" w:eastAsia="ru-RU"/>
              </w:rPr>
            </w:pPr>
            <w:r w:rsidRPr="00386744">
              <w:rPr>
                <w:rFonts w:cs="Arial"/>
                <w:color w:val="000000"/>
                <w:sz w:val="16"/>
                <w:szCs w:val="16"/>
                <w:lang w:val="ru-RU" w:eastAsia="ru-RU"/>
              </w:rPr>
              <w:lastRenderedPageBreak/>
              <w:t>Дивиденды объявленные и иные выплаты в пользу акционеров (участников)</w:t>
            </w:r>
          </w:p>
        </w:tc>
        <w:tc>
          <w:tcPr>
            <w:tcW w:w="1417"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lang w:val="ru-RU"/>
              </w:rPr>
              <w:t xml:space="preserve"> </w:t>
            </w:r>
            <w:r w:rsidRPr="00386744">
              <w:rPr>
                <w:rFonts w:cs="Arial"/>
                <w:color w:val="000000"/>
                <w:sz w:val="16"/>
                <w:szCs w:val="16"/>
              </w:rPr>
              <w:t>(150 118)</w:t>
            </w:r>
          </w:p>
        </w:tc>
        <w:tc>
          <w:tcPr>
            <w:tcW w:w="1620" w:type="dxa"/>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 xml:space="preserve"> (201 317)</w:t>
            </w:r>
          </w:p>
        </w:tc>
      </w:tr>
      <w:tr w:rsidR="00386744" w:rsidRPr="00386744" w:rsidTr="00B53D00">
        <w:trPr>
          <w:trHeight w:val="300"/>
        </w:trPr>
        <w:tc>
          <w:tcPr>
            <w:tcW w:w="5969"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ind w:left="333"/>
              <w:jc w:val="both"/>
              <w:textAlignment w:val="auto"/>
              <w:rPr>
                <w:rFonts w:cs="Arial"/>
                <w:color w:val="000000"/>
                <w:sz w:val="16"/>
                <w:szCs w:val="16"/>
                <w:lang w:val="ru-RU" w:eastAsia="ru-RU"/>
              </w:rPr>
            </w:pPr>
            <w:r w:rsidRPr="00386744">
              <w:rPr>
                <w:rFonts w:cs="Arial"/>
                <w:color w:val="000000"/>
                <w:sz w:val="16"/>
                <w:szCs w:val="16"/>
                <w:lang w:val="ru-RU" w:eastAsia="ru-RU"/>
              </w:rPr>
              <w:t>Прочие движения</w:t>
            </w:r>
          </w:p>
        </w:tc>
        <w:tc>
          <w:tcPr>
            <w:tcW w:w="1417"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0</w:t>
            </w:r>
          </w:p>
        </w:tc>
        <w:tc>
          <w:tcPr>
            <w:tcW w:w="1620" w:type="dxa"/>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color w:val="000000"/>
                <w:sz w:val="16"/>
                <w:szCs w:val="16"/>
                <w:lang w:val="ru-RU" w:eastAsia="ru-RU"/>
              </w:rPr>
            </w:pPr>
            <w:r w:rsidRPr="00386744">
              <w:rPr>
                <w:rFonts w:cs="Arial"/>
                <w:color w:val="000000"/>
                <w:sz w:val="16"/>
                <w:szCs w:val="16"/>
              </w:rPr>
              <w:t>231</w:t>
            </w:r>
          </w:p>
        </w:tc>
      </w:tr>
      <w:tr w:rsidR="00386744" w:rsidRPr="00386744" w:rsidTr="00B53D00">
        <w:trPr>
          <w:trHeight w:val="315"/>
        </w:trPr>
        <w:tc>
          <w:tcPr>
            <w:tcW w:w="5969" w:type="dxa"/>
            <w:tcBorders>
              <w:top w:val="nil"/>
              <w:left w:val="nil"/>
              <w:bottom w:val="double" w:sz="6"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Нераспределенная прибыль (убыток) на  конец года</w:t>
            </w:r>
          </w:p>
        </w:tc>
        <w:tc>
          <w:tcPr>
            <w:tcW w:w="1417"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272 309</w:t>
            </w:r>
          </w:p>
        </w:tc>
        <w:tc>
          <w:tcPr>
            <w:tcW w:w="1620" w:type="dxa"/>
            <w:tcBorders>
              <w:top w:val="nil"/>
              <w:left w:val="nil"/>
              <w:bottom w:val="double" w:sz="6" w:space="0" w:color="auto"/>
              <w:right w:val="nil"/>
            </w:tcBorders>
            <w:shd w:val="clear" w:color="auto" w:fill="auto"/>
            <w:vAlign w:val="center"/>
            <w:hideMark/>
          </w:tcPr>
          <w:p w:rsidR="00386744" w:rsidRPr="00386744" w:rsidRDefault="00386744" w:rsidP="00B53D00">
            <w:pPr>
              <w:overflowPunct/>
              <w:autoSpaceDE/>
              <w:autoSpaceDN/>
              <w:adjustRightInd/>
              <w:jc w:val="right"/>
              <w:textAlignment w:val="auto"/>
              <w:rPr>
                <w:rFonts w:cs="Arial"/>
                <w:b/>
                <w:bCs/>
                <w:color w:val="000000"/>
                <w:sz w:val="16"/>
                <w:szCs w:val="16"/>
                <w:lang w:val="ru-RU" w:eastAsia="ru-RU"/>
              </w:rPr>
            </w:pPr>
            <w:r w:rsidRPr="00386744">
              <w:rPr>
                <w:rFonts w:cs="Arial"/>
                <w:b/>
                <w:bCs/>
                <w:color w:val="000000"/>
                <w:sz w:val="16"/>
                <w:szCs w:val="16"/>
              </w:rPr>
              <w:t>712 344</w:t>
            </w:r>
          </w:p>
        </w:tc>
      </w:tr>
    </w:tbl>
    <w:p w:rsidR="00386744" w:rsidRPr="00386744" w:rsidRDefault="00386744" w:rsidP="00386744">
      <w:pPr>
        <w:overflowPunct/>
        <w:jc w:val="both"/>
        <w:textAlignment w:val="auto"/>
        <w:rPr>
          <w:sz w:val="20"/>
          <w:szCs w:val="20"/>
          <w:lang w:val="ru-RU"/>
        </w:rPr>
      </w:pPr>
    </w:p>
    <w:p w:rsidR="00386744" w:rsidRPr="00386744" w:rsidRDefault="00386744" w:rsidP="00386744">
      <w:pPr>
        <w:pStyle w:val="2normal"/>
        <w:spacing w:line="228" w:lineRule="auto"/>
        <w:jc w:val="both"/>
        <w:rPr>
          <w:sz w:val="20"/>
          <w:szCs w:val="20"/>
          <w:lang w:val="ru-RU"/>
        </w:rPr>
      </w:pPr>
      <w:r w:rsidRPr="00386744">
        <w:rPr>
          <w:sz w:val="20"/>
          <w:szCs w:val="20"/>
          <w:lang w:val="ru-RU"/>
        </w:rPr>
        <w:t>Внеочередным общим собранием акционеров ПАО «Норвик Банк» (протокол №5 от 24.01.2018) было принято решение о распределении нераспределенной прибыли, полученной ПАО «Норвик Банк» по результатам прошлых лет в размере 150 118 тыс. руб. (149 940 тыс. руб. - по обыкновенным акциям, 178 тыс. руб.  - по привилегированным акциям) и выплате дивидендов на одну обыкновенную акцию – 0,041 руб., на одну привилегированную акцию – 0,296 руб.</w:t>
      </w:r>
    </w:p>
    <w:p w:rsidR="00386744" w:rsidRPr="00386744" w:rsidRDefault="00386744" w:rsidP="00386744">
      <w:pPr>
        <w:pStyle w:val="2normal"/>
        <w:spacing w:line="228" w:lineRule="auto"/>
        <w:jc w:val="both"/>
        <w:rPr>
          <w:sz w:val="20"/>
          <w:szCs w:val="20"/>
          <w:lang w:val="ru-RU"/>
        </w:rPr>
      </w:pPr>
    </w:p>
    <w:p w:rsidR="00386744" w:rsidRPr="00386744" w:rsidRDefault="00386744" w:rsidP="00386744">
      <w:pPr>
        <w:overflowPunct/>
        <w:jc w:val="both"/>
        <w:textAlignment w:val="auto"/>
        <w:rPr>
          <w:rFonts w:eastAsiaTheme="minorHAnsi" w:cs="Arial"/>
          <w:sz w:val="20"/>
          <w:szCs w:val="20"/>
          <w:lang w:val="ru-RU"/>
        </w:rPr>
      </w:pPr>
      <w:r w:rsidRPr="00386744">
        <w:rPr>
          <w:sz w:val="20"/>
          <w:szCs w:val="20"/>
          <w:lang w:val="ru-RU"/>
        </w:rPr>
        <w:t>Структура совокупного дохода Банка, в т.</w:t>
      </w:r>
      <w:r>
        <w:rPr>
          <w:sz w:val="20"/>
          <w:szCs w:val="20"/>
          <w:lang w:val="ru-RU"/>
        </w:rPr>
        <w:t xml:space="preserve"> </w:t>
      </w:r>
      <w:r w:rsidRPr="00386744">
        <w:rPr>
          <w:sz w:val="20"/>
          <w:szCs w:val="20"/>
          <w:lang w:val="ru-RU"/>
        </w:rPr>
        <w:t xml:space="preserve">ч. </w:t>
      </w:r>
      <w:r w:rsidRPr="00386744">
        <w:rPr>
          <w:rFonts w:eastAsiaTheme="minorHAnsi" w:cs="Arial"/>
          <w:sz w:val="20"/>
          <w:szCs w:val="20"/>
          <w:lang w:val="ru-RU"/>
        </w:rPr>
        <w:t>прочего совокупного дохода в разрезе инструментов капитала, представлена ниже:</w:t>
      </w:r>
    </w:p>
    <w:tbl>
      <w:tblPr>
        <w:tblW w:w="5000" w:type="pct"/>
        <w:tblLook w:val="04A0" w:firstRow="1" w:lastRow="0" w:firstColumn="1" w:lastColumn="0" w:noHBand="0" w:noVBand="1"/>
      </w:tblPr>
      <w:tblGrid>
        <w:gridCol w:w="6534"/>
        <w:gridCol w:w="1352"/>
        <w:gridCol w:w="1687"/>
      </w:tblGrid>
      <w:tr w:rsidR="00386744" w:rsidRPr="006C0DB6" w:rsidTr="00386744">
        <w:trPr>
          <w:trHeight w:val="300"/>
        </w:trPr>
        <w:tc>
          <w:tcPr>
            <w:tcW w:w="3413" w:type="pct"/>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p>
        </w:tc>
        <w:tc>
          <w:tcPr>
            <w:tcW w:w="706" w:type="pct"/>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c>
          <w:tcPr>
            <w:tcW w:w="881" w:type="pct"/>
            <w:tcBorders>
              <w:top w:val="nil"/>
              <w:left w:val="nil"/>
              <w:bottom w:val="single" w:sz="4" w:space="0" w:color="auto"/>
              <w:right w:val="nil"/>
            </w:tcBorders>
            <w:shd w:val="clear" w:color="auto" w:fill="auto"/>
            <w:noWrap/>
            <w:vAlign w:val="bottom"/>
            <w:hideMark/>
          </w:tcPr>
          <w:p w:rsidR="00386744" w:rsidRPr="00386744" w:rsidRDefault="00386744" w:rsidP="00B53D00">
            <w:pPr>
              <w:overflowPunct/>
              <w:autoSpaceDE/>
              <w:autoSpaceDN/>
              <w:adjustRightInd/>
              <w:textAlignment w:val="auto"/>
              <w:rPr>
                <w:rFonts w:ascii="Calibri" w:hAnsi="Calibri" w:cs="Times New Roman"/>
                <w:color w:val="000000"/>
                <w:sz w:val="22"/>
                <w:szCs w:val="22"/>
                <w:lang w:val="ru-RU" w:eastAsia="ru-RU"/>
              </w:rPr>
            </w:pPr>
            <w:r w:rsidRPr="00386744">
              <w:rPr>
                <w:rFonts w:ascii="Calibri" w:hAnsi="Calibri" w:cs="Times New Roman"/>
                <w:color w:val="000000"/>
                <w:sz w:val="22"/>
                <w:szCs w:val="22"/>
                <w:lang w:val="ru-RU" w:eastAsia="ru-RU"/>
              </w:rPr>
              <w:t> </w:t>
            </w:r>
          </w:p>
        </w:tc>
      </w:tr>
      <w:tr w:rsidR="00386744" w:rsidRPr="00386744" w:rsidTr="00386744">
        <w:trPr>
          <w:trHeight w:val="300"/>
        </w:trPr>
        <w:tc>
          <w:tcPr>
            <w:tcW w:w="3413" w:type="pct"/>
            <w:tcBorders>
              <w:top w:val="nil"/>
              <w:left w:val="nil"/>
              <w:bottom w:val="single" w:sz="4"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Показатель</w:t>
            </w:r>
          </w:p>
        </w:tc>
        <w:tc>
          <w:tcPr>
            <w:tcW w:w="706" w:type="pct"/>
            <w:tcBorders>
              <w:top w:val="nil"/>
              <w:left w:val="nil"/>
              <w:bottom w:val="single" w:sz="4" w:space="0" w:color="auto"/>
              <w:right w:val="nil"/>
            </w:tcBorders>
            <w:shd w:val="clear" w:color="auto" w:fill="auto"/>
            <w:noWrap/>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lang w:val="ru-RU" w:eastAsia="ru-RU"/>
              </w:rPr>
              <w:t>за 2018</w:t>
            </w:r>
          </w:p>
        </w:tc>
        <w:tc>
          <w:tcPr>
            <w:tcW w:w="881" w:type="pct"/>
            <w:tcBorders>
              <w:top w:val="nil"/>
              <w:left w:val="nil"/>
              <w:bottom w:val="single" w:sz="4" w:space="0" w:color="auto"/>
              <w:right w:val="nil"/>
            </w:tcBorders>
            <w:shd w:val="clear" w:color="auto" w:fill="auto"/>
            <w:noWrap/>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lang w:val="ru-RU" w:eastAsia="ru-RU"/>
              </w:rPr>
              <w:t>за 2017</w:t>
            </w:r>
          </w:p>
        </w:tc>
      </w:tr>
      <w:tr w:rsidR="00386744" w:rsidRPr="00386744" w:rsidTr="00386744">
        <w:trPr>
          <w:trHeight w:val="300"/>
        </w:trPr>
        <w:tc>
          <w:tcPr>
            <w:tcW w:w="3413" w:type="pct"/>
            <w:tcBorders>
              <w:top w:val="nil"/>
              <w:left w:val="nil"/>
              <w:bottom w:val="nil"/>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Прибыль (убыток)  за отчетный период</w:t>
            </w:r>
          </w:p>
        </w:tc>
        <w:tc>
          <w:tcPr>
            <w:tcW w:w="706"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(287 167)</w:t>
            </w:r>
          </w:p>
        </w:tc>
        <w:tc>
          <w:tcPr>
            <w:tcW w:w="881"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54 902</w:t>
            </w:r>
          </w:p>
        </w:tc>
      </w:tr>
      <w:tr w:rsidR="00386744" w:rsidRPr="00386744" w:rsidTr="00386744">
        <w:trPr>
          <w:trHeight w:val="345"/>
        </w:trPr>
        <w:tc>
          <w:tcPr>
            <w:tcW w:w="3413" w:type="pct"/>
            <w:tcBorders>
              <w:top w:val="nil"/>
              <w:left w:val="nil"/>
              <w:bottom w:val="nil"/>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Прочий совокупный доход (убыток)</w:t>
            </w:r>
          </w:p>
        </w:tc>
        <w:tc>
          <w:tcPr>
            <w:tcW w:w="706"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48 090</w:t>
            </w:r>
          </w:p>
        </w:tc>
        <w:tc>
          <w:tcPr>
            <w:tcW w:w="881"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4 643</w:t>
            </w:r>
          </w:p>
        </w:tc>
      </w:tr>
      <w:tr w:rsidR="00386744" w:rsidRPr="00386744" w:rsidTr="00386744">
        <w:trPr>
          <w:trHeight w:val="568"/>
        </w:trPr>
        <w:tc>
          <w:tcPr>
            <w:tcW w:w="3413" w:type="pct"/>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18"/>
              <w:textAlignment w:val="auto"/>
              <w:rPr>
                <w:rFonts w:cs="Arial"/>
                <w:color w:val="000000"/>
                <w:sz w:val="16"/>
                <w:szCs w:val="16"/>
                <w:lang w:val="ru-RU" w:eastAsia="ru-RU"/>
              </w:rPr>
            </w:pPr>
            <w:r w:rsidRPr="00386744">
              <w:rPr>
                <w:rFonts w:cs="Arial"/>
                <w:color w:val="000000"/>
                <w:sz w:val="16"/>
                <w:szCs w:val="16"/>
                <w:lang w:val="ru-RU" w:eastAsia="ru-RU"/>
              </w:rPr>
              <w:t>Переоценка по справедливой стоимости ценных бумаг, имеющихся в наличии для продажи, уменьшенная на отложенное налоговое обязательство (увеличенная на отложенный налоговый актив)</w:t>
            </w:r>
          </w:p>
        </w:tc>
        <w:tc>
          <w:tcPr>
            <w:tcW w:w="706"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48 090</w:t>
            </w:r>
          </w:p>
        </w:tc>
        <w:tc>
          <w:tcPr>
            <w:tcW w:w="881"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4 643</w:t>
            </w:r>
          </w:p>
        </w:tc>
      </w:tr>
      <w:tr w:rsidR="00386744" w:rsidRPr="00386744" w:rsidTr="00386744">
        <w:trPr>
          <w:trHeight w:val="426"/>
        </w:trPr>
        <w:tc>
          <w:tcPr>
            <w:tcW w:w="3413" w:type="pct"/>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18"/>
              <w:textAlignment w:val="auto"/>
              <w:rPr>
                <w:rFonts w:cs="Arial"/>
                <w:color w:val="000000"/>
                <w:sz w:val="16"/>
                <w:szCs w:val="16"/>
                <w:lang w:val="ru-RU" w:eastAsia="ru-RU"/>
              </w:rPr>
            </w:pPr>
            <w:r w:rsidRPr="00386744">
              <w:rPr>
                <w:rFonts w:cs="Arial"/>
                <w:color w:val="000000"/>
                <w:sz w:val="16"/>
                <w:szCs w:val="16"/>
                <w:lang w:val="ru-RU" w:eastAsia="ru-RU"/>
              </w:rPr>
              <w:t xml:space="preserve">Переоценка основных средств </w:t>
            </w:r>
            <w:r w:rsidRPr="00386744">
              <w:rPr>
                <w:rFonts w:cs="Arial"/>
                <w:color w:val="000000"/>
                <w:sz w:val="16"/>
                <w:szCs w:val="16"/>
                <w:lang w:val="ru-RU" w:eastAsia="ru-RU"/>
              </w:rPr>
              <w:br/>
              <w:t>и нематериальных активов, уменьшенная на отложенное налоговое обязательство</w:t>
            </w:r>
          </w:p>
        </w:tc>
        <w:tc>
          <w:tcPr>
            <w:tcW w:w="706"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c>
          <w:tcPr>
            <w:tcW w:w="881"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r>
      <w:tr w:rsidR="00386744" w:rsidRPr="00386744" w:rsidTr="00386744">
        <w:trPr>
          <w:trHeight w:val="590"/>
        </w:trPr>
        <w:tc>
          <w:tcPr>
            <w:tcW w:w="3413" w:type="pct"/>
            <w:tcBorders>
              <w:top w:val="nil"/>
              <w:left w:val="nil"/>
              <w:bottom w:val="nil"/>
              <w:right w:val="nil"/>
            </w:tcBorders>
            <w:shd w:val="clear" w:color="auto" w:fill="auto"/>
            <w:vAlign w:val="center"/>
            <w:hideMark/>
          </w:tcPr>
          <w:p w:rsidR="00386744" w:rsidRPr="00386744" w:rsidRDefault="00386744" w:rsidP="00B53D00">
            <w:pPr>
              <w:overflowPunct/>
              <w:autoSpaceDE/>
              <w:autoSpaceDN/>
              <w:adjustRightInd/>
              <w:ind w:left="318"/>
              <w:textAlignment w:val="auto"/>
              <w:rPr>
                <w:rFonts w:cs="Arial"/>
                <w:color w:val="000000"/>
                <w:sz w:val="16"/>
                <w:szCs w:val="16"/>
                <w:lang w:val="ru-RU" w:eastAsia="ru-RU"/>
              </w:rPr>
            </w:pPr>
            <w:r w:rsidRPr="00386744">
              <w:rPr>
                <w:rFonts w:cs="Arial"/>
                <w:color w:val="000000"/>
                <w:sz w:val="16"/>
                <w:szCs w:val="16"/>
                <w:lang w:val="ru-RU" w:eastAsia="ru-RU"/>
              </w:rPr>
              <w:t>Увеличение (уменьшение) обязательств  (требований) по выплате долгосрочных вознаграждений работникам по окончании трудовой деятельности при переоценке</w:t>
            </w:r>
          </w:p>
        </w:tc>
        <w:tc>
          <w:tcPr>
            <w:tcW w:w="706"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c>
          <w:tcPr>
            <w:tcW w:w="881" w:type="pct"/>
            <w:tcBorders>
              <w:top w:val="nil"/>
              <w:left w:val="nil"/>
              <w:bottom w:val="nil"/>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r>
      <w:tr w:rsidR="00386744" w:rsidRPr="00386744" w:rsidTr="00386744">
        <w:trPr>
          <w:trHeight w:val="286"/>
        </w:trPr>
        <w:tc>
          <w:tcPr>
            <w:tcW w:w="3413" w:type="pct"/>
            <w:tcBorders>
              <w:top w:val="nil"/>
              <w:left w:val="nil"/>
              <w:bottom w:val="single" w:sz="4" w:space="0" w:color="auto"/>
              <w:right w:val="nil"/>
            </w:tcBorders>
            <w:shd w:val="clear" w:color="auto" w:fill="auto"/>
            <w:vAlign w:val="center"/>
            <w:hideMark/>
          </w:tcPr>
          <w:p w:rsidR="00386744" w:rsidRPr="00386744" w:rsidRDefault="00386744" w:rsidP="00B53D00">
            <w:pPr>
              <w:overflowPunct/>
              <w:autoSpaceDE/>
              <w:autoSpaceDN/>
              <w:adjustRightInd/>
              <w:ind w:left="318"/>
              <w:textAlignment w:val="auto"/>
              <w:rPr>
                <w:rFonts w:cs="Arial"/>
                <w:color w:val="000000"/>
                <w:sz w:val="16"/>
                <w:szCs w:val="16"/>
                <w:lang w:val="ru-RU" w:eastAsia="ru-RU"/>
              </w:rPr>
            </w:pPr>
            <w:r w:rsidRPr="00386744">
              <w:rPr>
                <w:rFonts w:cs="Arial"/>
                <w:color w:val="000000"/>
                <w:sz w:val="16"/>
                <w:szCs w:val="16"/>
                <w:lang w:val="ru-RU" w:eastAsia="ru-RU"/>
              </w:rPr>
              <w:t>Переоценка инструментов хеджирования</w:t>
            </w:r>
          </w:p>
        </w:tc>
        <w:tc>
          <w:tcPr>
            <w:tcW w:w="706" w:type="pct"/>
            <w:tcBorders>
              <w:top w:val="nil"/>
              <w:left w:val="nil"/>
              <w:bottom w:val="single" w:sz="4" w:space="0" w:color="auto"/>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c>
          <w:tcPr>
            <w:tcW w:w="881" w:type="pct"/>
            <w:tcBorders>
              <w:top w:val="nil"/>
              <w:left w:val="nil"/>
              <w:bottom w:val="single" w:sz="4" w:space="0" w:color="auto"/>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color w:val="000000"/>
                <w:sz w:val="16"/>
                <w:szCs w:val="16"/>
                <w:lang w:val="ru-RU" w:eastAsia="ru-RU"/>
              </w:rPr>
            </w:pPr>
            <w:r w:rsidRPr="00386744">
              <w:rPr>
                <w:rFonts w:cs="Arial"/>
                <w:color w:val="000000"/>
                <w:sz w:val="16"/>
                <w:szCs w:val="16"/>
              </w:rPr>
              <w:t>-</w:t>
            </w:r>
          </w:p>
        </w:tc>
      </w:tr>
      <w:tr w:rsidR="00386744" w:rsidRPr="00386744" w:rsidTr="00386744">
        <w:trPr>
          <w:trHeight w:val="315"/>
        </w:trPr>
        <w:tc>
          <w:tcPr>
            <w:tcW w:w="3413" w:type="pct"/>
            <w:tcBorders>
              <w:top w:val="nil"/>
              <w:left w:val="nil"/>
              <w:bottom w:val="double" w:sz="6" w:space="0" w:color="auto"/>
              <w:right w:val="nil"/>
            </w:tcBorders>
            <w:shd w:val="clear" w:color="auto" w:fill="auto"/>
            <w:noWrap/>
            <w:vAlign w:val="center"/>
            <w:hideMark/>
          </w:tcPr>
          <w:p w:rsidR="00386744" w:rsidRPr="00386744" w:rsidRDefault="00386744" w:rsidP="00B53D00">
            <w:pPr>
              <w:overflowPunct/>
              <w:autoSpaceDE/>
              <w:autoSpaceDN/>
              <w:adjustRightInd/>
              <w:textAlignment w:val="auto"/>
              <w:rPr>
                <w:rFonts w:cs="Arial"/>
                <w:b/>
                <w:bCs/>
                <w:color w:val="000000"/>
                <w:sz w:val="16"/>
                <w:szCs w:val="16"/>
                <w:lang w:val="ru-RU" w:eastAsia="ru-RU"/>
              </w:rPr>
            </w:pPr>
            <w:r w:rsidRPr="00386744">
              <w:rPr>
                <w:rFonts w:cs="Arial"/>
                <w:b/>
                <w:bCs/>
                <w:color w:val="000000"/>
                <w:sz w:val="16"/>
                <w:szCs w:val="16"/>
                <w:lang w:val="ru-RU" w:eastAsia="ru-RU"/>
              </w:rPr>
              <w:t>Совокупный доход (убыток)</w:t>
            </w:r>
          </w:p>
        </w:tc>
        <w:tc>
          <w:tcPr>
            <w:tcW w:w="706" w:type="pct"/>
            <w:tcBorders>
              <w:top w:val="nil"/>
              <w:left w:val="nil"/>
              <w:bottom w:val="double" w:sz="6" w:space="0" w:color="auto"/>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(239 077)</w:t>
            </w:r>
          </w:p>
        </w:tc>
        <w:tc>
          <w:tcPr>
            <w:tcW w:w="881" w:type="pct"/>
            <w:tcBorders>
              <w:top w:val="nil"/>
              <w:left w:val="nil"/>
              <w:bottom w:val="double" w:sz="6" w:space="0" w:color="auto"/>
              <w:right w:val="nil"/>
            </w:tcBorders>
            <w:shd w:val="clear" w:color="auto" w:fill="auto"/>
            <w:vAlign w:val="center"/>
            <w:hideMark/>
          </w:tcPr>
          <w:p w:rsidR="00386744" w:rsidRPr="00386744" w:rsidRDefault="00386744" w:rsidP="00386744">
            <w:pPr>
              <w:overflowPunct/>
              <w:autoSpaceDE/>
              <w:autoSpaceDN/>
              <w:adjustRightInd/>
              <w:jc w:val="center"/>
              <w:textAlignment w:val="auto"/>
              <w:rPr>
                <w:rFonts w:cs="Arial"/>
                <w:b/>
                <w:bCs/>
                <w:color w:val="000000"/>
                <w:sz w:val="16"/>
                <w:szCs w:val="16"/>
                <w:lang w:val="ru-RU" w:eastAsia="ru-RU"/>
              </w:rPr>
            </w:pPr>
            <w:r w:rsidRPr="00386744">
              <w:rPr>
                <w:rFonts w:cs="Arial"/>
                <w:b/>
                <w:bCs/>
                <w:color w:val="000000"/>
                <w:sz w:val="16"/>
                <w:szCs w:val="16"/>
              </w:rPr>
              <w:t>59 545</w:t>
            </w:r>
          </w:p>
        </w:tc>
      </w:tr>
    </w:tbl>
    <w:p w:rsidR="00386744" w:rsidRPr="00386744" w:rsidRDefault="00386744" w:rsidP="00386744">
      <w:pPr>
        <w:overflowPunct/>
        <w:jc w:val="both"/>
        <w:textAlignment w:val="auto"/>
        <w:rPr>
          <w:rFonts w:eastAsiaTheme="minorHAnsi" w:cs="Arial"/>
          <w:sz w:val="20"/>
          <w:szCs w:val="20"/>
          <w:lang w:val="ru-RU"/>
        </w:rPr>
      </w:pPr>
    </w:p>
    <w:p w:rsidR="00386744" w:rsidRPr="00386744" w:rsidRDefault="00386744" w:rsidP="00386744">
      <w:pPr>
        <w:overflowPunct/>
        <w:jc w:val="both"/>
        <w:textAlignment w:val="auto"/>
        <w:rPr>
          <w:rFonts w:eastAsiaTheme="minorHAnsi" w:cs="Arial"/>
          <w:sz w:val="20"/>
          <w:szCs w:val="20"/>
          <w:lang w:val="ru-RU"/>
        </w:rPr>
      </w:pPr>
      <w:r w:rsidRPr="00386744">
        <w:rPr>
          <w:rFonts w:eastAsiaTheme="minorHAnsi" w:cs="Arial"/>
          <w:sz w:val="20"/>
          <w:szCs w:val="20"/>
          <w:lang w:val="ru-RU"/>
        </w:rPr>
        <w:t>Изменения учетной политики, требующих ретроспективного пересчета, в отчетном периоде не вводились; ошибок, допущенных в предыдущие отчетные периоды и требующих ретроспективного пересчета, не выявлено.</w:t>
      </w:r>
    </w:p>
    <w:p w:rsidR="003E30CD" w:rsidRDefault="003E30CD" w:rsidP="00AD5225">
      <w:pPr>
        <w:jc w:val="both"/>
        <w:rPr>
          <w:rFonts w:cs="Arial"/>
          <w:b/>
          <w:sz w:val="20"/>
          <w:szCs w:val="20"/>
          <w:highlight w:val="yellow"/>
          <w:lang w:val="ru-RU"/>
        </w:rPr>
      </w:pPr>
    </w:p>
    <w:p w:rsidR="002F26BD" w:rsidRPr="00CA1782" w:rsidRDefault="002F26BD" w:rsidP="002F26BD">
      <w:pPr>
        <w:jc w:val="both"/>
        <w:rPr>
          <w:rFonts w:cs="Arial"/>
          <w:b/>
          <w:sz w:val="20"/>
          <w:szCs w:val="20"/>
          <w:lang w:val="ru-RU"/>
        </w:rPr>
      </w:pPr>
      <w:r>
        <w:rPr>
          <w:rFonts w:cs="Arial"/>
          <w:b/>
          <w:sz w:val="20"/>
          <w:szCs w:val="20"/>
          <w:lang w:val="ru-RU"/>
        </w:rPr>
        <w:t xml:space="preserve">6.4. </w:t>
      </w:r>
      <w:r w:rsidRPr="00CA1782">
        <w:rPr>
          <w:rFonts w:cs="Arial"/>
          <w:b/>
          <w:sz w:val="20"/>
          <w:szCs w:val="20"/>
          <w:lang w:val="ru-RU"/>
        </w:rPr>
        <w:t>Сопроводительная информация к отчету о движении денежных средств по форме отчетности 0409814</w:t>
      </w:r>
    </w:p>
    <w:p w:rsidR="002F26BD" w:rsidRDefault="002F26BD" w:rsidP="002F26BD">
      <w:pPr>
        <w:jc w:val="both"/>
        <w:rPr>
          <w:rFonts w:cs="Arial"/>
          <w:sz w:val="20"/>
          <w:szCs w:val="20"/>
          <w:lang w:val="ru-RU"/>
        </w:rPr>
      </w:pPr>
    </w:p>
    <w:p w:rsidR="002F26BD" w:rsidRPr="00E33CC0" w:rsidRDefault="002F26BD" w:rsidP="002F26BD">
      <w:pPr>
        <w:jc w:val="both"/>
        <w:rPr>
          <w:b/>
          <w:sz w:val="20"/>
          <w:szCs w:val="20"/>
          <w:lang w:val="ru-RU"/>
        </w:rPr>
      </w:pPr>
      <w:r>
        <w:rPr>
          <w:b/>
          <w:sz w:val="20"/>
          <w:szCs w:val="20"/>
          <w:lang w:val="ru-RU"/>
        </w:rPr>
        <w:t>Денежные средства и их эквиваленты, представленные в отчете о движении денежных средств, включают в себя следующие компоненты:</w:t>
      </w:r>
    </w:p>
    <w:p w:rsidR="002F26BD" w:rsidRDefault="002F26BD" w:rsidP="002F26BD">
      <w:pPr>
        <w:jc w:val="both"/>
        <w:rPr>
          <w:rFonts w:cs="Arial"/>
          <w:sz w:val="20"/>
          <w:szCs w:val="20"/>
          <w:lang w:val="ru-RU"/>
        </w:rPr>
      </w:pPr>
    </w:p>
    <w:tbl>
      <w:tblPr>
        <w:tblStyle w:val="aff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268"/>
        <w:gridCol w:w="2835"/>
      </w:tblGrid>
      <w:tr w:rsidR="002F26BD" w:rsidRPr="00F23C1F" w:rsidTr="006B4CC1">
        <w:trPr>
          <w:trHeight w:val="240"/>
        </w:trPr>
        <w:tc>
          <w:tcPr>
            <w:tcW w:w="4786" w:type="dxa"/>
            <w:tcBorders>
              <w:top w:val="single" w:sz="4" w:space="0" w:color="auto"/>
              <w:bottom w:val="single" w:sz="4" w:space="0" w:color="auto"/>
            </w:tcBorders>
            <w:noWrap/>
            <w:hideMark/>
          </w:tcPr>
          <w:p w:rsidR="002F26BD" w:rsidRPr="003E01EA" w:rsidRDefault="002F26BD" w:rsidP="006B4CC1">
            <w:pPr>
              <w:rPr>
                <w:rFonts w:cs="Arial"/>
                <w:b/>
                <w:bCs/>
                <w:sz w:val="16"/>
                <w:szCs w:val="16"/>
                <w:lang w:val="ru-RU"/>
              </w:rPr>
            </w:pPr>
            <w:r w:rsidRPr="003E01EA">
              <w:rPr>
                <w:rFonts w:cs="Arial"/>
                <w:b/>
                <w:bCs/>
                <w:sz w:val="16"/>
                <w:szCs w:val="16"/>
              </w:rPr>
              <w:t> </w:t>
            </w:r>
          </w:p>
        </w:tc>
        <w:tc>
          <w:tcPr>
            <w:tcW w:w="2268" w:type="dxa"/>
            <w:tcBorders>
              <w:top w:val="single" w:sz="4" w:space="0" w:color="auto"/>
              <w:bottom w:val="single" w:sz="4" w:space="0" w:color="auto"/>
            </w:tcBorders>
            <w:noWrap/>
            <w:hideMark/>
          </w:tcPr>
          <w:p w:rsidR="002F26BD" w:rsidRPr="003E01EA" w:rsidRDefault="002F26BD" w:rsidP="006B4CC1">
            <w:pPr>
              <w:jc w:val="center"/>
              <w:rPr>
                <w:rFonts w:cs="Arial"/>
                <w:b/>
                <w:bCs/>
                <w:sz w:val="16"/>
                <w:szCs w:val="16"/>
                <w:lang w:val="ru-RU"/>
              </w:rPr>
            </w:pPr>
            <w:r w:rsidRPr="003E01EA">
              <w:rPr>
                <w:rFonts w:cs="Arial"/>
                <w:b/>
                <w:bCs/>
                <w:sz w:val="16"/>
                <w:szCs w:val="16"/>
                <w:lang w:val="ru-RU"/>
              </w:rPr>
              <w:t>31.12.2018</w:t>
            </w:r>
          </w:p>
        </w:tc>
        <w:tc>
          <w:tcPr>
            <w:tcW w:w="2835" w:type="dxa"/>
            <w:tcBorders>
              <w:top w:val="single" w:sz="4" w:space="0" w:color="auto"/>
              <w:bottom w:val="single" w:sz="4" w:space="0" w:color="auto"/>
            </w:tcBorders>
          </w:tcPr>
          <w:p w:rsidR="002F26BD" w:rsidRPr="003E01EA" w:rsidRDefault="002F26BD" w:rsidP="006B4CC1">
            <w:pPr>
              <w:jc w:val="center"/>
              <w:rPr>
                <w:rFonts w:cs="Arial"/>
                <w:b/>
                <w:bCs/>
                <w:sz w:val="16"/>
                <w:szCs w:val="16"/>
                <w:lang w:val="ru-RU"/>
              </w:rPr>
            </w:pPr>
            <w:r w:rsidRPr="003E01EA">
              <w:rPr>
                <w:rFonts w:cs="Arial"/>
                <w:b/>
                <w:bCs/>
                <w:sz w:val="16"/>
                <w:szCs w:val="16"/>
                <w:lang w:val="ru-RU"/>
              </w:rPr>
              <w:t>31.12.2017</w:t>
            </w:r>
          </w:p>
        </w:tc>
      </w:tr>
      <w:tr w:rsidR="002F26BD" w:rsidRPr="00F23C1F" w:rsidTr="006B4CC1">
        <w:trPr>
          <w:trHeight w:val="225"/>
        </w:trPr>
        <w:tc>
          <w:tcPr>
            <w:tcW w:w="4786" w:type="dxa"/>
            <w:tcBorders>
              <w:top w:val="single" w:sz="4" w:space="0" w:color="auto"/>
            </w:tcBorders>
            <w:noWrap/>
          </w:tcPr>
          <w:p w:rsidR="002F26BD" w:rsidRPr="003E01EA" w:rsidRDefault="002F26BD" w:rsidP="006B4CC1">
            <w:pPr>
              <w:rPr>
                <w:rFonts w:cs="Arial"/>
                <w:b/>
                <w:bCs/>
                <w:sz w:val="16"/>
                <w:szCs w:val="16"/>
                <w:lang w:val="ru-RU"/>
              </w:rPr>
            </w:pPr>
          </w:p>
        </w:tc>
        <w:tc>
          <w:tcPr>
            <w:tcW w:w="2268" w:type="dxa"/>
            <w:tcBorders>
              <w:top w:val="single" w:sz="4" w:space="0" w:color="auto"/>
            </w:tcBorders>
            <w:noWrap/>
          </w:tcPr>
          <w:p w:rsidR="002F26BD" w:rsidRPr="003E01EA" w:rsidRDefault="002F26BD" w:rsidP="006B4CC1">
            <w:pPr>
              <w:jc w:val="center"/>
              <w:rPr>
                <w:rFonts w:cs="Arial"/>
                <w:b/>
                <w:bCs/>
                <w:sz w:val="16"/>
                <w:szCs w:val="16"/>
                <w:lang w:val="ru-RU"/>
              </w:rPr>
            </w:pPr>
          </w:p>
        </w:tc>
        <w:tc>
          <w:tcPr>
            <w:tcW w:w="2835" w:type="dxa"/>
            <w:tcBorders>
              <w:top w:val="single" w:sz="4" w:space="0" w:color="auto"/>
            </w:tcBorders>
          </w:tcPr>
          <w:p w:rsidR="002F26BD" w:rsidRPr="003E01EA" w:rsidRDefault="002F26BD" w:rsidP="006B4CC1">
            <w:pPr>
              <w:jc w:val="center"/>
              <w:rPr>
                <w:rFonts w:cs="Arial"/>
                <w:b/>
                <w:bCs/>
                <w:sz w:val="16"/>
                <w:szCs w:val="16"/>
                <w:lang w:val="ru-RU"/>
              </w:rPr>
            </w:pPr>
          </w:p>
        </w:tc>
      </w:tr>
      <w:tr w:rsidR="002F26BD" w:rsidRPr="00F23C1F" w:rsidTr="006B4CC1">
        <w:trPr>
          <w:trHeight w:val="225"/>
        </w:trPr>
        <w:tc>
          <w:tcPr>
            <w:tcW w:w="4786" w:type="dxa"/>
            <w:noWrap/>
          </w:tcPr>
          <w:p w:rsidR="002F26BD" w:rsidRDefault="002F26BD" w:rsidP="006B4CC1">
            <w:pPr>
              <w:rPr>
                <w:rFonts w:cs="Arial"/>
                <w:bCs/>
                <w:sz w:val="16"/>
                <w:szCs w:val="16"/>
                <w:lang w:val="ru-RU"/>
              </w:rPr>
            </w:pPr>
            <w:r w:rsidRPr="001C1EDA">
              <w:rPr>
                <w:rFonts w:cs="Arial"/>
                <w:bCs/>
                <w:sz w:val="16"/>
                <w:szCs w:val="16"/>
                <w:lang w:val="ru-RU"/>
              </w:rPr>
              <w:t>Денежные средства (наличные)</w:t>
            </w:r>
          </w:p>
          <w:p w:rsidR="002F26BD" w:rsidRPr="001C1EDA" w:rsidRDefault="002F26BD" w:rsidP="006B4CC1">
            <w:pPr>
              <w:rPr>
                <w:rFonts w:cs="Arial"/>
                <w:bCs/>
                <w:sz w:val="16"/>
                <w:szCs w:val="16"/>
                <w:lang w:val="ru-RU"/>
              </w:rPr>
            </w:pPr>
          </w:p>
        </w:tc>
        <w:tc>
          <w:tcPr>
            <w:tcW w:w="2268" w:type="dxa"/>
            <w:noWrap/>
          </w:tcPr>
          <w:p w:rsidR="002F26BD" w:rsidRPr="001C1EDA" w:rsidRDefault="002F26BD" w:rsidP="006B4CC1">
            <w:pPr>
              <w:jc w:val="center"/>
              <w:rPr>
                <w:rFonts w:cs="Arial"/>
                <w:bCs/>
                <w:sz w:val="16"/>
                <w:szCs w:val="16"/>
                <w:lang w:val="ru-RU"/>
              </w:rPr>
            </w:pPr>
            <w:r w:rsidRPr="001C1EDA">
              <w:rPr>
                <w:rFonts w:cs="Arial"/>
                <w:bCs/>
                <w:sz w:val="16"/>
                <w:szCs w:val="16"/>
                <w:lang w:val="ru-RU"/>
              </w:rPr>
              <w:t>675 870</w:t>
            </w:r>
          </w:p>
        </w:tc>
        <w:tc>
          <w:tcPr>
            <w:tcW w:w="2835" w:type="dxa"/>
          </w:tcPr>
          <w:p w:rsidR="002F26BD" w:rsidRPr="001C1EDA" w:rsidRDefault="002F26BD" w:rsidP="006B4CC1">
            <w:pPr>
              <w:jc w:val="center"/>
              <w:rPr>
                <w:rFonts w:cs="Arial"/>
                <w:bCs/>
                <w:sz w:val="16"/>
                <w:szCs w:val="16"/>
                <w:lang w:val="ru-RU"/>
              </w:rPr>
            </w:pPr>
            <w:r w:rsidRPr="001C1EDA">
              <w:rPr>
                <w:rFonts w:cs="Arial"/>
                <w:bCs/>
                <w:sz w:val="16"/>
                <w:szCs w:val="16"/>
                <w:lang w:val="ru-RU"/>
              </w:rPr>
              <w:t>436 880</w:t>
            </w:r>
          </w:p>
        </w:tc>
      </w:tr>
      <w:tr w:rsidR="002F26BD" w:rsidRPr="00F23C1F" w:rsidTr="006B4CC1">
        <w:trPr>
          <w:trHeight w:val="225"/>
        </w:trPr>
        <w:tc>
          <w:tcPr>
            <w:tcW w:w="4786" w:type="dxa"/>
            <w:noWrap/>
            <w:hideMark/>
          </w:tcPr>
          <w:p w:rsidR="002F26BD" w:rsidRDefault="002F26BD" w:rsidP="006B4CC1">
            <w:pPr>
              <w:rPr>
                <w:rFonts w:cs="Arial"/>
                <w:bCs/>
                <w:sz w:val="16"/>
                <w:szCs w:val="16"/>
                <w:lang w:val="ru-RU"/>
              </w:rPr>
            </w:pPr>
            <w:r w:rsidRPr="001C1EDA">
              <w:rPr>
                <w:rFonts w:cs="Arial"/>
                <w:bCs/>
                <w:sz w:val="16"/>
                <w:szCs w:val="16"/>
                <w:lang w:val="ru-RU"/>
              </w:rPr>
              <w:t>Остатки денежных средств на счетах в Банке России (кроме обязательных резервов)</w:t>
            </w:r>
          </w:p>
          <w:p w:rsidR="002F26BD" w:rsidRPr="001C1EDA" w:rsidRDefault="002F26BD" w:rsidP="006B4CC1">
            <w:pPr>
              <w:rPr>
                <w:rFonts w:cs="Arial"/>
                <w:bCs/>
                <w:sz w:val="16"/>
                <w:szCs w:val="16"/>
                <w:lang w:val="ru-RU"/>
              </w:rPr>
            </w:pPr>
          </w:p>
        </w:tc>
        <w:tc>
          <w:tcPr>
            <w:tcW w:w="2268" w:type="dxa"/>
            <w:noWrap/>
          </w:tcPr>
          <w:p w:rsidR="002F26BD" w:rsidRDefault="002F26BD" w:rsidP="006B4CC1">
            <w:pPr>
              <w:jc w:val="center"/>
              <w:rPr>
                <w:rFonts w:cs="Arial"/>
                <w:bCs/>
                <w:sz w:val="16"/>
                <w:szCs w:val="16"/>
                <w:lang w:val="ru-RU"/>
              </w:rPr>
            </w:pPr>
          </w:p>
          <w:p w:rsidR="002F26BD" w:rsidRPr="001C1EDA" w:rsidRDefault="002F26BD" w:rsidP="006B4CC1">
            <w:pPr>
              <w:jc w:val="center"/>
              <w:rPr>
                <w:rFonts w:cs="Arial"/>
                <w:bCs/>
                <w:sz w:val="16"/>
                <w:szCs w:val="16"/>
                <w:lang w:val="ru-RU"/>
              </w:rPr>
            </w:pPr>
            <w:r w:rsidRPr="001C1EDA">
              <w:rPr>
                <w:rFonts w:cs="Arial"/>
                <w:bCs/>
                <w:sz w:val="16"/>
                <w:szCs w:val="16"/>
                <w:lang w:val="ru-RU"/>
              </w:rPr>
              <w:t>291 050</w:t>
            </w:r>
          </w:p>
        </w:tc>
        <w:tc>
          <w:tcPr>
            <w:tcW w:w="2835" w:type="dxa"/>
          </w:tcPr>
          <w:p w:rsidR="002F26BD" w:rsidRDefault="002F26BD" w:rsidP="006B4CC1">
            <w:pPr>
              <w:jc w:val="center"/>
              <w:rPr>
                <w:rFonts w:cs="Arial"/>
                <w:bCs/>
                <w:sz w:val="16"/>
                <w:szCs w:val="16"/>
                <w:lang w:val="ru-RU"/>
              </w:rPr>
            </w:pPr>
          </w:p>
          <w:p w:rsidR="002F26BD" w:rsidRPr="001C1EDA" w:rsidRDefault="002F26BD" w:rsidP="006B4CC1">
            <w:pPr>
              <w:jc w:val="center"/>
              <w:rPr>
                <w:rFonts w:cs="Arial"/>
                <w:bCs/>
                <w:sz w:val="16"/>
                <w:szCs w:val="16"/>
                <w:lang w:val="ru-RU"/>
              </w:rPr>
            </w:pPr>
            <w:r w:rsidRPr="001C1EDA">
              <w:rPr>
                <w:rFonts w:cs="Arial"/>
                <w:bCs/>
                <w:sz w:val="16"/>
                <w:szCs w:val="16"/>
                <w:lang w:val="ru-RU"/>
              </w:rPr>
              <w:t>255 232</w:t>
            </w:r>
          </w:p>
        </w:tc>
      </w:tr>
      <w:tr w:rsidR="002F26BD" w:rsidRPr="00F23C1F" w:rsidTr="006B4CC1">
        <w:trPr>
          <w:trHeight w:val="385"/>
        </w:trPr>
        <w:tc>
          <w:tcPr>
            <w:tcW w:w="4786" w:type="dxa"/>
            <w:noWrap/>
            <w:hideMark/>
          </w:tcPr>
          <w:p w:rsidR="002F26BD" w:rsidRDefault="002F26BD" w:rsidP="006B4CC1">
            <w:pPr>
              <w:rPr>
                <w:rFonts w:cs="Arial"/>
                <w:bCs/>
                <w:sz w:val="16"/>
                <w:szCs w:val="16"/>
                <w:lang w:val="ru-RU"/>
              </w:rPr>
            </w:pPr>
            <w:r w:rsidRPr="001C1EDA">
              <w:rPr>
                <w:rFonts w:cs="Arial"/>
                <w:bCs/>
                <w:sz w:val="16"/>
                <w:szCs w:val="16"/>
                <w:lang w:val="ru-RU"/>
              </w:rPr>
              <w:t>Средства в кредитных организациях</w:t>
            </w:r>
          </w:p>
          <w:p w:rsidR="002F26BD" w:rsidRPr="001C1EDA" w:rsidRDefault="002F26BD" w:rsidP="006B4CC1">
            <w:pPr>
              <w:rPr>
                <w:rFonts w:cs="Arial"/>
                <w:bCs/>
                <w:sz w:val="16"/>
                <w:szCs w:val="16"/>
                <w:lang w:val="ru-RU"/>
              </w:rPr>
            </w:pPr>
          </w:p>
        </w:tc>
        <w:tc>
          <w:tcPr>
            <w:tcW w:w="2268" w:type="dxa"/>
            <w:noWrap/>
          </w:tcPr>
          <w:p w:rsidR="002F26BD" w:rsidRPr="001C1EDA" w:rsidRDefault="002F26BD" w:rsidP="006B4CC1">
            <w:pPr>
              <w:jc w:val="center"/>
              <w:rPr>
                <w:rFonts w:cs="Arial"/>
                <w:bCs/>
                <w:sz w:val="16"/>
                <w:szCs w:val="16"/>
                <w:lang w:val="ru-RU"/>
              </w:rPr>
            </w:pPr>
            <w:r w:rsidRPr="001C1EDA">
              <w:rPr>
                <w:rFonts w:cs="Arial"/>
                <w:bCs/>
                <w:sz w:val="16"/>
                <w:szCs w:val="16"/>
                <w:lang w:val="ru-RU"/>
              </w:rPr>
              <w:t>124 649</w:t>
            </w:r>
          </w:p>
        </w:tc>
        <w:tc>
          <w:tcPr>
            <w:tcW w:w="2835" w:type="dxa"/>
          </w:tcPr>
          <w:p w:rsidR="002F26BD" w:rsidRPr="001C1EDA" w:rsidRDefault="002F26BD" w:rsidP="006B4CC1">
            <w:pPr>
              <w:jc w:val="center"/>
              <w:rPr>
                <w:rFonts w:cs="Arial"/>
                <w:bCs/>
                <w:sz w:val="16"/>
                <w:szCs w:val="16"/>
                <w:lang w:val="en-US"/>
              </w:rPr>
            </w:pPr>
            <w:r w:rsidRPr="001C1EDA">
              <w:rPr>
                <w:rFonts w:cs="Arial"/>
                <w:bCs/>
                <w:sz w:val="16"/>
                <w:szCs w:val="16"/>
                <w:lang w:val="ru-RU"/>
              </w:rPr>
              <w:t>244 193</w:t>
            </w:r>
          </w:p>
        </w:tc>
      </w:tr>
      <w:tr w:rsidR="002F26BD" w:rsidRPr="003B70B3" w:rsidTr="002F5E50">
        <w:trPr>
          <w:trHeight w:val="385"/>
        </w:trPr>
        <w:tc>
          <w:tcPr>
            <w:tcW w:w="4786" w:type="dxa"/>
            <w:tcBorders>
              <w:bottom w:val="single" w:sz="4" w:space="0" w:color="auto"/>
            </w:tcBorders>
            <w:noWrap/>
          </w:tcPr>
          <w:p w:rsidR="002F26BD" w:rsidRPr="001C1EDA" w:rsidRDefault="002F26BD" w:rsidP="006B4CC1">
            <w:pPr>
              <w:rPr>
                <w:rFonts w:cs="Arial"/>
                <w:bCs/>
                <w:sz w:val="16"/>
                <w:szCs w:val="16"/>
                <w:lang w:val="ru-RU"/>
              </w:rPr>
            </w:pPr>
            <w:r>
              <w:rPr>
                <w:rFonts w:cs="Arial"/>
                <w:bCs/>
                <w:sz w:val="16"/>
                <w:szCs w:val="16"/>
                <w:lang w:val="ru-RU"/>
              </w:rPr>
              <w:t>Денежные средства и их эквиваленты, по которым существует риск потерь</w:t>
            </w:r>
          </w:p>
        </w:tc>
        <w:tc>
          <w:tcPr>
            <w:tcW w:w="2268" w:type="dxa"/>
            <w:tcBorders>
              <w:bottom w:val="single" w:sz="4" w:space="0" w:color="auto"/>
            </w:tcBorders>
            <w:noWrap/>
          </w:tcPr>
          <w:p w:rsidR="002F26BD" w:rsidRPr="001C1EDA" w:rsidRDefault="002F26BD" w:rsidP="006B4CC1">
            <w:pPr>
              <w:jc w:val="center"/>
              <w:rPr>
                <w:rFonts w:cs="Arial"/>
                <w:bCs/>
                <w:sz w:val="16"/>
                <w:szCs w:val="16"/>
                <w:lang w:val="ru-RU"/>
              </w:rPr>
            </w:pPr>
            <w:r>
              <w:rPr>
                <w:rFonts w:cs="Arial"/>
                <w:bCs/>
                <w:sz w:val="16"/>
                <w:szCs w:val="16"/>
                <w:lang w:val="ru-RU"/>
              </w:rPr>
              <w:t>(13 606)</w:t>
            </w:r>
          </w:p>
        </w:tc>
        <w:tc>
          <w:tcPr>
            <w:tcW w:w="2835" w:type="dxa"/>
            <w:tcBorders>
              <w:bottom w:val="single" w:sz="4" w:space="0" w:color="auto"/>
            </w:tcBorders>
          </w:tcPr>
          <w:p w:rsidR="002F26BD" w:rsidRPr="001C1EDA" w:rsidRDefault="002F26BD" w:rsidP="006B4CC1">
            <w:pPr>
              <w:jc w:val="center"/>
              <w:rPr>
                <w:rFonts w:cs="Arial"/>
                <w:bCs/>
                <w:sz w:val="16"/>
                <w:szCs w:val="16"/>
                <w:lang w:val="ru-RU"/>
              </w:rPr>
            </w:pPr>
            <w:r>
              <w:rPr>
                <w:rFonts w:cs="Arial"/>
                <w:bCs/>
                <w:sz w:val="16"/>
                <w:szCs w:val="16"/>
                <w:lang w:val="ru-RU"/>
              </w:rPr>
              <w:t>(6 352)</w:t>
            </w:r>
          </w:p>
        </w:tc>
      </w:tr>
      <w:tr w:rsidR="002F26BD" w:rsidRPr="003B70B3" w:rsidTr="002F5E50">
        <w:trPr>
          <w:trHeight w:val="183"/>
        </w:trPr>
        <w:tc>
          <w:tcPr>
            <w:tcW w:w="4786" w:type="dxa"/>
            <w:tcBorders>
              <w:top w:val="single" w:sz="4" w:space="0" w:color="auto"/>
              <w:bottom w:val="double" w:sz="4" w:space="0" w:color="auto"/>
            </w:tcBorders>
            <w:noWrap/>
          </w:tcPr>
          <w:p w:rsidR="002F26BD" w:rsidRDefault="002F26BD" w:rsidP="006B4CC1">
            <w:pPr>
              <w:rPr>
                <w:rFonts w:cs="Arial"/>
                <w:b/>
                <w:bCs/>
                <w:sz w:val="16"/>
                <w:szCs w:val="16"/>
                <w:lang w:val="ru-RU"/>
              </w:rPr>
            </w:pPr>
          </w:p>
          <w:p w:rsidR="002F26BD" w:rsidRPr="003E01EA" w:rsidRDefault="002F26BD" w:rsidP="006B4CC1">
            <w:pPr>
              <w:rPr>
                <w:rFonts w:cs="Arial"/>
                <w:b/>
                <w:bCs/>
                <w:sz w:val="16"/>
                <w:szCs w:val="16"/>
                <w:lang w:val="ru-RU"/>
              </w:rPr>
            </w:pPr>
            <w:r>
              <w:rPr>
                <w:rFonts w:cs="Arial"/>
                <w:b/>
                <w:bCs/>
                <w:sz w:val="16"/>
                <w:szCs w:val="16"/>
                <w:lang w:val="ru-RU"/>
              </w:rPr>
              <w:t>Итого денежных средств и их эквивалентов</w:t>
            </w:r>
          </w:p>
        </w:tc>
        <w:tc>
          <w:tcPr>
            <w:tcW w:w="2268" w:type="dxa"/>
            <w:tcBorders>
              <w:top w:val="single" w:sz="4" w:space="0" w:color="auto"/>
              <w:bottom w:val="double" w:sz="4" w:space="0" w:color="auto"/>
            </w:tcBorders>
            <w:noWrap/>
          </w:tcPr>
          <w:p w:rsidR="002F26BD" w:rsidRDefault="002F26BD" w:rsidP="006B4CC1">
            <w:pPr>
              <w:jc w:val="center"/>
              <w:rPr>
                <w:rFonts w:cs="Arial"/>
                <w:b/>
                <w:bCs/>
                <w:sz w:val="16"/>
                <w:szCs w:val="16"/>
                <w:lang w:val="ru-RU"/>
              </w:rPr>
            </w:pPr>
          </w:p>
          <w:p w:rsidR="002F26BD" w:rsidRPr="003E01EA" w:rsidRDefault="002F26BD" w:rsidP="006B4CC1">
            <w:pPr>
              <w:jc w:val="center"/>
              <w:rPr>
                <w:rFonts w:cs="Arial"/>
                <w:b/>
                <w:bCs/>
                <w:sz w:val="16"/>
                <w:szCs w:val="16"/>
                <w:lang w:val="ru-RU"/>
              </w:rPr>
            </w:pPr>
            <w:r>
              <w:rPr>
                <w:rFonts w:cs="Arial"/>
                <w:b/>
                <w:bCs/>
                <w:sz w:val="16"/>
                <w:szCs w:val="16"/>
                <w:lang w:val="ru-RU"/>
              </w:rPr>
              <w:t>1 077 963</w:t>
            </w:r>
          </w:p>
        </w:tc>
        <w:tc>
          <w:tcPr>
            <w:tcW w:w="2835" w:type="dxa"/>
            <w:tcBorders>
              <w:top w:val="single" w:sz="4" w:space="0" w:color="auto"/>
              <w:bottom w:val="double" w:sz="4" w:space="0" w:color="auto"/>
            </w:tcBorders>
          </w:tcPr>
          <w:p w:rsidR="002F26BD" w:rsidRDefault="002F26BD" w:rsidP="006B4CC1">
            <w:pPr>
              <w:jc w:val="center"/>
              <w:rPr>
                <w:rFonts w:cs="Arial"/>
                <w:b/>
                <w:bCs/>
                <w:sz w:val="16"/>
                <w:szCs w:val="16"/>
                <w:lang w:val="ru-RU"/>
              </w:rPr>
            </w:pPr>
          </w:p>
          <w:p w:rsidR="002F26BD" w:rsidRPr="003E01EA" w:rsidRDefault="002F26BD" w:rsidP="006B4CC1">
            <w:pPr>
              <w:jc w:val="center"/>
              <w:rPr>
                <w:rFonts w:cs="Arial"/>
                <w:b/>
                <w:bCs/>
                <w:sz w:val="16"/>
                <w:szCs w:val="16"/>
                <w:lang w:val="ru-RU"/>
              </w:rPr>
            </w:pPr>
            <w:r>
              <w:rPr>
                <w:rFonts w:cs="Arial"/>
                <w:b/>
                <w:bCs/>
                <w:sz w:val="16"/>
                <w:szCs w:val="16"/>
                <w:lang w:val="ru-RU"/>
              </w:rPr>
              <w:t>929 953</w:t>
            </w:r>
          </w:p>
        </w:tc>
      </w:tr>
    </w:tbl>
    <w:p w:rsidR="002F26BD" w:rsidRDefault="002F26BD" w:rsidP="002F26BD">
      <w:pPr>
        <w:jc w:val="both"/>
        <w:rPr>
          <w:rFonts w:cs="Arial"/>
          <w:sz w:val="20"/>
          <w:szCs w:val="20"/>
          <w:lang w:val="ru-RU"/>
        </w:rPr>
      </w:pPr>
    </w:p>
    <w:p w:rsidR="002F26BD" w:rsidRDefault="002F26BD" w:rsidP="002F26BD">
      <w:pPr>
        <w:overflowPunct/>
        <w:jc w:val="both"/>
        <w:textAlignment w:val="auto"/>
        <w:rPr>
          <w:rFonts w:eastAsiaTheme="minorHAnsi" w:cs="Arial"/>
          <w:sz w:val="20"/>
          <w:szCs w:val="20"/>
          <w:lang w:val="ru-RU"/>
        </w:rPr>
      </w:pPr>
      <w:r>
        <w:rPr>
          <w:rFonts w:eastAsiaTheme="minorHAnsi" w:cs="Arial"/>
          <w:sz w:val="20"/>
          <w:szCs w:val="20"/>
          <w:lang w:val="ru-RU"/>
        </w:rPr>
        <w:t>По результатам сверки сумм, содержащихся в статьях отчета о движении денежных средств, с аналогичными статьями в бухгалтерском балансе в отношении денежных средств и их эквивалентов расхождений не выявлено.</w:t>
      </w:r>
    </w:p>
    <w:p w:rsidR="002F26BD" w:rsidRDefault="002F26BD" w:rsidP="002F26BD">
      <w:pPr>
        <w:jc w:val="both"/>
        <w:rPr>
          <w:rFonts w:cs="Arial"/>
          <w:sz w:val="20"/>
          <w:szCs w:val="20"/>
          <w:lang w:val="ru-RU"/>
        </w:rPr>
      </w:pPr>
    </w:p>
    <w:p w:rsidR="002F26BD" w:rsidRPr="00CA1782" w:rsidRDefault="002F26BD" w:rsidP="002F26BD">
      <w:pPr>
        <w:jc w:val="both"/>
        <w:rPr>
          <w:rFonts w:cs="Arial"/>
          <w:sz w:val="20"/>
          <w:szCs w:val="20"/>
          <w:lang w:val="ru-RU"/>
        </w:rPr>
      </w:pPr>
      <w:r w:rsidRPr="00CA1782">
        <w:rPr>
          <w:rFonts w:cs="Arial"/>
          <w:sz w:val="20"/>
          <w:szCs w:val="20"/>
          <w:lang w:val="ru-RU"/>
        </w:rPr>
        <w:t>В Банке отсутствуют:</w:t>
      </w:r>
    </w:p>
    <w:p w:rsidR="002F26BD" w:rsidRPr="00CA1782" w:rsidRDefault="002F26BD" w:rsidP="002F26BD">
      <w:pPr>
        <w:pStyle w:val="afd"/>
        <w:numPr>
          <w:ilvl w:val="0"/>
          <w:numId w:val="14"/>
        </w:numPr>
        <w:ind w:left="714" w:hanging="357"/>
        <w:jc w:val="both"/>
        <w:rPr>
          <w:rFonts w:cs="Arial"/>
          <w:sz w:val="20"/>
          <w:szCs w:val="20"/>
          <w:lang w:val="ru-RU"/>
        </w:rPr>
      </w:pPr>
      <w:r w:rsidRPr="00CA1782">
        <w:rPr>
          <w:rFonts w:cs="Arial"/>
          <w:sz w:val="20"/>
          <w:szCs w:val="20"/>
          <w:lang w:val="ru-RU"/>
        </w:rPr>
        <w:t>остатки денежных средств и их эквивалентов недоступные для использования, кроме средств, депонируемых в Банке России (Фонд Обязательных Резервов);</w:t>
      </w:r>
    </w:p>
    <w:p w:rsidR="002F26BD" w:rsidRPr="00CA1782" w:rsidRDefault="002F26BD" w:rsidP="002F26BD">
      <w:pPr>
        <w:pStyle w:val="afd"/>
        <w:numPr>
          <w:ilvl w:val="0"/>
          <w:numId w:val="14"/>
        </w:numPr>
        <w:ind w:left="714" w:hanging="357"/>
        <w:jc w:val="both"/>
        <w:rPr>
          <w:rFonts w:cs="Arial"/>
          <w:sz w:val="20"/>
          <w:szCs w:val="20"/>
          <w:lang w:val="ru-RU"/>
        </w:rPr>
      </w:pPr>
      <w:r w:rsidRPr="00CA1782">
        <w:rPr>
          <w:rFonts w:cs="Arial"/>
          <w:sz w:val="20"/>
          <w:szCs w:val="20"/>
          <w:lang w:val="ru-RU"/>
        </w:rPr>
        <w:t>существенные инвестиционные и финансовые операции, не требующие использования денежных средств,</w:t>
      </w:r>
    </w:p>
    <w:p w:rsidR="002F26BD" w:rsidRPr="00CA1782" w:rsidRDefault="002F26BD" w:rsidP="002F26BD">
      <w:pPr>
        <w:pStyle w:val="afd"/>
        <w:numPr>
          <w:ilvl w:val="0"/>
          <w:numId w:val="14"/>
        </w:numPr>
        <w:ind w:left="714" w:hanging="357"/>
        <w:jc w:val="both"/>
        <w:rPr>
          <w:rFonts w:cs="Arial"/>
          <w:sz w:val="20"/>
          <w:szCs w:val="20"/>
          <w:lang w:val="ru-RU"/>
        </w:rPr>
      </w:pPr>
      <w:r w:rsidRPr="00CA1782">
        <w:rPr>
          <w:rFonts w:cs="Arial"/>
          <w:sz w:val="20"/>
          <w:szCs w:val="20"/>
          <w:lang w:val="ru-RU"/>
        </w:rPr>
        <w:t>неиспользованные кредитные средства, имеющие ограничения по их использованию,</w:t>
      </w:r>
    </w:p>
    <w:p w:rsidR="002F26BD" w:rsidRPr="00CA1782" w:rsidRDefault="002F26BD" w:rsidP="002F26BD">
      <w:pPr>
        <w:pStyle w:val="afd"/>
        <w:numPr>
          <w:ilvl w:val="0"/>
          <w:numId w:val="14"/>
        </w:numPr>
        <w:ind w:left="714" w:hanging="357"/>
        <w:jc w:val="both"/>
        <w:rPr>
          <w:rFonts w:cs="Arial"/>
          <w:sz w:val="20"/>
          <w:szCs w:val="20"/>
          <w:lang w:val="ru-RU"/>
        </w:rPr>
      </w:pPr>
      <w:r w:rsidRPr="00CA1782">
        <w:rPr>
          <w:rFonts w:cs="Arial"/>
          <w:sz w:val="20"/>
          <w:szCs w:val="20"/>
          <w:lang w:val="ru-RU"/>
        </w:rPr>
        <w:lastRenderedPageBreak/>
        <w:t>денежные потоки, представляющие увеличение операционных возможностей, отдельно от потоков денежных средств, необходимых для поддержания операционных возможностей.</w:t>
      </w:r>
    </w:p>
    <w:p w:rsidR="002F26BD" w:rsidRDefault="002F26BD" w:rsidP="002F26BD">
      <w:pPr>
        <w:jc w:val="both"/>
        <w:rPr>
          <w:rFonts w:cs="Arial"/>
          <w:sz w:val="20"/>
          <w:szCs w:val="20"/>
          <w:lang w:val="ru-RU"/>
        </w:rPr>
      </w:pPr>
      <w:r w:rsidRPr="00CA1782">
        <w:rPr>
          <w:rFonts w:cs="Arial"/>
          <w:sz w:val="20"/>
          <w:szCs w:val="20"/>
          <w:lang w:val="ru-RU"/>
        </w:rPr>
        <w:t xml:space="preserve">Другой информации требующей раскрытия к отчету о движении денежных средств у Банка нет. </w:t>
      </w:r>
    </w:p>
    <w:p w:rsidR="007E14B6" w:rsidRPr="00884713" w:rsidRDefault="007E14B6" w:rsidP="00AD5225">
      <w:pPr>
        <w:jc w:val="both"/>
        <w:rPr>
          <w:b/>
          <w:sz w:val="20"/>
          <w:szCs w:val="20"/>
          <w:highlight w:val="yellow"/>
          <w:lang w:val="ru-RU"/>
        </w:rPr>
      </w:pPr>
    </w:p>
    <w:p w:rsidR="003E30CD" w:rsidRPr="003E30CD" w:rsidRDefault="003E30CD" w:rsidP="003E30CD">
      <w:pPr>
        <w:overflowPunct/>
        <w:jc w:val="both"/>
        <w:textAlignment w:val="auto"/>
        <w:rPr>
          <w:rFonts w:eastAsiaTheme="minorHAnsi" w:cs="Arial"/>
          <w:b/>
          <w:sz w:val="20"/>
          <w:szCs w:val="20"/>
          <w:lang w:val="ru-RU"/>
        </w:rPr>
      </w:pPr>
      <w:r w:rsidRPr="003D5AC4">
        <w:rPr>
          <w:rFonts w:eastAsiaTheme="minorHAnsi" w:cs="Arial"/>
          <w:b/>
          <w:sz w:val="20"/>
          <w:szCs w:val="20"/>
          <w:lang w:val="ru-RU"/>
        </w:rPr>
        <w:t>7. Информация количественного и качественного характера о целях и политике управления рисками, связанными с финансовыми инструментами</w:t>
      </w:r>
    </w:p>
    <w:p w:rsidR="005C3E69" w:rsidRDefault="005C3E69" w:rsidP="00AD5225">
      <w:pPr>
        <w:jc w:val="both"/>
        <w:rPr>
          <w:rFonts w:cs="Arial"/>
          <w:sz w:val="20"/>
          <w:szCs w:val="20"/>
          <w:highlight w:val="yellow"/>
          <w:lang w:val="ru-RU"/>
        </w:rPr>
      </w:pPr>
    </w:p>
    <w:p w:rsidR="003D5AC4" w:rsidRPr="000C3A94" w:rsidRDefault="003D5AC4" w:rsidP="003D5AC4">
      <w:pPr>
        <w:jc w:val="both"/>
        <w:rPr>
          <w:rFonts w:cs="Arial"/>
          <w:sz w:val="20"/>
          <w:szCs w:val="20"/>
          <w:lang w:val="ru-RU"/>
        </w:rPr>
      </w:pPr>
      <w:r w:rsidRPr="000C3A94">
        <w:rPr>
          <w:rFonts w:cs="Arial"/>
          <w:sz w:val="20"/>
          <w:szCs w:val="20"/>
          <w:lang w:val="ru-RU"/>
        </w:rPr>
        <w:t>Основными целями создания, функционирования и совершенствования системы управления рисками в Банке являются выявление, оценка, агрегирование наиболее значимых рисков, иных видов рисков, которые в сочетании с наиболее значимыми рисками могут привести к потерям, существенно влияющим на оценку достаточности капитала, и контроль за их объемами.</w:t>
      </w:r>
    </w:p>
    <w:p w:rsidR="003D5AC4" w:rsidRPr="000C3A94" w:rsidRDefault="003D5AC4" w:rsidP="003D5AC4">
      <w:pPr>
        <w:jc w:val="both"/>
        <w:rPr>
          <w:rFonts w:cs="Arial"/>
          <w:sz w:val="20"/>
          <w:szCs w:val="20"/>
          <w:lang w:val="ru-RU"/>
        </w:rPr>
      </w:pPr>
      <w:r w:rsidRPr="000C3A94">
        <w:rPr>
          <w:rFonts w:cs="Arial"/>
          <w:sz w:val="20"/>
          <w:szCs w:val="20"/>
          <w:lang w:val="ru-RU"/>
        </w:rPr>
        <w:t>В Банке создана система постоянной идентификации существенных рисков. Банк регулярно осуществляет оценку рисков, присущих своей деятельности, на предмет их значимости, а также охват всех существенных направлений деятельности. Перечень существенных рисков для Банка утверждается Советом директоров.</w:t>
      </w:r>
    </w:p>
    <w:p w:rsidR="003D5AC4" w:rsidRPr="000C3A94" w:rsidRDefault="003D5AC4" w:rsidP="003D5AC4">
      <w:pPr>
        <w:jc w:val="both"/>
        <w:rPr>
          <w:rFonts w:cs="Arial"/>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Кредитный риск</w:t>
      </w:r>
      <w:r w:rsidRPr="000C3A94">
        <w:rPr>
          <w:rFonts w:cs="Arial"/>
          <w:sz w:val="20"/>
          <w:szCs w:val="20"/>
          <w:lang w:val="ru-RU"/>
        </w:rPr>
        <w:t xml:space="preserve"> - риск возникновения у Банка убытков вследствие неисполнения, несвоевременного либо неполного исполнения должником финансовых обязательств перед Банком в соответствии с условиями договора.</w:t>
      </w:r>
    </w:p>
    <w:p w:rsidR="003D5AC4" w:rsidRPr="000C3A94" w:rsidRDefault="003D5AC4" w:rsidP="003D5AC4">
      <w:pPr>
        <w:jc w:val="both"/>
        <w:rPr>
          <w:rFonts w:cs="Arial"/>
          <w:sz w:val="20"/>
          <w:szCs w:val="20"/>
          <w:lang w:val="ru-RU"/>
        </w:rPr>
      </w:pPr>
      <w:r w:rsidRPr="000C3A94">
        <w:rPr>
          <w:rFonts w:cs="Arial"/>
          <w:sz w:val="20"/>
          <w:szCs w:val="20"/>
          <w:lang w:val="ru-RU"/>
        </w:rPr>
        <w:t>Возникновение кредитного риска может быть обусловлено многими причинами, как на уровне отдельной ссуды (риск отсутствия правоспособности и дееспособности заемщика, неспособность заемщика к созданию денежного потока, необходимого для возврата и обслуживания долга, риск ликвидности залога, риск невыполнения обязательств третьими лицами, ответственными по ссуде), так и на уровне кредитного портфеля Банка (чрезмерная концентрация кредитов в одном из секторов экономики, чрезмерная диверсификация по многим отраслям экономики при отсутствии у Банка специалистов, знающих их особенности, несовершенная структура кредитного портфеля, сформированного с учетом потребностей клиентов, а не самого Банка, уровень квалификации персонала).</w:t>
      </w:r>
    </w:p>
    <w:p w:rsidR="003D5AC4" w:rsidRPr="000C3A94" w:rsidRDefault="003D5AC4" w:rsidP="003D5AC4">
      <w:pPr>
        <w:jc w:val="both"/>
        <w:rPr>
          <w:rFonts w:cs="Arial"/>
          <w:sz w:val="20"/>
          <w:szCs w:val="20"/>
          <w:lang w:val="ru-RU"/>
        </w:rPr>
      </w:pPr>
      <w:r w:rsidRPr="000C3A94">
        <w:rPr>
          <w:rFonts w:cs="Arial"/>
          <w:sz w:val="20"/>
          <w:szCs w:val="20"/>
          <w:lang w:val="ru-RU"/>
        </w:rPr>
        <w:t>Основная цель управления кредитным риском - это повышение качества кредитного портфеля Банка путем поиска оптимального соотношения между доходностью и кредитными рисками, принимаемыми Банком.</w:t>
      </w:r>
    </w:p>
    <w:p w:rsidR="003D5AC4" w:rsidRPr="000C3A94" w:rsidRDefault="003D5AC4" w:rsidP="003D5AC4">
      <w:pPr>
        <w:jc w:val="both"/>
        <w:rPr>
          <w:rFonts w:cs="Arial"/>
          <w:sz w:val="20"/>
          <w:szCs w:val="20"/>
          <w:lang w:val="ru-RU"/>
        </w:rPr>
      </w:pPr>
      <w:r w:rsidRPr="000C3A94">
        <w:rPr>
          <w:rFonts w:cs="Arial"/>
          <w:sz w:val="20"/>
          <w:szCs w:val="20"/>
          <w:lang w:val="ru-RU"/>
        </w:rPr>
        <w:t>Методология оценки кредитного риска предусматривает:</w:t>
      </w:r>
    </w:p>
    <w:p w:rsidR="003D5AC4" w:rsidRPr="000C3A94" w:rsidRDefault="003D5AC4" w:rsidP="003D5AC4">
      <w:pPr>
        <w:jc w:val="both"/>
        <w:rPr>
          <w:rFonts w:cs="Arial"/>
          <w:sz w:val="20"/>
          <w:szCs w:val="20"/>
          <w:lang w:val="ru-RU"/>
        </w:rPr>
      </w:pPr>
      <w:r w:rsidRPr="000C3A94">
        <w:rPr>
          <w:rFonts w:cs="Arial"/>
          <w:sz w:val="20"/>
          <w:szCs w:val="20"/>
          <w:lang w:val="ru-RU"/>
        </w:rPr>
        <w:t>- качественный анализ кредитного риска. Заключается в идентификации факторов риска (выявлении его источников) и требует глубоких знаний, опыта и интуиции в этой сфере деятельности. Говоря о качественной оценке кредитного портфеля Банка, следует также учитывать наличие связанного кредитования и концентрацию кредитного риска;</w:t>
      </w:r>
    </w:p>
    <w:p w:rsidR="003D5AC4" w:rsidRPr="000C3A94" w:rsidRDefault="003D5AC4" w:rsidP="003D5AC4">
      <w:pPr>
        <w:jc w:val="both"/>
        <w:rPr>
          <w:rFonts w:cs="Arial"/>
          <w:sz w:val="20"/>
          <w:szCs w:val="20"/>
          <w:lang w:val="ru-RU"/>
        </w:rPr>
      </w:pPr>
      <w:r w:rsidRPr="000C3A94">
        <w:rPr>
          <w:rFonts w:cs="Arial"/>
          <w:sz w:val="20"/>
          <w:szCs w:val="20"/>
          <w:lang w:val="ru-RU"/>
        </w:rPr>
        <w:t>- количественную оценку кредитного риска. Предполагает определение уровня (степени) риска в терминах ожидаемых/неожидаемых/стрессовых потерь в рамках отдельного заемщика или кредитного портфеля Банка.</w:t>
      </w:r>
    </w:p>
    <w:p w:rsidR="003D5AC4" w:rsidRPr="000C3A94" w:rsidRDefault="003D5AC4" w:rsidP="003D5AC4">
      <w:pPr>
        <w:jc w:val="both"/>
        <w:rPr>
          <w:rFonts w:cs="Arial"/>
          <w:sz w:val="20"/>
          <w:szCs w:val="20"/>
          <w:lang w:val="ru-RU"/>
        </w:rPr>
      </w:pPr>
      <w:r w:rsidRPr="000C3A94">
        <w:rPr>
          <w:rFonts w:cs="Arial"/>
          <w:sz w:val="20"/>
          <w:szCs w:val="20"/>
          <w:lang w:val="ru-RU"/>
        </w:rPr>
        <w:t>Методы оценки управления кредитным риском определяются внутренними нормативными документами Банка «Положение о порядке формирования подразделениями ПАО «Норвик Банк» резервов  на возможные  потери по ссудам, ссудной и приравненной к ней задолженности» и «Положение о порядке формирования ПАО «Норвик Банк» резервов на возможные потери».</w:t>
      </w:r>
    </w:p>
    <w:p w:rsidR="003D5AC4" w:rsidRPr="000C3A94" w:rsidRDefault="003D5AC4" w:rsidP="003D5AC4">
      <w:pPr>
        <w:jc w:val="both"/>
        <w:rPr>
          <w:rFonts w:cs="Arial"/>
          <w:sz w:val="20"/>
          <w:szCs w:val="20"/>
          <w:lang w:val="ru-RU"/>
        </w:rPr>
      </w:pPr>
      <w:r w:rsidRPr="000C3A94">
        <w:rPr>
          <w:rFonts w:cs="Arial"/>
          <w:sz w:val="20"/>
          <w:szCs w:val="20"/>
          <w:lang w:val="ru-RU"/>
        </w:rPr>
        <w:t>При применении указанных методов, основным способом снижения размера ожидаемых потерь является тщательный отбор потенциальных заемщиков и контрагентов Банка, комплексный анализ их финансового состояния, особенностей хозяйственной деятельности, который позволяет оценить его возможности  для получения ссуды и его способности своевременно  и в полном объеме погасить задолженность и проценты по ней Банку. С этой целью различными службами Банка в соответствии с указанными методами проводится анализ различных показателей - факторов риска, рассматриваемых как в статике, так и в динамике. Для проведения такого анализа могут быть использованы сведения, предоставленные заемщиком, управлением безопасности Банка, информация из налоговых органов, информация в прессе о заемщике или о той отрасли, к которой он принадлежит, сравнительные данные по предприятиям, работающим в сопоставимых условиях.</w:t>
      </w:r>
    </w:p>
    <w:p w:rsidR="003D5AC4" w:rsidRPr="000C3A94" w:rsidRDefault="003D5AC4" w:rsidP="003D5AC4">
      <w:pPr>
        <w:jc w:val="both"/>
        <w:rPr>
          <w:rFonts w:cs="Arial"/>
          <w:sz w:val="20"/>
          <w:szCs w:val="20"/>
          <w:lang w:val="ru-RU"/>
        </w:rPr>
      </w:pPr>
      <w:r w:rsidRPr="000C3A94">
        <w:rPr>
          <w:rFonts w:cs="Arial"/>
          <w:sz w:val="20"/>
          <w:szCs w:val="20"/>
          <w:lang w:val="ru-RU"/>
        </w:rPr>
        <w:t xml:space="preserve">Политика Банка при формировании кредитного портфеля придерживается взвешенного подхода в отношении концентрации кредитного портфеля. Учитывается диверсификация предоставляемых кредитов по видам, срокам, отраслям деятельности заемщиков, что способствует минимизации кредитного риска путем снижения чувствительности к несистемным факторам. </w:t>
      </w:r>
    </w:p>
    <w:p w:rsidR="003D5AC4" w:rsidRPr="000C3A94" w:rsidRDefault="003D5AC4" w:rsidP="003D5AC4">
      <w:pPr>
        <w:jc w:val="both"/>
        <w:rPr>
          <w:rFonts w:cs="Arial"/>
          <w:b/>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Рыночный риск</w:t>
      </w:r>
      <w:r w:rsidRPr="000C3A94">
        <w:rPr>
          <w:rFonts w:cs="Arial"/>
          <w:sz w:val="20"/>
          <w:szCs w:val="20"/>
          <w:lang w:val="ru-RU"/>
        </w:rPr>
        <w:t xml:space="preserve"> представляет собой риск возникновения у Банка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Банка, а также курсов иностранных валют и (или) драгоценных металлов.</w:t>
      </w:r>
    </w:p>
    <w:p w:rsidR="003D5AC4" w:rsidRPr="000C3A94" w:rsidRDefault="003D5AC4" w:rsidP="003D5AC4">
      <w:pPr>
        <w:jc w:val="both"/>
        <w:rPr>
          <w:rFonts w:cs="Arial"/>
          <w:sz w:val="20"/>
          <w:szCs w:val="20"/>
          <w:lang w:val="ru-RU"/>
        </w:rPr>
      </w:pPr>
      <w:r w:rsidRPr="000C3A94">
        <w:rPr>
          <w:rFonts w:cs="Arial"/>
          <w:sz w:val="20"/>
          <w:szCs w:val="20"/>
          <w:lang w:val="ru-RU"/>
        </w:rPr>
        <w:lastRenderedPageBreak/>
        <w:t>Рыночный риск возникает по операциям вложений в ценные бумаги, оцениваемые по справедливой стоимости через прибыль или убыток, в ценные бумаги для продажи, по обязательствам по обратной поставке ценных бумаг, полученных по операциям, совершаемым на возвратной основе, по открытым позициям, номинированным  в  иностранной  валюте  и  (или)  драгоценном  металле,  и открытым позициям в  рублях,  величина  которых  зависит  от  изменения  установленных  Банком  России курсов  иностранных  валют  по  отношению  к  рублю  и  (или)  учетных  цен  на  драгоценные металлы, по операциям с производными финансовыми инструментами.</w:t>
      </w:r>
    </w:p>
    <w:p w:rsidR="003D5AC4" w:rsidRPr="000C3A94" w:rsidRDefault="003D5AC4" w:rsidP="003D5AC4">
      <w:pPr>
        <w:jc w:val="both"/>
        <w:rPr>
          <w:rFonts w:cs="Arial"/>
          <w:sz w:val="20"/>
          <w:szCs w:val="20"/>
          <w:lang w:val="ru-RU"/>
        </w:rPr>
      </w:pPr>
      <w:r w:rsidRPr="000C3A94">
        <w:rPr>
          <w:rFonts w:cs="Arial"/>
          <w:sz w:val="20"/>
          <w:szCs w:val="20"/>
          <w:lang w:val="ru-RU"/>
        </w:rPr>
        <w:t>Рыночный риск включает в себя процентный, фондовый, валютный и товарный риски. Наиболее существенными видами рисков, с которыми Банк сталкивается в своей деятельности на рынке ценных бумаг, являются фондовый, процентный и валютный риски, представляющие собой разновидность рыночного (ценового) риска:</w:t>
      </w:r>
    </w:p>
    <w:p w:rsidR="003D5AC4" w:rsidRPr="000C3A94" w:rsidRDefault="003D5AC4" w:rsidP="003D5AC4">
      <w:pPr>
        <w:jc w:val="both"/>
        <w:rPr>
          <w:rFonts w:cs="Arial"/>
          <w:sz w:val="20"/>
          <w:szCs w:val="20"/>
          <w:lang w:val="ru-RU"/>
        </w:rPr>
      </w:pPr>
      <w:r w:rsidRPr="000C3A94">
        <w:rPr>
          <w:rFonts w:cs="Arial"/>
          <w:sz w:val="20"/>
          <w:szCs w:val="20"/>
          <w:lang w:val="ru-RU"/>
        </w:rPr>
        <w:t xml:space="preserve"> - фондовый риск -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p w:rsidR="003D5AC4" w:rsidRPr="000C3A94" w:rsidRDefault="003D5AC4" w:rsidP="003D5AC4">
      <w:pPr>
        <w:jc w:val="both"/>
        <w:rPr>
          <w:rFonts w:cs="Arial"/>
          <w:sz w:val="20"/>
          <w:szCs w:val="20"/>
          <w:lang w:val="ru-RU"/>
        </w:rPr>
      </w:pPr>
      <w:r w:rsidRPr="000C3A94">
        <w:rPr>
          <w:rFonts w:cs="Arial"/>
          <w:sz w:val="20"/>
          <w:szCs w:val="20"/>
          <w:lang w:val="ru-RU"/>
        </w:rPr>
        <w:t>- процентный риск -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Банка. Под основным источником процентного риска понимается возможность снижения справедливой стоимости финансовых инструментов с фиксированной доходностью при изменении средней рыночной доходности;</w:t>
      </w:r>
    </w:p>
    <w:p w:rsidR="003D5AC4" w:rsidRPr="000C3A94" w:rsidRDefault="003D5AC4" w:rsidP="003D5AC4">
      <w:pPr>
        <w:jc w:val="both"/>
        <w:rPr>
          <w:rFonts w:cs="Arial"/>
          <w:sz w:val="20"/>
          <w:szCs w:val="20"/>
          <w:lang w:val="ru-RU"/>
        </w:rPr>
      </w:pPr>
      <w:r w:rsidRPr="000C3A94">
        <w:rPr>
          <w:rFonts w:cs="Arial"/>
          <w:sz w:val="20"/>
          <w:szCs w:val="20"/>
          <w:lang w:val="ru-RU"/>
        </w:rPr>
        <w:t>- товарный риск (в части производных финансовых инструментов, торгуемых на рынках ценных бумаг, базовым активом которых являются товары) – риск возникновения финансовых потерь (убытков) в результате неблагоприятного изменения динамики товарных цен.</w:t>
      </w:r>
    </w:p>
    <w:p w:rsidR="003D5AC4" w:rsidRPr="000C3A94" w:rsidRDefault="003D5AC4" w:rsidP="003D5AC4">
      <w:pPr>
        <w:jc w:val="both"/>
        <w:rPr>
          <w:rFonts w:cs="Arial"/>
          <w:sz w:val="20"/>
          <w:szCs w:val="20"/>
          <w:lang w:val="ru-RU"/>
        </w:rPr>
      </w:pPr>
      <w:r w:rsidRPr="000C3A94">
        <w:rPr>
          <w:rFonts w:cs="Arial"/>
          <w:sz w:val="20"/>
          <w:szCs w:val="20"/>
          <w:lang w:val="ru-RU"/>
        </w:rPr>
        <w:t xml:space="preserve">Основными инструментами, обеспечивающими принятие Банком рисков на приемлемом уровне, являются качественный отбор эмитентов, установление лимитов на вложения, соблюдение надлежащей диверсификации. Выбор эмитентов, выпусков ценных бумаг осуществляется исходя из критериев ожидаемой доходности вложений и принимаемых рисков. Механизму лимитирования рисков подвергаются все операции, осуществляемые Банком на фондовом рынке. Диверсификация позволяет снизить максимально возможные потери за одно событие. </w:t>
      </w:r>
    </w:p>
    <w:p w:rsidR="003D5AC4" w:rsidRPr="000C3A94" w:rsidRDefault="003D5AC4" w:rsidP="003D5AC4">
      <w:pPr>
        <w:jc w:val="both"/>
        <w:rPr>
          <w:rFonts w:cs="Arial"/>
          <w:sz w:val="20"/>
          <w:szCs w:val="20"/>
          <w:lang w:val="ru-RU"/>
        </w:rPr>
      </w:pPr>
      <w:r w:rsidRPr="000C3A94">
        <w:rPr>
          <w:rFonts w:cs="Arial"/>
          <w:sz w:val="20"/>
          <w:szCs w:val="20"/>
          <w:lang w:val="ru-RU"/>
        </w:rPr>
        <w:t>Инструментами, формирующими торговый портфель Банка в отчетном пе</w:t>
      </w:r>
      <w:r>
        <w:rPr>
          <w:rFonts w:cs="Arial"/>
          <w:sz w:val="20"/>
          <w:szCs w:val="20"/>
          <w:lang w:val="ru-RU"/>
        </w:rPr>
        <w:t xml:space="preserve">риоде </w:t>
      </w:r>
      <w:r w:rsidRPr="000C3A94">
        <w:rPr>
          <w:rFonts w:cs="Arial"/>
          <w:sz w:val="20"/>
          <w:szCs w:val="20"/>
          <w:lang w:val="ru-RU"/>
        </w:rPr>
        <w:t xml:space="preserve">являлись облигации крупнейших эмитентов ценных бумаг.  Основной географический сегмент – РФ; основные отрасли эмитентов – нефтегазовая отрасль, кредитные организации, телекоммуникационные компании, компании химической, металлургической промышленности, энергетика, торговля и ритейл, транспорт. Как правило, это бумаги ломбардного списка ЦБ РФ. Основным видом осуществляемых Банком операций являлась купля-продажа ценных бумаг. </w:t>
      </w:r>
    </w:p>
    <w:p w:rsidR="003D5AC4" w:rsidRPr="000C3A94" w:rsidRDefault="003D5AC4" w:rsidP="003D5AC4">
      <w:pPr>
        <w:jc w:val="both"/>
        <w:rPr>
          <w:rFonts w:cs="Arial"/>
          <w:sz w:val="20"/>
          <w:szCs w:val="20"/>
          <w:lang w:val="ru-RU"/>
        </w:rPr>
      </w:pPr>
      <w:r w:rsidRPr="000C3A94">
        <w:rPr>
          <w:rFonts w:cs="Arial"/>
          <w:sz w:val="20"/>
          <w:szCs w:val="20"/>
          <w:lang w:val="ru-RU"/>
        </w:rPr>
        <w:t>В отчетном периоде Банком проводилась работа в части снижения риска, включающая надлежащую оценку рисков на этапе структурирования сделки, которой характерен рыночный риск, диверсификацию вложений в финансовые инструменты, осуществление непрерывного контроля за соблюдением установленных лимитов.</w:t>
      </w:r>
    </w:p>
    <w:p w:rsidR="003D5AC4" w:rsidRPr="000C3A94" w:rsidRDefault="003D5AC4" w:rsidP="003D5AC4">
      <w:pPr>
        <w:jc w:val="both"/>
        <w:rPr>
          <w:rFonts w:cs="Arial"/>
          <w:sz w:val="20"/>
          <w:szCs w:val="20"/>
          <w:lang w:val="ru-RU"/>
        </w:rPr>
      </w:pPr>
      <w:r w:rsidRPr="000C3A94">
        <w:rPr>
          <w:rFonts w:cs="Arial"/>
          <w:sz w:val="20"/>
          <w:szCs w:val="20"/>
          <w:lang w:val="ru-RU"/>
        </w:rPr>
        <w:t xml:space="preserve">Валютный риск представляет собой риск потерь в связи с неблагоприятным для Банка изменением курсов валют. Подверженность данному риску определяется степенью несоответствия размеров активов и пассивов, требований и обязательств в той или иной валюте. </w:t>
      </w:r>
    </w:p>
    <w:p w:rsidR="003D5AC4" w:rsidRPr="000C3A94" w:rsidRDefault="003D5AC4" w:rsidP="003D5AC4">
      <w:pPr>
        <w:jc w:val="both"/>
        <w:rPr>
          <w:rFonts w:cs="Arial"/>
          <w:sz w:val="20"/>
          <w:szCs w:val="20"/>
          <w:lang w:val="ru-RU"/>
        </w:rPr>
      </w:pPr>
      <w:r w:rsidRPr="000C3A94">
        <w:rPr>
          <w:rFonts w:cs="Arial"/>
          <w:sz w:val="20"/>
          <w:szCs w:val="20"/>
          <w:lang w:val="ru-RU"/>
        </w:rPr>
        <w:t>Основным методом управления валютными рисками в Банке в отчетном периоде являлось жесткое лимитирование размера валютных позиций. Все операции и сделки с валютными ценностями, по которым Банк нес риски, выполнялись в строгом соответствии с установленными лимитами, превышения лимитов открытых валютных позиций не допускалось.</w:t>
      </w:r>
    </w:p>
    <w:p w:rsidR="003D5AC4" w:rsidRPr="000C3A94" w:rsidRDefault="003D5AC4" w:rsidP="003D5AC4">
      <w:pPr>
        <w:jc w:val="both"/>
        <w:rPr>
          <w:rFonts w:cs="Arial"/>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Риск ликвидности</w:t>
      </w:r>
      <w:r w:rsidRPr="000C3A94">
        <w:rPr>
          <w:rFonts w:cs="Arial"/>
          <w:sz w:val="20"/>
          <w:szCs w:val="20"/>
          <w:lang w:val="ru-RU"/>
        </w:rPr>
        <w:t xml:space="preserve"> — риск убытков вследствие неспособности Банка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Банка (в том числе вследствие несвоевременного исполнения финансовых обязательств одним или несколькими контрагентами кредитной организации) или возникновения непредвиденной необходимости немедленного и единовременного исполнения Банком своих финансовых обязательств.</w:t>
      </w:r>
    </w:p>
    <w:p w:rsidR="003D5AC4" w:rsidRPr="000C3A94" w:rsidRDefault="003D5AC4" w:rsidP="003D5AC4">
      <w:pPr>
        <w:jc w:val="both"/>
        <w:rPr>
          <w:rFonts w:cs="Arial"/>
          <w:sz w:val="20"/>
          <w:szCs w:val="20"/>
          <w:lang w:val="ru-RU"/>
        </w:rPr>
      </w:pPr>
      <w:r w:rsidRPr="000C3A94">
        <w:rPr>
          <w:rFonts w:cs="Arial"/>
          <w:sz w:val="20"/>
          <w:szCs w:val="20"/>
          <w:lang w:val="ru-RU"/>
        </w:rPr>
        <w:t>Банком разработано положение «Об организации управления и контроля за ликвидностью и риском ликвидности», определяющее основные понятия, цели и методы управления, способы оценки, а также распределение обязанностей в области управления ликвидностью Банка.</w:t>
      </w:r>
    </w:p>
    <w:p w:rsidR="003D5AC4" w:rsidRPr="000C3A94" w:rsidRDefault="003D5AC4" w:rsidP="003D5AC4">
      <w:pPr>
        <w:jc w:val="both"/>
        <w:rPr>
          <w:rFonts w:cs="Arial"/>
          <w:sz w:val="20"/>
          <w:szCs w:val="20"/>
          <w:lang w:val="ru-RU"/>
        </w:rPr>
      </w:pPr>
      <w:r w:rsidRPr="000C3A94">
        <w:rPr>
          <w:rFonts w:cs="Arial"/>
          <w:sz w:val="20"/>
          <w:szCs w:val="20"/>
          <w:lang w:val="ru-RU"/>
        </w:rPr>
        <w:t>Управление ликвидностью направлено на поддержание оптимального соотношения между сроками, объемами размещения средств и привлечения ресурсов, при котором банк обеспечивает, с одной стороны, своевременное выполнение своих обязательств, соблюдая требования внешних и внутренних нормативных актов, с другой, достигает оптимизации параметров доходности и уровня риска при проведении операций.</w:t>
      </w:r>
    </w:p>
    <w:p w:rsidR="003D5AC4" w:rsidRPr="000C3A94" w:rsidRDefault="003D5AC4" w:rsidP="003D5AC4">
      <w:pPr>
        <w:jc w:val="both"/>
        <w:rPr>
          <w:rFonts w:cs="Arial"/>
          <w:sz w:val="20"/>
          <w:szCs w:val="20"/>
          <w:lang w:val="ru-RU"/>
        </w:rPr>
      </w:pPr>
      <w:r w:rsidRPr="000C3A94">
        <w:rPr>
          <w:rFonts w:cs="Arial"/>
          <w:sz w:val="20"/>
          <w:szCs w:val="20"/>
          <w:lang w:val="ru-RU"/>
        </w:rPr>
        <w:lastRenderedPageBreak/>
        <w:t>Управление риском ликвидности осуществляется путем согласования сроков возврата размещенных активов и привлеченных банком пассивов, а также поддержания необходимого объема высоколиквидных и ликвидных средств (денежные средства в кассе, остатки на корреспондентских счетах в Банке России, счета Ностро, межбанковские кредиты, вложения в ценные бумаги ломбардного списка, которые могут быть использованы как источник фондирования по сделкам РЕПО).</w:t>
      </w:r>
    </w:p>
    <w:p w:rsidR="003D5AC4" w:rsidRPr="000C3A94" w:rsidRDefault="003D5AC4" w:rsidP="003D5AC4">
      <w:pPr>
        <w:jc w:val="both"/>
        <w:rPr>
          <w:rFonts w:cs="Arial"/>
          <w:sz w:val="20"/>
          <w:szCs w:val="20"/>
          <w:lang w:val="ru-RU"/>
        </w:rPr>
      </w:pPr>
      <w:r w:rsidRPr="000C3A94">
        <w:rPr>
          <w:rFonts w:cs="Arial"/>
          <w:sz w:val="20"/>
          <w:szCs w:val="20"/>
          <w:lang w:val="ru-RU"/>
        </w:rPr>
        <w:t xml:space="preserve">Банк поддерживает уровень ликвидности, достаточный для выполнения всех требований Банка России: нормативов мгновенной, текущей и долгосрочной ликвидности, установленных Инструкцией Банка России от 28 июня 2017 года N 180-И «Об обязательных нормативах банков». Контроль выполнения данных нормативов ликвидности осуществляется на ежедневной основе. </w:t>
      </w:r>
    </w:p>
    <w:p w:rsidR="003D5AC4" w:rsidRPr="000C3A94" w:rsidRDefault="003D5AC4" w:rsidP="003D5AC4">
      <w:pPr>
        <w:jc w:val="both"/>
        <w:rPr>
          <w:rFonts w:cs="Arial"/>
          <w:sz w:val="20"/>
          <w:szCs w:val="20"/>
          <w:lang w:val="ru-RU"/>
        </w:rPr>
      </w:pPr>
      <w:r w:rsidRPr="000C3A94">
        <w:rPr>
          <w:rFonts w:cs="Arial"/>
          <w:sz w:val="20"/>
          <w:szCs w:val="20"/>
          <w:lang w:val="ru-RU"/>
        </w:rPr>
        <w:t>Оценка состояния краткосрочной, текущей и перспективной ликвидности осуществляется следующими методами:</w:t>
      </w:r>
    </w:p>
    <w:p w:rsidR="003D5AC4" w:rsidRPr="000C3A94" w:rsidRDefault="003D5AC4" w:rsidP="003D5AC4">
      <w:pPr>
        <w:jc w:val="both"/>
        <w:rPr>
          <w:rFonts w:cs="Arial"/>
          <w:sz w:val="20"/>
          <w:szCs w:val="20"/>
          <w:lang w:val="ru-RU"/>
        </w:rPr>
      </w:pPr>
      <w:r w:rsidRPr="000C3A94">
        <w:rPr>
          <w:rFonts w:cs="Arial"/>
          <w:sz w:val="20"/>
          <w:szCs w:val="20"/>
          <w:lang w:val="ru-RU"/>
        </w:rPr>
        <w:t>- метод коэффициентов (нормативный подход, установленный Банком России);</w:t>
      </w:r>
    </w:p>
    <w:p w:rsidR="003D5AC4" w:rsidRPr="000C3A94" w:rsidRDefault="003D5AC4" w:rsidP="003D5AC4">
      <w:pPr>
        <w:jc w:val="both"/>
        <w:rPr>
          <w:rFonts w:cs="Arial"/>
          <w:sz w:val="20"/>
          <w:szCs w:val="20"/>
          <w:lang w:val="ru-RU"/>
        </w:rPr>
      </w:pPr>
      <w:r w:rsidRPr="000C3A94">
        <w:rPr>
          <w:rFonts w:cs="Arial"/>
          <w:sz w:val="20"/>
          <w:szCs w:val="20"/>
          <w:lang w:val="ru-RU"/>
        </w:rPr>
        <w:t>- метод анализа разрыва в сроках погашения требований и обязательств с расчетом показателей ликвидности: избыток/дефицит ликвидности, коэффициент избытка/дефицита ликвидности;</w:t>
      </w:r>
    </w:p>
    <w:p w:rsidR="003D5AC4" w:rsidRPr="000C3A94" w:rsidRDefault="00B53D00" w:rsidP="003D5AC4">
      <w:pPr>
        <w:jc w:val="both"/>
        <w:rPr>
          <w:rFonts w:cs="Arial"/>
          <w:sz w:val="20"/>
          <w:szCs w:val="20"/>
          <w:lang w:val="ru-RU"/>
        </w:rPr>
      </w:pPr>
      <w:r>
        <w:rPr>
          <w:rFonts w:cs="Arial"/>
          <w:sz w:val="20"/>
          <w:szCs w:val="20"/>
          <w:lang w:val="ru-RU"/>
        </w:rPr>
        <w:t xml:space="preserve">- </w:t>
      </w:r>
      <w:r w:rsidR="003D5AC4" w:rsidRPr="000C3A94">
        <w:rPr>
          <w:rFonts w:cs="Arial"/>
          <w:sz w:val="20"/>
          <w:szCs w:val="20"/>
          <w:lang w:val="ru-RU"/>
        </w:rPr>
        <w:t xml:space="preserve">метод прогнозирования потоков денежных средств. Основан на составлении платежного календаря по временным интервалам; </w:t>
      </w:r>
    </w:p>
    <w:p w:rsidR="003D5AC4" w:rsidRPr="000C3A94" w:rsidRDefault="003D5AC4" w:rsidP="003D5AC4">
      <w:pPr>
        <w:jc w:val="both"/>
        <w:rPr>
          <w:rFonts w:cs="Arial"/>
          <w:sz w:val="20"/>
          <w:szCs w:val="20"/>
          <w:lang w:val="ru-RU"/>
        </w:rPr>
      </w:pPr>
      <w:r w:rsidRPr="000C3A94">
        <w:rPr>
          <w:rFonts w:cs="Arial"/>
          <w:sz w:val="20"/>
          <w:szCs w:val="20"/>
          <w:lang w:val="ru-RU"/>
        </w:rPr>
        <w:t xml:space="preserve">- метод оценки уровня коэффициента трансформации, данный метод отражает трансформацию краткосрочных ресурсов в долгосрочные активы, выданные в превышение имеющегося ресурсного обеспечения долгосрочными пассивами. </w:t>
      </w:r>
    </w:p>
    <w:p w:rsidR="003D5AC4" w:rsidRPr="000C3A94" w:rsidRDefault="003D5AC4" w:rsidP="003D5AC4">
      <w:pPr>
        <w:jc w:val="both"/>
        <w:rPr>
          <w:rFonts w:cs="Arial"/>
          <w:sz w:val="20"/>
          <w:szCs w:val="20"/>
          <w:lang w:val="ru-RU"/>
        </w:rPr>
      </w:pPr>
      <w:r w:rsidRPr="000C3A94">
        <w:rPr>
          <w:rFonts w:cs="Arial"/>
          <w:sz w:val="20"/>
          <w:szCs w:val="20"/>
          <w:lang w:val="ru-RU"/>
        </w:rPr>
        <w:t xml:space="preserve">- метод установления лимитов на операции. </w:t>
      </w:r>
    </w:p>
    <w:p w:rsidR="003D5AC4" w:rsidRPr="000C3A94" w:rsidRDefault="003D5AC4" w:rsidP="003D5AC4">
      <w:pPr>
        <w:jc w:val="both"/>
        <w:rPr>
          <w:rFonts w:cs="Arial"/>
          <w:sz w:val="20"/>
          <w:szCs w:val="20"/>
          <w:lang w:val="ru-RU"/>
        </w:rPr>
      </w:pPr>
      <w:r w:rsidRPr="000C3A94">
        <w:rPr>
          <w:rFonts w:cs="Arial"/>
          <w:sz w:val="20"/>
          <w:szCs w:val="20"/>
          <w:lang w:val="ru-RU"/>
        </w:rPr>
        <w:t>Банк старается поддерживать устойчивую базу фондирования, состоящую преимущественно из депозитов юридических лиц, вкладов физических лиц, а также инвестировать средства в диверсифицированные портфели ликвидных активов для того, чтобы иметь возможность быстро и без затруднений выполнить непредвиденные требования по ликвидности. Так же Банком проводится активная работа, связанная с повышением равномерности распределения срочных пассивов по срокам их погашения, что способствует прогнозируемости и управляемости ликвидностью Банка.</w:t>
      </w:r>
    </w:p>
    <w:p w:rsidR="003D5AC4" w:rsidRPr="000C3A94" w:rsidRDefault="003D5AC4" w:rsidP="003D5AC4">
      <w:pPr>
        <w:jc w:val="both"/>
        <w:rPr>
          <w:rFonts w:cs="Arial"/>
          <w:sz w:val="20"/>
          <w:szCs w:val="20"/>
          <w:lang w:val="ru-RU"/>
        </w:rPr>
      </w:pPr>
    </w:p>
    <w:p w:rsidR="003D5AC4" w:rsidRPr="000C3A94" w:rsidRDefault="003D5AC4" w:rsidP="003D5AC4">
      <w:pPr>
        <w:pStyle w:val="2normal"/>
        <w:jc w:val="both"/>
        <w:rPr>
          <w:rFonts w:cs="Arial"/>
          <w:sz w:val="20"/>
          <w:szCs w:val="20"/>
          <w:lang w:val="ru-RU"/>
        </w:rPr>
      </w:pPr>
      <w:r w:rsidRPr="000C3A94">
        <w:rPr>
          <w:rFonts w:cs="Arial"/>
          <w:b/>
          <w:sz w:val="20"/>
          <w:szCs w:val="20"/>
          <w:lang w:val="ru-RU"/>
        </w:rPr>
        <w:t>Операционный риск</w:t>
      </w:r>
      <w:r w:rsidRPr="000C3A94">
        <w:rPr>
          <w:rFonts w:cs="Arial"/>
          <w:sz w:val="20"/>
          <w:szCs w:val="20"/>
          <w:lang w:val="ru-RU"/>
        </w:rPr>
        <w:t xml:space="preserve"> - риск возникновения убытков в результате несоответствия характеру и масштабам деятельности Банка и (или) требованиям действующего законодательства внутренних порядков и процедур проведения банковских операций и других сделок, их нарушения служащими Банка и (или) иными лицами (вследствие непреднамеренных или умышленных действий или бездействия), несоразмерности (недостаточности) функциональных возможностей (характеристик) применяемых Банком информационных, технологических и других систем и (или) их отказов (нарушений функционирования), а также в результате воздействия внешних событий.</w:t>
      </w:r>
    </w:p>
    <w:p w:rsidR="003D5AC4" w:rsidRPr="000C3A94" w:rsidRDefault="003D5AC4" w:rsidP="003D5AC4">
      <w:pPr>
        <w:pStyle w:val="2normal"/>
        <w:jc w:val="both"/>
        <w:rPr>
          <w:rFonts w:cs="Arial"/>
          <w:sz w:val="20"/>
          <w:szCs w:val="20"/>
          <w:lang w:val="ru-RU"/>
        </w:rPr>
      </w:pPr>
      <w:r w:rsidRPr="000C3A94">
        <w:rPr>
          <w:rFonts w:cs="Arial"/>
          <w:sz w:val="20"/>
          <w:szCs w:val="20"/>
          <w:lang w:val="ru-RU"/>
        </w:rPr>
        <w:t xml:space="preserve">Целью управления операционным риском является поддержание принимаемого на себя Банком риска на уровне, определенном Банком в соответствии с собственными стратегическими задачами. Приоритетным является обеспечение максимальной сохранности активов и капитала на основе уменьшения (исключения) возможных убытков. </w:t>
      </w:r>
    </w:p>
    <w:p w:rsidR="003D5AC4" w:rsidRPr="000C3A94" w:rsidRDefault="003D5AC4" w:rsidP="003D5AC4">
      <w:pPr>
        <w:pStyle w:val="2normal"/>
        <w:jc w:val="both"/>
        <w:rPr>
          <w:rFonts w:cs="Arial"/>
          <w:sz w:val="20"/>
          <w:szCs w:val="20"/>
          <w:lang w:val="ru-RU"/>
        </w:rPr>
      </w:pPr>
      <w:r w:rsidRPr="000C3A94">
        <w:rPr>
          <w:rFonts w:cs="Arial"/>
          <w:sz w:val="20"/>
          <w:szCs w:val="20"/>
          <w:lang w:val="ru-RU"/>
        </w:rPr>
        <w:t>Управление операционным риском осуществляется также в целях:</w:t>
      </w:r>
    </w:p>
    <w:p w:rsidR="003D5AC4" w:rsidRPr="000C3A94" w:rsidRDefault="003D5AC4" w:rsidP="003D5AC4">
      <w:pPr>
        <w:pStyle w:val="2normal"/>
        <w:tabs>
          <w:tab w:val="left" w:pos="851"/>
        </w:tabs>
        <w:jc w:val="both"/>
        <w:rPr>
          <w:rFonts w:cs="Arial"/>
          <w:sz w:val="20"/>
          <w:szCs w:val="20"/>
          <w:lang w:val="ru-RU"/>
        </w:rPr>
      </w:pPr>
      <w:r w:rsidRPr="000C3A94">
        <w:rPr>
          <w:rFonts w:cs="Arial"/>
          <w:sz w:val="20"/>
          <w:szCs w:val="20"/>
          <w:lang w:val="ru-RU"/>
        </w:rPr>
        <w:t>- выявления, измерения и определения приемлемого уровня операционного риска;</w:t>
      </w:r>
    </w:p>
    <w:p w:rsidR="003D5AC4" w:rsidRPr="000C3A94" w:rsidRDefault="003D5AC4" w:rsidP="003D5AC4">
      <w:pPr>
        <w:pStyle w:val="2normal"/>
        <w:tabs>
          <w:tab w:val="left" w:pos="851"/>
        </w:tabs>
        <w:jc w:val="both"/>
        <w:rPr>
          <w:rFonts w:cs="Arial"/>
          <w:sz w:val="20"/>
          <w:szCs w:val="20"/>
          <w:lang w:val="ru-RU"/>
        </w:rPr>
      </w:pPr>
      <w:r w:rsidRPr="000C3A94">
        <w:rPr>
          <w:rFonts w:cs="Arial"/>
          <w:sz w:val="20"/>
          <w:szCs w:val="20"/>
          <w:lang w:val="ru-RU"/>
        </w:rPr>
        <w:t>- постоянного наблюдения за операционным риском;</w:t>
      </w:r>
    </w:p>
    <w:p w:rsidR="003D5AC4" w:rsidRPr="000C3A94" w:rsidRDefault="003D5AC4" w:rsidP="003D5AC4">
      <w:pPr>
        <w:pStyle w:val="2normal"/>
        <w:tabs>
          <w:tab w:val="left" w:pos="851"/>
        </w:tabs>
        <w:jc w:val="both"/>
        <w:rPr>
          <w:rFonts w:cs="Arial"/>
          <w:sz w:val="20"/>
          <w:szCs w:val="20"/>
          <w:lang w:val="ru-RU"/>
        </w:rPr>
      </w:pPr>
      <w:r w:rsidRPr="000C3A94">
        <w:rPr>
          <w:rFonts w:cs="Arial"/>
          <w:sz w:val="20"/>
          <w:szCs w:val="20"/>
          <w:lang w:val="ru-RU"/>
        </w:rPr>
        <w:t>- принятия мер по поддержанию на не угрожающем финансовой устойчивости Банка и интересам его кредиторов и вкладчиков уровне операционного риска;</w:t>
      </w:r>
    </w:p>
    <w:p w:rsidR="003D5AC4" w:rsidRPr="000C3A94" w:rsidRDefault="003D5AC4" w:rsidP="003D5AC4">
      <w:pPr>
        <w:pStyle w:val="2normal"/>
        <w:tabs>
          <w:tab w:val="left" w:pos="851"/>
        </w:tabs>
        <w:jc w:val="both"/>
        <w:rPr>
          <w:rFonts w:cs="Arial"/>
          <w:sz w:val="20"/>
          <w:szCs w:val="20"/>
          <w:lang w:val="ru-RU"/>
        </w:rPr>
      </w:pPr>
      <w:r w:rsidRPr="000C3A94">
        <w:rPr>
          <w:rFonts w:cs="Arial"/>
          <w:sz w:val="20"/>
          <w:szCs w:val="20"/>
          <w:lang w:val="ru-RU"/>
        </w:rPr>
        <w:t>- соблюдения всеми служащими Банка нормативных правовых актов и внутренних банковских правил и регламентов.</w:t>
      </w:r>
    </w:p>
    <w:p w:rsidR="003D5AC4" w:rsidRPr="000C3A94" w:rsidRDefault="003D5AC4" w:rsidP="003D5AC4">
      <w:pPr>
        <w:pStyle w:val="2normal"/>
        <w:jc w:val="both"/>
        <w:rPr>
          <w:rFonts w:cs="Arial"/>
          <w:sz w:val="20"/>
          <w:szCs w:val="20"/>
          <w:lang w:val="ru-RU"/>
        </w:rPr>
      </w:pPr>
      <w:r w:rsidRPr="000C3A94">
        <w:rPr>
          <w:rFonts w:cs="Arial"/>
          <w:sz w:val="20"/>
          <w:szCs w:val="20"/>
          <w:lang w:val="ru-RU"/>
        </w:rPr>
        <w:t xml:space="preserve">Управление операционным риском состоит из следующих этапов: выявление и мониторинг операционного риска, оценка операционного риска, контроль и/или минимизация операционного риска. </w:t>
      </w:r>
    </w:p>
    <w:p w:rsidR="003D5AC4" w:rsidRPr="000C3A94" w:rsidRDefault="003D5AC4" w:rsidP="003D5AC4">
      <w:pPr>
        <w:pStyle w:val="2normal"/>
        <w:jc w:val="both"/>
        <w:rPr>
          <w:rFonts w:cs="Arial"/>
          <w:sz w:val="20"/>
          <w:szCs w:val="20"/>
          <w:lang w:val="ru-RU"/>
        </w:rPr>
      </w:pPr>
      <w:r w:rsidRPr="000C3A94">
        <w:rPr>
          <w:rFonts w:cs="Arial"/>
          <w:sz w:val="20"/>
          <w:szCs w:val="20"/>
          <w:lang w:val="ru-RU"/>
        </w:rPr>
        <w:t>Идентификация операционного риска осуществляется через ежедневный анализ данных о реализованных событиях операционного риска и понесенном ущербе, ежеквартальный анализ сведений, предоставляемых структурными подразделениями, а также по результатам сценарного анализа по операционным рискам, внутреннего аудита бизнес-процессов с целью выявления причин и предпосылок возможного причинения ущерба, регулярный анализ действующих внутренних нормативных документов.</w:t>
      </w:r>
    </w:p>
    <w:p w:rsidR="003D5AC4" w:rsidRPr="000C3A94" w:rsidRDefault="003D5AC4" w:rsidP="003D5AC4">
      <w:pPr>
        <w:pStyle w:val="2normal"/>
        <w:jc w:val="both"/>
        <w:rPr>
          <w:rFonts w:cs="Arial"/>
          <w:sz w:val="20"/>
          <w:szCs w:val="20"/>
          <w:lang w:val="ru-RU"/>
        </w:rPr>
      </w:pPr>
      <w:r w:rsidRPr="000C3A94">
        <w:rPr>
          <w:rFonts w:cs="Arial"/>
          <w:sz w:val="20"/>
          <w:szCs w:val="20"/>
          <w:lang w:val="ru-RU"/>
        </w:rPr>
        <w:t xml:space="preserve">Оценка операционного риска </w:t>
      </w:r>
      <w:r>
        <w:rPr>
          <w:rFonts w:cs="Arial"/>
          <w:sz w:val="20"/>
          <w:szCs w:val="20"/>
          <w:lang w:val="ru-RU"/>
        </w:rPr>
        <w:t>в отчетном периоде осуществлялась</w:t>
      </w:r>
      <w:r w:rsidRPr="000C3A94">
        <w:rPr>
          <w:rFonts w:cs="Arial"/>
          <w:sz w:val="20"/>
          <w:szCs w:val="20"/>
          <w:lang w:val="ru-RU"/>
        </w:rPr>
        <w:t xml:space="preserve"> Банком в соответствие с Положение Банка России 3 ноября 2009 года №346-П «О порядке расчета размера операционного риска».</w:t>
      </w:r>
    </w:p>
    <w:p w:rsidR="003D5AC4" w:rsidRPr="000C3A94" w:rsidRDefault="003D5AC4" w:rsidP="003D5AC4">
      <w:pPr>
        <w:pStyle w:val="2normal"/>
        <w:jc w:val="both"/>
        <w:rPr>
          <w:rFonts w:cs="Arial"/>
          <w:sz w:val="20"/>
          <w:szCs w:val="20"/>
          <w:lang w:val="ru-RU"/>
        </w:rPr>
      </w:pPr>
      <w:r w:rsidRPr="000C3A94">
        <w:rPr>
          <w:rFonts w:cs="Arial"/>
          <w:sz w:val="20"/>
          <w:szCs w:val="20"/>
          <w:lang w:val="ru-RU"/>
        </w:rPr>
        <w:t xml:space="preserve">Основным методом минимизации операционного риска, контролируемого на уровне Банка, является разработка организационной структуры, внутренних правил и процедур совершения банковских операций и других сделок таким образом, чтобы исключить (минимизировать) возможность возникновения факторов операционного риска. При этом особое внимание уделяется </w:t>
      </w:r>
      <w:r w:rsidRPr="000C3A94">
        <w:rPr>
          <w:rFonts w:cs="Arial"/>
          <w:sz w:val="20"/>
          <w:szCs w:val="20"/>
          <w:lang w:val="ru-RU"/>
        </w:rPr>
        <w:lastRenderedPageBreak/>
        <w:t>соблюдению принципов разделения полномочий, порядка утверждения (согласования) и подотчетности по проводимым банковским операциям и другим сделкам.</w:t>
      </w:r>
    </w:p>
    <w:p w:rsidR="003D5AC4" w:rsidRPr="000C3A94" w:rsidRDefault="003D5AC4" w:rsidP="003D5AC4">
      <w:pPr>
        <w:jc w:val="both"/>
        <w:rPr>
          <w:rFonts w:cs="Arial"/>
          <w:sz w:val="20"/>
          <w:szCs w:val="20"/>
          <w:lang w:val="ru-RU"/>
        </w:rPr>
      </w:pPr>
      <w:r w:rsidRPr="000C3A94">
        <w:rPr>
          <w:rFonts w:cs="Arial"/>
          <w:sz w:val="20"/>
          <w:szCs w:val="20"/>
          <w:lang w:val="ru-RU"/>
        </w:rPr>
        <w:t>Факты реализации значительных операционных рисков, приведших к существенным для Банка потерям, в отчетном периоде отсутствовали.</w:t>
      </w:r>
    </w:p>
    <w:p w:rsidR="003D5AC4" w:rsidRPr="000C3A94" w:rsidRDefault="003D5AC4" w:rsidP="003D5AC4">
      <w:pPr>
        <w:jc w:val="both"/>
        <w:rPr>
          <w:rFonts w:cs="Arial"/>
          <w:b/>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Регуляторный риск</w:t>
      </w:r>
      <w:r w:rsidRPr="000C3A94">
        <w:rPr>
          <w:rFonts w:cs="Arial"/>
          <w:sz w:val="20"/>
          <w:szCs w:val="20"/>
          <w:lang w:val="ru-RU"/>
        </w:rPr>
        <w:t xml:space="preserve"> - риск возникновения у Банка убытков из-за несоблюдения законодательства РФ, внутренних документов Банка, а также в результате применения санкций и (или) иных мер воздействия со стороны надзорных органов. Регуляторный риск может быть порожден любыми операциями (сделками) Банка.</w:t>
      </w:r>
    </w:p>
    <w:p w:rsidR="003D5AC4" w:rsidRPr="000C3A94" w:rsidRDefault="003D5AC4" w:rsidP="003D5AC4">
      <w:pPr>
        <w:jc w:val="both"/>
        <w:rPr>
          <w:rFonts w:cs="Arial"/>
          <w:sz w:val="20"/>
          <w:szCs w:val="20"/>
          <w:lang w:val="ru-RU"/>
        </w:rPr>
      </w:pPr>
      <w:r w:rsidRPr="000C3A94">
        <w:rPr>
          <w:rFonts w:cs="Arial"/>
          <w:sz w:val="20"/>
          <w:szCs w:val="20"/>
          <w:lang w:val="ru-RU"/>
        </w:rPr>
        <w:t>Идентификация регуляторного риска состоит в выявлении уровня подверженности функционирования Банка проявлению юридических санкций или санкций со стороны регулирующих органов, а также иных убытков из-за несоблюдения Банком нормативных законодательных актов.</w:t>
      </w:r>
    </w:p>
    <w:p w:rsidR="003D5AC4" w:rsidRPr="000C3A94" w:rsidRDefault="003D5AC4" w:rsidP="003D5AC4">
      <w:pPr>
        <w:jc w:val="both"/>
        <w:rPr>
          <w:rFonts w:cs="Arial"/>
          <w:sz w:val="20"/>
          <w:szCs w:val="20"/>
          <w:lang w:val="ru-RU"/>
        </w:rPr>
      </w:pPr>
      <w:r w:rsidRPr="000C3A94">
        <w:rPr>
          <w:rFonts w:cs="Arial"/>
          <w:sz w:val="20"/>
          <w:szCs w:val="20"/>
          <w:lang w:val="ru-RU"/>
        </w:rPr>
        <w:t>Метод оценки регуляторного риска предполагает оценку вероятности наступления неблагоприятных событий (инцидентов) или обстоятельств, приводящих к регуляторному риску, и оценку потенциальных убытков.</w:t>
      </w:r>
    </w:p>
    <w:p w:rsidR="003D5AC4" w:rsidRPr="000C3A94" w:rsidRDefault="003D5AC4" w:rsidP="003D5AC4">
      <w:pPr>
        <w:jc w:val="both"/>
        <w:rPr>
          <w:rFonts w:cs="Arial"/>
          <w:sz w:val="20"/>
          <w:szCs w:val="20"/>
          <w:lang w:val="ru-RU"/>
        </w:rPr>
      </w:pPr>
      <w:r w:rsidRPr="000C3A94">
        <w:rPr>
          <w:rFonts w:cs="Arial"/>
          <w:sz w:val="20"/>
          <w:szCs w:val="20"/>
          <w:lang w:val="ru-RU"/>
        </w:rPr>
        <w:t xml:space="preserve">По мере накопления и систематизации данных о реализованном регуляторном риске, формирования и накопления базы данных о понесённых Банком регуляторных убытках и событиях регуляторного риска возможен последовательный переход к оценке регуляторного риска с использованием метода статистического анализа и метода количественной оценки. </w:t>
      </w:r>
    </w:p>
    <w:p w:rsidR="003D5AC4" w:rsidRPr="000C3A94" w:rsidRDefault="003D5AC4" w:rsidP="003D5AC4">
      <w:pPr>
        <w:jc w:val="both"/>
        <w:rPr>
          <w:rFonts w:cs="Arial"/>
          <w:sz w:val="20"/>
          <w:szCs w:val="20"/>
          <w:lang w:val="ru-RU"/>
        </w:rPr>
      </w:pPr>
      <w:r w:rsidRPr="000C3A94">
        <w:rPr>
          <w:rFonts w:cs="Arial"/>
          <w:sz w:val="20"/>
          <w:szCs w:val="20"/>
          <w:lang w:val="ru-RU"/>
        </w:rPr>
        <w:t>Регуляторный риск относится к нефинансовым рискам, в отношении него не осуществляется количественная оценка потребности в капитале.</w:t>
      </w:r>
    </w:p>
    <w:p w:rsidR="003D5AC4" w:rsidRPr="000C3A94" w:rsidRDefault="003D5AC4" w:rsidP="003D5AC4">
      <w:pPr>
        <w:jc w:val="both"/>
        <w:rPr>
          <w:rFonts w:cs="Arial"/>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Стратегический риск</w:t>
      </w:r>
      <w:r w:rsidRPr="000C3A94">
        <w:rPr>
          <w:rFonts w:cs="Arial"/>
          <w:sz w:val="20"/>
          <w:szCs w:val="20"/>
          <w:lang w:val="ru-RU"/>
        </w:rPr>
        <w:t xml:space="preserve"> - риск неблагоприятного изменения результатов деятельности Банка вследствие принятия ошибочных решений в процессе управления Банком, в том числе при разработке, утверждении и реализации стратегии развития Банка, ненадлежащем исполнении принятых решений, а также неспособности органов управления Банка учитывать изменения внешних факторов.</w:t>
      </w:r>
    </w:p>
    <w:p w:rsidR="003D5AC4" w:rsidRPr="000C3A94" w:rsidRDefault="003D5AC4" w:rsidP="003D5AC4">
      <w:pPr>
        <w:jc w:val="both"/>
        <w:rPr>
          <w:rFonts w:cs="Arial"/>
          <w:sz w:val="20"/>
          <w:szCs w:val="20"/>
          <w:lang w:val="ru-RU"/>
        </w:rPr>
      </w:pPr>
      <w:r w:rsidRPr="000C3A94">
        <w:rPr>
          <w:rFonts w:cs="Arial"/>
          <w:sz w:val="20"/>
          <w:szCs w:val="20"/>
          <w:lang w:val="ru-RU"/>
        </w:rPr>
        <w:t>Стратегический риск может возникнуть на всех этапах управления Банка (в силу изменчивости внешних факторов), при этом наиболее явно этот риск выражен на этапе разработки, утверждения и реализации стратегии развития Банка.</w:t>
      </w:r>
    </w:p>
    <w:p w:rsidR="003D5AC4" w:rsidRPr="000C3A94" w:rsidRDefault="003D5AC4" w:rsidP="003D5AC4">
      <w:pPr>
        <w:jc w:val="both"/>
        <w:rPr>
          <w:rFonts w:cs="Arial"/>
          <w:sz w:val="20"/>
          <w:szCs w:val="20"/>
          <w:lang w:val="ru-RU"/>
        </w:rPr>
      </w:pPr>
      <w:r w:rsidRPr="000C3A94">
        <w:rPr>
          <w:rFonts w:cs="Arial"/>
          <w:sz w:val="20"/>
          <w:szCs w:val="20"/>
          <w:lang w:val="ru-RU"/>
        </w:rPr>
        <w:t>Выявление стратегического риска происходит на всех этапах разработки, утверждения и реализации стратегии развития Банка путем анализа эффективности принятых / принимаемых управленческих решений, их соответствия изменяющимся внешним условиям.</w:t>
      </w:r>
    </w:p>
    <w:p w:rsidR="003D5AC4" w:rsidRPr="000C3A94" w:rsidRDefault="003D5AC4" w:rsidP="003D5AC4">
      <w:pPr>
        <w:jc w:val="both"/>
        <w:rPr>
          <w:rFonts w:cs="Arial"/>
          <w:sz w:val="20"/>
          <w:szCs w:val="20"/>
          <w:lang w:val="ru-RU"/>
        </w:rPr>
      </w:pPr>
      <w:r w:rsidRPr="000C3A94">
        <w:rPr>
          <w:rFonts w:cs="Arial"/>
          <w:sz w:val="20"/>
          <w:szCs w:val="20"/>
          <w:lang w:val="ru-RU"/>
        </w:rPr>
        <w:t>Стратегический риск носит качественный характер. На регулярной основе органы управления Банка оценивают выполнение Банком утверждённой стратегии развития, а также соответствия этой стратегии внешним факторам.</w:t>
      </w:r>
    </w:p>
    <w:p w:rsidR="003D5AC4" w:rsidRPr="000C3A94" w:rsidRDefault="003D5AC4" w:rsidP="003D5AC4">
      <w:pPr>
        <w:jc w:val="both"/>
        <w:rPr>
          <w:rFonts w:cs="Arial"/>
          <w:sz w:val="20"/>
          <w:szCs w:val="20"/>
          <w:lang w:val="ru-RU"/>
        </w:rPr>
      </w:pPr>
      <w:r w:rsidRPr="000C3A94">
        <w:rPr>
          <w:rFonts w:cs="Arial"/>
          <w:sz w:val="20"/>
          <w:szCs w:val="20"/>
          <w:lang w:val="ru-RU"/>
        </w:rPr>
        <w:t>Риск может быть ограничен пересмотром стратегии, плана развития (по мере необходимости, но не реже одного раза в год).</w:t>
      </w:r>
    </w:p>
    <w:p w:rsidR="003D5AC4" w:rsidRPr="000C3A94" w:rsidRDefault="003D5AC4" w:rsidP="003D5AC4">
      <w:pPr>
        <w:jc w:val="both"/>
        <w:rPr>
          <w:rFonts w:cs="Arial"/>
          <w:b/>
          <w:sz w:val="20"/>
          <w:szCs w:val="20"/>
          <w:lang w:val="ru-RU"/>
        </w:rPr>
      </w:pPr>
    </w:p>
    <w:p w:rsidR="003D5AC4" w:rsidRPr="000C3A94" w:rsidRDefault="003D5AC4" w:rsidP="003D5AC4">
      <w:pPr>
        <w:jc w:val="both"/>
        <w:rPr>
          <w:rFonts w:cs="Arial"/>
          <w:b/>
          <w:sz w:val="20"/>
          <w:szCs w:val="20"/>
          <w:lang w:val="ru-RU"/>
        </w:rPr>
      </w:pPr>
      <w:r w:rsidRPr="000C3A94">
        <w:rPr>
          <w:rFonts w:cs="Arial"/>
          <w:b/>
          <w:sz w:val="20"/>
          <w:szCs w:val="20"/>
          <w:lang w:val="ru-RU"/>
        </w:rPr>
        <w:t>Информация о размере рисков, которым подвержен Банк за</w:t>
      </w:r>
      <w:r>
        <w:rPr>
          <w:rFonts w:cs="Arial"/>
          <w:b/>
          <w:sz w:val="20"/>
          <w:szCs w:val="20"/>
          <w:lang w:val="ru-RU"/>
        </w:rPr>
        <w:t xml:space="preserve"> 31.12</w:t>
      </w:r>
      <w:r w:rsidRPr="000C3A94">
        <w:rPr>
          <w:rFonts w:cs="Arial"/>
          <w:b/>
          <w:sz w:val="20"/>
          <w:szCs w:val="20"/>
          <w:lang w:val="ru-RU"/>
        </w:rPr>
        <w:t>.2018 года, изменения по сравнению с предыдущим отчетным периодом в части подверженности рискам:</w:t>
      </w:r>
    </w:p>
    <w:p w:rsidR="003D5AC4" w:rsidRPr="000C3A94" w:rsidRDefault="003D5AC4" w:rsidP="003D5AC4">
      <w:pPr>
        <w:jc w:val="right"/>
        <w:rPr>
          <w:rFonts w:cs="Arial"/>
          <w:szCs w:val="18"/>
          <w:lang w:val="ru-RU"/>
        </w:rPr>
      </w:pPr>
    </w:p>
    <w:tbl>
      <w:tblPr>
        <w:tblW w:w="9356" w:type="dxa"/>
        <w:tblInd w:w="108" w:type="dxa"/>
        <w:tblLook w:val="04A0" w:firstRow="1" w:lastRow="0" w:firstColumn="1" w:lastColumn="0" w:noHBand="0" w:noVBand="1"/>
      </w:tblPr>
      <w:tblGrid>
        <w:gridCol w:w="3828"/>
        <w:gridCol w:w="1701"/>
        <w:gridCol w:w="2268"/>
        <w:gridCol w:w="1559"/>
      </w:tblGrid>
      <w:tr w:rsidR="003D5AC4" w:rsidRPr="00A732FD" w:rsidTr="00B53D00">
        <w:trPr>
          <w:trHeight w:val="368"/>
          <w:tblHeader/>
        </w:trPr>
        <w:tc>
          <w:tcPr>
            <w:tcW w:w="3828"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Показатель</w:t>
            </w:r>
          </w:p>
        </w:tc>
        <w:tc>
          <w:tcPr>
            <w:tcW w:w="1701" w:type="dxa"/>
            <w:tcBorders>
              <w:top w:val="single" w:sz="4" w:space="0" w:color="auto"/>
              <w:left w:val="nil"/>
              <w:bottom w:val="single" w:sz="8" w:space="0" w:color="auto"/>
              <w:right w:val="nil"/>
            </w:tcBorders>
            <w:vAlign w:val="bottom"/>
          </w:tcPr>
          <w:p w:rsidR="003D5AC4" w:rsidRPr="0099222E" w:rsidRDefault="003D5AC4" w:rsidP="00B53D00">
            <w:pPr>
              <w:overflowPunct/>
              <w:autoSpaceDE/>
              <w:autoSpaceDN/>
              <w:adjustRightInd/>
              <w:jc w:val="center"/>
              <w:textAlignment w:val="auto"/>
              <w:rPr>
                <w:rFonts w:cs="Arial"/>
                <w:b/>
                <w:bCs/>
                <w:szCs w:val="18"/>
                <w:lang w:val="ru-RU" w:eastAsia="ru-RU"/>
              </w:rPr>
            </w:pPr>
            <w:r w:rsidRPr="0099222E">
              <w:rPr>
                <w:rFonts w:cs="Arial"/>
                <w:b/>
                <w:bCs/>
                <w:szCs w:val="18"/>
                <w:lang w:val="ru-RU" w:eastAsia="ru-RU"/>
              </w:rPr>
              <w:t>31.12.2018</w:t>
            </w:r>
          </w:p>
        </w:tc>
        <w:tc>
          <w:tcPr>
            <w:tcW w:w="2268" w:type="dxa"/>
            <w:tcBorders>
              <w:top w:val="single" w:sz="4" w:space="0" w:color="auto"/>
              <w:left w:val="nil"/>
              <w:bottom w:val="single" w:sz="8" w:space="0" w:color="auto"/>
              <w:right w:val="nil"/>
            </w:tcBorders>
            <w:shd w:val="clear" w:color="auto" w:fill="auto"/>
            <w:noWrap/>
            <w:vAlign w:val="bottom"/>
            <w:hideMark/>
          </w:tcPr>
          <w:p w:rsidR="003D5AC4" w:rsidRPr="0099222E" w:rsidRDefault="003D5AC4" w:rsidP="00B53D00">
            <w:pPr>
              <w:overflowPunct/>
              <w:autoSpaceDE/>
              <w:autoSpaceDN/>
              <w:adjustRightInd/>
              <w:jc w:val="center"/>
              <w:textAlignment w:val="auto"/>
              <w:rPr>
                <w:rFonts w:cs="Arial"/>
                <w:b/>
                <w:bCs/>
                <w:szCs w:val="18"/>
                <w:lang w:val="ru-RU" w:eastAsia="ru-RU"/>
              </w:rPr>
            </w:pPr>
            <w:r w:rsidRPr="0099222E">
              <w:rPr>
                <w:rFonts w:cs="Arial"/>
                <w:b/>
                <w:bCs/>
                <w:szCs w:val="18"/>
                <w:lang w:val="ru-RU" w:eastAsia="ru-RU"/>
              </w:rPr>
              <w:t>31.12.2017</w:t>
            </w:r>
          </w:p>
        </w:tc>
        <w:tc>
          <w:tcPr>
            <w:tcW w:w="1559" w:type="dxa"/>
            <w:tcBorders>
              <w:top w:val="single" w:sz="4" w:space="0" w:color="auto"/>
              <w:left w:val="nil"/>
              <w:bottom w:val="single" w:sz="8" w:space="0" w:color="auto"/>
              <w:right w:val="nil"/>
            </w:tcBorders>
          </w:tcPr>
          <w:p w:rsidR="003D5AC4" w:rsidRPr="0099222E" w:rsidRDefault="003D5AC4" w:rsidP="00B53D00">
            <w:pPr>
              <w:overflowPunct/>
              <w:autoSpaceDE/>
              <w:autoSpaceDN/>
              <w:adjustRightInd/>
              <w:jc w:val="center"/>
              <w:textAlignment w:val="auto"/>
              <w:rPr>
                <w:rFonts w:cs="Arial"/>
                <w:b/>
                <w:bCs/>
                <w:szCs w:val="18"/>
                <w:lang w:val="ru-RU" w:eastAsia="ru-RU"/>
              </w:rPr>
            </w:pPr>
          </w:p>
          <w:p w:rsidR="003D5AC4" w:rsidRPr="0099222E" w:rsidRDefault="003D5AC4" w:rsidP="00B53D00">
            <w:pPr>
              <w:overflowPunct/>
              <w:autoSpaceDE/>
              <w:autoSpaceDN/>
              <w:adjustRightInd/>
              <w:jc w:val="center"/>
              <w:textAlignment w:val="auto"/>
              <w:rPr>
                <w:rFonts w:cs="Arial"/>
                <w:b/>
                <w:bCs/>
                <w:szCs w:val="18"/>
                <w:lang w:val="ru-RU" w:eastAsia="ru-RU"/>
              </w:rPr>
            </w:pPr>
            <w:r w:rsidRPr="0099222E">
              <w:rPr>
                <w:rFonts w:cs="Arial"/>
                <w:b/>
                <w:bCs/>
                <w:szCs w:val="18"/>
                <w:lang w:val="ru-RU" w:eastAsia="ru-RU"/>
              </w:rPr>
              <w:t>Изменение</w:t>
            </w:r>
          </w:p>
        </w:tc>
      </w:tr>
      <w:tr w:rsidR="003D5AC4" w:rsidRPr="00A732FD" w:rsidTr="00B53D00">
        <w:trPr>
          <w:trHeight w:val="368"/>
        </w:trPr>
        <w:tc>
          <w:tcPr>
            <w:tcW w:w="3828" w:type="dxa"/>
            <w:tcBorders>
              <w:top w:val="nil"/>
              <w:left w:val="nil"/>
              <w:bottom w:val="nil"/>
              <w:right w:val="nil"/>
            </w:tcBorders>
            <w:shd w:val="clear" w:color="auto" w:fill="auto"/>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Кредитные риски</w:t>
            </w:r>
          </w:p>
        </w:tc>
        <w:tc>
          <w:tcPr>
            <w:tcW w:w="1701" w:type="dxa"/>
            <w:tcBorders>
              <w:top w:val="nil"/>
              <w:left w:val="nil"/>
              <w:bottom w:val="nil"/>
              <w:right w:val="nil"/>
            </w:tcBorders>
            <w:vAlign w:val="bottom"/>
          </w:tcPr>
          <w:p w:rsidR="003D5AC4" w:rsidRPr="00FC7BCC" w:rsidRDefault="003D5AC4" w:rsidP="00B53D00">
            <w:pPr>
              <w:overflowPunct/>
              <w:autoSpaceDE/>
              <w:autoSpaceDN/>
              <w:adjustRightInd/>
              <w:jc w:val="center"/>
              <w:textAlignment w:val="auto"/>
              <w:rPr>
                <w:rFonts w:cs="Arial"/>
                <w:szCs w:val="18"/>
                <w:lang w:val="ru-RU" w:eastAsia="ru-RU"/>
              </w:rPr>
            </w:pPr>
            <w:r w:rsidRPr="0099222E">
              <w:rPr>
                <w:rFonts w:cs="Arial"/>
                <w:szCs w:val="18"/>
                <w:lang w:val="en-US" w:eastAsia="ru-RU"/>
              </w:rPr>
              <w:t>8</w:t>
            </w:r>
            <w:r>
              <w:rPr>
                <w:rFonts w:cs="Arial"/>
                <w:szCs w:val="18"/>
                <w:lang w:val="en-US" w:eastAsia="ru-RU"/>
              </w:rPr>
              <w:t> </w:t>
            </w:r>
            <w:r>
              <w:rPr>
                <w:rFonts w:cs="Arial"/>
                <w:szCs w:val="18"/>
                <w:lang w:val="ru-RU" w:eastAsia="ru-RU"/>
              </w:rPr>
              <w:t>185 775</w:t>
            </w:r>
          </w:p>
        </w:tc>
        <w:tc>
          <w:tcPr>
            <w:tcW w:w="2268" w:type="dxa"/>
            <w:tcBorders>
              <w:top w:val="nil"/>
              <w:left w:val="nil"/>
              <w:bottom w:val="nil"/>
              <w:right w:val="nil"/>
            </w:tcBorders>
            <w:shd w:val="clear" w:color="auto" w:fill="auto"/>
            <w:vAlign w:val="bottom"/>
            <w:hideMark/>
          </w:tcPr>
          <w:p w:rsidR="003D5AC4" w:rsidRPr="0099222E" w:rsidRDefault="003D5AC4" w:rsidP="00B53D00">
            <w:pPr>
              <w:overflowPunct/>
              <w:autoSpaceDE/>
              <w:autoSpaceDN/>
              <w:adjustRightInd/>
              <w:jc w:val="center"/>
              <w:textAlignment w:val="auto"/>
              <w:rPr>
                <w:rFonts w:cs="Arial"/>
                <w:szCs w:val="18"/>
                <w:lang w:val="en-US" w:eastAsia="ru-RU"/>
              </w:rPr>
            </w:pPr>
            <w:r w:rsidRPr="0099222E">
              <w:rPr>
                <w:rFonts w:cs="Arial"/>
                <w:szCs w:val="18"/>
                <w:lang w:val="en-US" w:eastAsia="ru-RU"/>
              </w:rPr>
              <w:t>7 463 848</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p>
          <w:p w:rsidR="003D5AC4" w:rsidRPr="008F66A8"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721 927</w:t>
            </w:r>
          </w:p>
        </w:tc>
      </w:tr>
      <w:tr w:rsidR="003D5AC4" w:rsidRPr="00A732FD" w:rsidTr="00B53D00">
        <w:trPr>
          <w:trHeight w:val="135"/>
        </w:trPr>
        <w:tc>
          <w:tcPr>
            <w:tcW w:w="3828"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Валютный риск</w:t>
            </w:r>
          </w:p>
        </w:tc>
        <w:tc>
          <w:tcPr>
            <w:tcW w:w="1701" w:type="dxa"/>
            <w:tcBorders>
              <w:top w:val="nil"/>
              <w:left w:val="nil"/>
              <w:bottom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2268" w:type="dxa"/>
            <w:tcBorders>
              <w:top w:val="nil"/>
              <w:left w:val="nil"/>
              <w:bottom w:val="nil"/>
              <w:right w:val="nil"/>
            </w:tcBorders>
            <w:shd w:val="clear" w:color="auto" w:fill="auto"/>
            <w:vAlign w:val="bottom"/>
            <w:hideMark/>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116 765</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en-US" w:eastAsia="ru-RU"/>
              </w:rPr>
            </w:pPr>
            <w:r w:rsidRPr="0099222E">
              <w:rPr>
                <w:rFonts w:cs="Arial"/>
                <w:szCs w:val="18"/>
                <w:lang w:val="ru-RU" w:eastAsia="ru-RU"/>
              </w:rPr>
              <w:t>- 116 765</w:t>
            </w:r>
          </w:p>
        </w:tc>
      </w:tr>
      <w:tr w:rsidR="003D5AC4" w:rsidRPr="000C3A94" w:rsidTr="00B53D00">
        <w:trPr>
          <w:trHeight w:val="198"/>
        </w:trPr>
        <w:tc>
          <w:tcPr>
            <w:tcW w:w="3828"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Процентный риск</w:t>
            </w:r>
          </w:p>
        </w:tc>
        <w:tc>
          <w:tcPr>
            <w:tcW w:w="1701" w:type="dxa"/>
            <w:tcBorders>
              <w:top w:val="nil"/>
              <w:left w:val="nil"/>
              <w:bottom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 xml:space="preserve">3 620 439 </w:t>
            </w:r>
          </w:p>
        </w:tc>
        <w:tc>
          <w:tcPr>
            <w:tcW w:w="2268" w:type="dxa"/>
            <w:tcBorders>
              <w:top w:val="nil"/>
              <w:left w:val="nil"/>
              <w:bottom w:val="nil"/>
              <w:right w:val="nil"/>
            </w:tcBorders>
            <w:shd w:val="clear" w:color="auto" w:fill="auto"/>
            <w:vAlign w:val="bottom"/>
            <w:hideMark/>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6 962 113</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- 3 341 674</w:t>
            </w:r>
          </w:p>
        </w:tc>
      </w:tr>
      <w:tr w:rsidR="003D5AC4" w:rsidRPr="000C3A94" w:rsidTr="00B53D00">
        <w:trPr>
          <w:trHeight w:val="163"/>
        </w:trPr>
        <w:tc>
          <w:tcPr>
            <w:tcW w:w="3828"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Операционный риск</w:t>
            </w:r>
          </w:p>
        </w:tc>
        <w:tc>
          <w:tcPr>
            <w:tcW w:w="1701" w:type="dxa"/>
            <w:tcBorders>
              <w:top w:val="nil"/>
              <w:left w:val="nil"/>
              <w:bottom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2 707 175</w:t>
            </w:r>
          </w:p>
        </w:tc>
        <w:tc>
          <w:tcPr>
            <w:tcW w:w="2268" w:type="dxa"/>
            <w:tcBorders>
              <w:top w:val="nil"/>
              <w:left w:val="nil"/>
              <w:bottom w:val="nil"/>
              <w:right w:val="nil"/>
            </w:tcBorders>
            <w:shd w:val="clear" w:color="auto" w:fill="auto"/>
            <w:vAlign w:val="bottom"/>
            <w:hideMark/>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3 345 825</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- 638 650</w:t>
            </w:r>
          </w:p>
        </w:tc>
      </w:tr>
      <w:tr w:rsidR="003D5AC4" w:rsidRPr="000C3A94" w:rsidTr="00B53D00">
        <w:trPr>
          <w:trHeight w:val="120"/>
        </w:trPr>
        <w:tc>
          <w:tcPr>
            <w:tcW w:w="3828" w:type="dxa"/>
            <w:tcBorders>
              <w:top w:val="nil"/>
              <w:left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Риск ликвидности</w:t>
            </w:r>
          </w:p>
        </w:tc>
        <w:tc>
          <w:tcPr>
            <w:tcW w:w="1701" w:type="dxa"/>
            <w:tcBorders>
              <w:top w:val="nil"/>
              <w:left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2268" w:type="dxa"/>
            <w:tcBorders>
              <w:top w:val="nil"/>
              <w:left w:val="nil"/>
              <w:right w:val="nil"/>
            </w:tcBorders>
            <w:shd w:val="clear" w:color="auto" w:fill="auto"/>
            <w:vAlign w:val="bottom"/>
            <w:hideMark/>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1559" w:type="dxa"/>
            <w:tcBorders>
              <w:top w:val="nil"/>
              <w:left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r>
      <w:tr w:rsidR="003D5AC4" w:rsidRPr="000C3A94" w:rsidTr="00B53D00">
        <w:trPr>
          <w:trHeight w:val="130"/>
        </w:trPr>
        <w:tc>
          <w:tcPr>
            <w:tcW w:w="3828"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Риск концентрации</w:t>
            </w:r>
          </w:p>
        </w:tc>
        <w:tc>
          <w:tcPr>
            <w:tcW w:w="1701" w:type="dxa"/>
            <w:tcBorders>
              <w:top w:val="nil"/>
              <w:left w:val="nil"/>
              <w:bottom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2268" w:type="dxa"/>
            <w:tcBorders>
              <w:top w:val="nil"/>
              <w:left w:val="nil"/>
              <w:bottom w:val="nil"/>
              <w:right w:val="nil"/>
            </w:tcBorders>
            <w:shd w:val="clear" w:color="auto" w:fill="auto"/>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r>
      <w:tr w:rsidR="003D5AC4" w:rsidRPr="000C3A94" w:rsidTr="00B53D00">
        <w:trPr>
          <w:trHeight w:val="130"/>
        </w:trPr>
        <w:tc>
          <w:tcPr>
            <w:tcW w:w="3828" w:type="dxa"/>
            <w:tcBorders>
              <w:top w:val="nil"/>
              <w:left w:val="nil"/>
              <w:bottom w:val="nil"/>
              <w:right w:val="nil"/>
            </w:tcBorders>
            <w:shd w:val="clear" w:color="auto" w:fill="auto"/>
            <w:noWrap/>
            <w:vAlign w:val="bottom"/>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Регуляторный риск</w:t>
            </w:r>
          </w:p>
        </w:tc>
        <w:tc>
          <w:tcPr>
            <w:tcW w:w="1701" w:type="dxa"/>
            <w:tcBorders>
              <w:top w:val="nil"/>
              <w:left w:val="nil"/>
              <w:bottom w:val="nil"/>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2268" w:type="dxa"/>
            <w:tcBorders>
              <w:top w:val="nil"/>
              <w:left w:val="nil"/>
              <w:bottom w:val="nil"/>
              <w:right w:val="nil"/>
            </w:tcBorders>
            <w:shd w:val="clear" w:color="auto" w:fill="auto"/>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1559" w:type="dxa"/>
            <w:tcBorders>
              <w:top w:val="nil"/>
              <w:left w:val="nil"/>
              <w:bottom w:val="nil"/>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r>
      <w:tr w:rsidR="003D5AC4" w:rsidRPr="000C3A94" w:rsidTr="00B53D00">
        <w:trPr>
          <w:trHeight w:val="130"/>
        </w:trPr>
        <w:tc>
          <w:tcPr>
            <w:tcW w:w="3828" w:type="dxa"/>
            <w:tcBorders>
              <w:top w:val="nil"/>
              <w:left w:val="nil"/>
              <w:bottom w:val="double" w:sz="4" w:space="0" w:color="auto"/>
              <w:right w:val="nil"/>
            </w:tcBorders>
            <w:shd w:val="clear" w:color="auto" w:fill="auto"/>
            <w:noWrap/>
            <w:vAlign w:val="bottom"/>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Стратегический риск</w:t>
            </w:r>
          </w:p>
        </w:tc>
        <w:tc>
          <w:tcPr>
            <w:tcW w:w="1701" w:type="dxa"/>
            <w:tcBorders>
              <w:top w:val="nil"/>
              <w:left w:val="nil"/>
              <w:bottom w:val="double" w:sz="4" w:space="0" w:color="auto"/>
              <w:right w:val="nil"/>
            </w:tcBorders>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2268" w:type="dxa"/>
            <w:tcBorders>
              <w:top w:val="nil"/>
              <w:left w:val="nil"/>
              <w:bottom w:val="double" w:sz="4" w:space="0" w:color="auto"/>
              <w:right w:val="nil"/>
            </w:tcBorders>
            <w:shd w:val="clear" w:color="auto" w:fill="auto"/>
            <w:vAlign w:val="bottom"/>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c>
          <w:tcPr>
            <w:tcW w:w="1559" w:type="dxa"/>
            <w:tcBorders>
              <w:top w:val="nil"/>
              <w:left w:val="nil"/>
              <w:bottom w:val="double" w:sz="4" w:space="0" w:color="auto"/>
              <w:right w:val="nil"/>
            </w:tcBorders>
          </w:tcPr>
          <w:p w:rsidR="003D5AC4" w:rsidRPr="0099222E" w:rsidRDefault="003D5AC4" w:rsidP="00B53D00">
            <w:pPr>
              <w:overflowPunct/>
              <w:autoSpaceDE/>
              <w:autoSpaceDN/>
              <w:adjustRightInd/>
              <w:jc w:val="center"/>
              <w:textAlignment w:val="auto"/>
              <w:rPr>
                <w:rFonts w:cs="Arial"/>
                <w:szCs w:val="18"/>
                <w:lang w:val="ru-RU" w:eastAsia="ru-RU"/>
              </w:rPr>
            </w:pPr>
            <w:r w:rsidRPr="0099222E">
              <w:rPr>
                <w:rFonts w:cs="Arial"/>
                <w:szCs w:val="18"/>
                <w:lang w:val="ru-RU" w:eastAsia="ru-RU"/>
              </w:rPr>
              <w:t>-</w:t>
            </w:r>
          </w:p>
        </w:tc>
      </w:tr>
    </w:tbl>
    <w:p w:rsidR="003D5AC4" w:rsidRPr="000C3A94" w:rsidRDefault="003D5AC4" w:rsidP="003D5AC4">
      <w:pPr>
        <w:jc w:val="both"/>
        <w:rPr>
          <w:rFonts w:cs="Arial"/>
          <w:sz w:val="20"/>
          <w:szCs w:val="20"/>
          <w:lang w:val="ru-RU"/>
        </w:rPr>
      </w:pPr>
    </w:p>
    <w:p w:rsidR="003D5AC4" w:rsidRPr="00972358" w:rsidRDefault="003D5AC4" w:rsidP="003D5AC4">
      <w:pPr>
        <w:jc w:val="both"/>
        <w:rPr>
          <w:rFonts w:cs="Arial"/>
          <w:sz w:val="20"/>
          <w:szCs w:val="20"/>
          <w:lang w:val="ru-RU"/>
        </w:rPr>
      </w:pPr>
      <w:r w:rsidRPr="00972358">
        <w:rPr>
          <w:rFonts w:cs="Arial"/>
          <w:sz w:val="20"/>
          <w:szCs w:val="20"/>
          <w:lang w:val="ru-RU"/>
        </w:rPr>
        <w:t>Изменение показателя кредитные риски по итогам отчетного периода составило</w:t>
      </w:r>
      <w:r>
        <w:rPr>
          <w:rFonts w:cs="Arial"/>
          <w:sz w:val="20"/>
          <w:szCs w:val="20"/>
          <w:lang w:val="ru-RU"/>
        </w:rPr>
        <w:t xml:space="preserve"> 721 927</w:t>
      </w:r>
      <w:r w:rsidRPr="00972358">
        <w:rPr>
          <w:rFonts w:cs="Arial"/>
          <w:sz w:val="20"/>
          <w:szCs w:val="20"/>
          <w:lang w:val="ru-RU"/>
        </w:rPr>
        <w:t xml:space="preserve"> тыс. руб. </w:t>
      </w:r>
      <w:r>
        <w:rPr>
          <w:rFonts w:cs="Arial"/>
          <w:sz w:val="20"/>
          <w:szCs w:val="20"/>
          <w:lang w:val="ru-RU"/>
        </w:rPr>
        <w:t>изменение произошло</w:t>
      </w:r>
      <w:r w:rsidRPr="00972358">
        <w:rPr>
          <w:rFonts w:cs="Arial"/>
          <w:sz w:val="20"/>
          <w:szCs w:val="20"/>
          <w:lang w:val="ru-RU"/>
        </w:rPr>
        <w:t xml:space="preserve"> по </w:t>
      </w:r>
      <w:r w:rsidRPr="00972358">
        <w:rPr>
          <w:rFonts w:cs="Arial"/>
          <w:sz w:val="20"/>
          <w:szCs w:val="20"/>
          <w:lang w:val="en-US"/>
        </w:rPr>
        <w:t>I</w:t>
      </w:r>
      <w:r w:rsidRPr="00972358">
        <w:rPr>
          <w:rFonts w:cs="Arial"/>
          <w:sz w:val="20"/>
          <w:szCs w:val="20"/>
          <w:lang w:val="ru-RU"/>
        </w:rPr>
        <w:t xml:space="preserve"> группе активов за счет увеличения объемов МБК за 31.12.2018 года,</w:t>
      </w:r>
      <w:r>
        <w:rPr>
          <w:rFonts w:cs="Arial"/>
          <w:sz w:val="20"/>
          <w:szCs w:val="20"/>
          <w:lang w:val="ru-RU"/>
        </w:rPr>
        <w:t xml:space="preserve"> увеличение</w:t>
      </w:r>
      <w:r w:rsidRPr="00972358">
        <w:rPr>
          <w:rFonts w:cs="Arial"/>
          <w:sz w:val="20"/>
          <w:szCs w:val="20"/>
          <w:lang w:val="ru-RU"/>
        </w:rPr>
        <w:t xml:space="preserve"> объема портфеля кредитов по </w:t>
      </w:r>
      <w:r w:rsidRPr="00972358">
        <w:rPr>
          <w:rFonts w:cs="Arial"/>
          <w:sz w:val="20"/>
          <w:szCs w:val="20"/>
          <w:lang w:val="en-US"/>
        </w:rPr>
        <w:t>IV</w:t>
      </w:r>
      <w:r w:rsidRPr="00972358">
        <w:rPr>
          <w:rFonts w:cs="Arial"/>
          <w:sz w:val="20"/>
          <w:szCs w:val="20"/>
          <w:lang w:val="ru-RU"/>
        </w:rPr>
        <w:t xml:space="preserve"> группе активов.  </w:t>
      </w:r>
    </w:p>
    <w:p w:rsidR="003D5AC4" w:rsidRPr="00972358" w:rsidRDefault="003D5AC4" w:rsidP="003D5AC4">
      <w:pPr>
        <w:jc w:val="both"/>
        <w:rPr>
          <w:rFonts w:cs="Arial"/>
          <w:sz w:val="20"/>
          <w:szCs w:val="20"/>
          <w:lang w:val="ru-RU"/>
        </w:rPr>
      </w:pPr>
      <w:r w:rsidRPr="00972358">
        <w:rPr>
          <w:rFonts w:cs="Arial"/>
          <w:sz w:val="20"/>
          <w:szCs w:val="20"/>
          <w:lang w:val="ru-RU"/>
        </w:rPr>
        <w:t>Сокращение объемов открытой валютной позиции на отчетную дату. По состоянию за 31.12.2018 года валютный риск не входил в расчет норматива достаточности капитала, так как на дату расчета величины рыночного риска процентное соотношение суммы открытых валютных позиций в отдельных иностранных валютах и отдельных драгоценных металлах и величины собственных средств (капитала) Банка составляло менее 2%.</w:t>
      </w:r>
    </w:p>
    <w:p w:rsidR="003D5AC4" w:rsidRPr="00972358" w:rsidRDefault="003D5AC4" w:rsidP="003D5AC4">
      <w:pPr>
        <w:jc w:val="both"/>
        <w:rPr>
          <w:rFonts w:cs="Arial"/>
          <w:sz w:val="20"/>
          <w:szCs w:val="20"/>
          <w:lang w:val="ru-RU"/>
        </w:rPr>
      </w:pPr>
      <w:r w:rsidRPr="00972358">
        <w:rPr>
          <w:rFonts w:cs="Arial"/>
          <w:sz w:val="20"/>
          <w:szCs w:val="20"/>
          <w:lang w:val="ru-RU"/>
        </w:rPr>
        <w:t xml:space="preserve">Изменение в объеме процентного риска вызвано снижением объема портфеля ценных бумаг в отчетном периоде, а также снижением суммы специального процентного риска по отдельным </w:t>
      </w:r>
      <w:r w:rsidRPr="00972358">
        <w:rPr>
          <w:rFonts w:cs="Arial"/>
          <w:sz w:val="20"/>
          <w:szCs w:val="20"/>
          <w:lang w:val="ru-RU"/>
        </w:rPr>
        <w:lastRenderedPageBreak/>
        <w:t>ценным бумагам, связанное с улучшением качества эмитентов (переход в группу ценных бумаг с низким риском).</w:t>
      </w:r>
    </w:p>
    <w:p w:rsidR="003D5AC4" w:rsidRPr="00972358" w:rsidRDefault="003D5AC4" w:rsidP="003D5AC4">
      <w:pPr>
        <w:jc w:val="both"/>
        <w:rPr>
          <w:rFonts w:cs="Arial"/>
          <w:sz w:val="20"/>
          <w:szCs w:val="20"/>
          <w:lang w:val="ru-RU"/>
        </w:rPr>
      </w:pPr>
      <w:r w:rsidRPr="00972358">
        <w:rPr>
          <w:rFonts w:cs="Arial"/>
          <w:sz w:val="20"/>
          <w:szCs w:val="20"/>
          <w:lang w:val="ru-RU"/>
        </w:rPr>
        <w:t>Изменений в отношении операционного риска в отчетном периоде составило 638 650 тыс. руб.</w:t>
      </w:r>
    </w:p>
    <w:p w:rsidR="003D5AC4" w:rsidRPr="00972358" w:rsidRDefault="003D5AC4" w:rsidP="003D5AC4">
      <w:pPr>
        <w:jc w:val="both"/>
        <w:rPr>
          <w:rFonts w:cs="Arial"/>
          <w:sz w:val="20"/>
          <w:szCs w:val="20"/>
          <w:lang w:val="ru-RU"/>
        </w:rPr>
      </w:pPr>
      <w:r w:rsidRPr="00972358">
        <w:rPr>
          <w:rFonts w:cs="Arial"/>
          <w:sz w:val="20"/>
          <w:szCs w:val="20"/>
          <w:lang w:val="ru-RU"/>
        </w:rPr>
        <w:t xml:space="preserve">На протяжении всего периода Банк имел существенный запас по нормативам ликвидности. Профиль риска концентрации, регуляторного и стратегического рисков в анализируемом периоде не изменился.  </w:t>
      </w:r>
    </w:p>
    <w:p w:rsidR="003D5AC4" w:rsidRPr="000C3A94" w:rsidRDefault="003D5AC4" w:rsidP="003D5AC4">
      <w:pPr>
        <w:jc w:val="both"/>
        <w:rPr>
          <w:rFonts w:cs="Arial"/>
          <w:sz w:val="20"/>
          <w:szCs w:val="20"/>
          <w:lang w:val="ru-RU"/>
        </w:rPr>
      </w:pPr>
      <w:r w:rsidRPr="00972358">
        <w:rPr>
          <w:rFonts w:cs="Arial"/>
          <w:sz w:val="20"/>
          <w:szCs w:val="20"/>
          <w:lang w:val="ru-RU"/>
        </w:rPr>
        <w:t>Существенные изменения в систему управления рисками в отчетном периоде не вносились.</w:t>
      </w:r>
    </w:p>
    <w:p w:rsidR="003D5AC4" w:rsidRDefault="003D5AC4" w:rsidP="003D5AC4">
      <w:pPr>
        <w:jc w:val="both"/>
        <w:rPr>
          <w:rFonts w:cs="Arial"/>
          <w:b/>
          <w:sz w:val="20"/>
          <w:szCs w:val="20"/>
          <w:lang w:val="ru-RU"/>
        </w:rPr>
      </w:pPr>
    </w:p>
    <w:p w:rsidR="003D5AC4" w:rsidRPr="000C3A94" w:rsidRDefault="003D5AC4" w:rsidP="003D5AC4">
      <w:pPr>
        <w:jc w:val="both"/>
        <w:rPr>
          <w:rFonts w:cs="Arial"/>
          <w:sz w:val="20"/>
          <w:szCs w:val="20"/>
          <w:lang w:val="ru-RU"/>
        </w:rPr>
      </w:pPr>
      <w:r w:rsidRPr="000C3A94">
        <w:rPr>
          <w:rFonts w:cs="Arial"/>
          <w:b/>
          <w:sz w:val="20"/>
          <w:szCs w:val="20"/>
          <w:lang w:val="ru-RU"/>
        </w:rPr>
        <w:t>Риск концентрации</w:t>
      </w:r>
      <w:r w:rsidRPr="000C3A94">
        <w:rPr>
          <w:rFonts w:cs="Arial"/>
          <w:sz w:val="20"/>
          <w:szCs w:val="20"/>
          <w:lang w:val="ru-RU"/>
        </w:rPr>
        <w:t xml:space="preserve"> - риск, возникающий в связи с подверженностью Банка крупным рискам, реализация которых может привести к значительным убыткам, способным создать угрозу для платежеспособности Банка и ее способности продолжать свою деятельность. Риск концентрации может возникнуть в результате любых операций с активами, обязательствами Банка, приводящими к возникновению:</w:t>
      </w:r>
    </w:p>
    <w:p w:rsidR="003D5AC4" w:rsidRPr="000C3A94" w:rsidRDefault="003D5AC4" w:rsidP="003D5AC4">
      <w:pPr>
        <w:jc w:val="both"/>
        <w:rPr>
          <w:rFonts w:cs="Arial"/>
          <w:sz w:val="20"/>
          <w:szCs w:val="20"/>
          <w:lang w:val="ru-RU"/>
        </w:rPr>
      </w:pPr>
      <w:r w:rsidRPr="000C3A94">
        <w:rPr>
          <w:rFonts w:cs="Arial"/>
          <w:sz w:val="20"/>
          <w:szCs w:val="20"/>
          <w:lang w:val="ru-RU"/>
        </w:rPr>
        <w:t>- значительного объема требований к одному контрагенту или группе связанных контрагентов;</w:t>
      </w:r>
    </w:p>
    <w:p w:rsidR="003D5AC4" w:rsidRPr="000C3A94" w:rsidRDefault="003D5AC4" w:rsidP="003D5AC4">
      <w:pPr>
        <w:jc w:val="both"/>
        <w:rPr>
          <w:rFonts w:cs="Arial"/>
          <w:sz w:val="20"/>
          <w:szCs w:val="20"/>
          <w:lang w:val="ru-RU"/>
        </w:rPr>
      </w:pPr>
      <w:r w:rsidRPr="000C3A94">
        <w:rPr>
          <w:rFonts w:cs="Arial"/>
          <w:sz w:val="20"/>
          <w:szCs w:val="20"/>
          <w:lang w:val="ru-RU"/>
        </w:rPr>
        <w:t>- значительного объема вложений в инструменты одного типа и инструменты, стоимость которых зависит от изменений общих факторов;</w:t>
      </w:r>
    </w:p>
    <w:p w:rsidR="003D5AC4" w:rsidRPr="000C3A94" w:rsidRDefault="003D5AC4" w:rsidP="003D5AC4">
      <w:pPr>
        <w:jc w:val="both"/>
        <w:rPr>
          <w:rFonts w:cs="Arial"/>
          <w:sz w:val="20"/>
          <w:szCs w:val="20"/>
          <w:lang w:val="ru-RU"/>
        </w:rPr>
      </w:pPr>
      <w:r w:rsidRPr="000C3A94">
        <w:rPr>
          <w:rFonts w:cs="Arial"/>
          <w:sz w:val="20"/>
          <w:szCs w:val="20"/>
          <w:lang w:val="ru-RU"/>
        </w:rPr>
        <w:t>- значительного размера кредитных требований к контрагентам в одном секторе экономики или географической зоне, а также кредитных требований, номинированные в одной валюте (отличной от валюты Российской Федерации);</w:t>
      </w:r>
    </w:p>
    <w:p w:rsidR="003D5AC4" w:rsidRPr="000C3A94" w:rsidRDefault="003D5AC4" w:rsidP="003D5AC4">
      <w:pPr>
        <w:jc w:val="both"/>
        <w:rPr>
          <w:rFonts w:cs="Arial"/>
          <w:sz w:val="20"/>
          <w:szCs w:val="20"/>
          <w:lang w:val="ru-RU"/>
        </w:rPr>
      </w:pPr>
      <w:r w:rsidRPr="000C3A94">
        <w:rPr>
          <w:rFonts w:cs="Arial"/>
          <w:sz w:val="20"/>
          <w:szCs w:val="20"/>
          <w:lang w:val="ru-RU"/>
        </w:rPr>
        <w:t>- значительного размера кредитных требований к контрагентам, финансовые результаты которых зависят от осуществления одного и того же вида деятельности или реализации одних и тех же товаров и услуг.</w:t>
      </w:r>
    </w:p>
    <w:p w:rsidR="003D5AC4" w:rsidRPr="000C3A94" w:rsidRDefault="003D5AC4" w:rsidP="003D5AC4">
      <w:pPr>
        <w:jc w:val="both"/>
        <w:rPr>
          <w:rFonts w:cs="Arial"/>
          <w:sz w:val="20"/>
          <w:szCs w:val="20"/>
          <w:lang w:val="ru-RU"/>
        </w:rPr>
      </w:pPr>
      <w:r w:rsidRPr="000C3A94">
        <w:rPr>
          <w:rFonts w:cs="Arial"/>
          <w:sz w:val="20"/>
          <w:szCs w:val="20"/>
          <w:lang w:val="ru-RU"/>
        </w:rPr>
        <w:t>При этом значительным признается объем требований, признание которого безнадежным может привести к утрате собственных средств (капитала) Банка либо к снижению их достаточности ниже установленного Банком России уровня. Риск концентрации может также проявляться в форме высокой зависимость Банка от отдельных видов доходов и от отдельных источников ликвидности.</w:t>
      </w:r>
    </w:p>
    <w:p w:rsidR="003D5AC4" w:rsidRPr="000C3A94" w:rsidRDefault="003D5AC4" w:rsidP="003D5AC4">
      <w:pPr>
        <w:jc w:val="both"/>
        <w:rPr>
          <w:rFonts w:cs="Arial"/>
          <w:sz w:val="20"/>
          <w:szCs w:val="20"/>
          <w:lang w:val="ru-RU"/>
        </w:rPr>
      </w:pPr>
      <w:r w:rsidRPr="000C3A94">
        <w:rPr>
          <w:rFonts w:cs="Arial"/>
          <w:sz w:val="20"/>
          <w:szCs w:val="20"/>
          <w:lang w:val="ru-RU"/>
        </w:rPr>
        <w:t>Идентификация риска концентрации осуществляется путем выявления наличия значительного объема требований в отношении отдельных контрагентов (групп связанных контрагентов), секторов экономики, географических зон. При оценке значительности Банком используются как абсолютные показатели (величина фактической задолженности), так и относительные (отношение объема требований к общему объему активов, собственным средствам (капиталу), чистой прибыли).</w:t>
      </w:r>
    </w:p>
    <w:p w:rsidR="003D5AC4" w:rsidRPr="000C3A94" w:rsidRDefault="003D5AC4" w:rsidP="003D5AC4">
      <w:pPr>
        <w:jc w:val="both"/>
        <w:rPr>
          <w:rFonts w:cs="Arial"/>
          <w:sz w:val="20"/>
          <w:szCs w:val="20"/>
          <w:lang w:val="ru-RU"/>
        </w:rPr>
      </w:pPr>
      <w:r w:rsidRPr="000C3A94">
        <w:rPr>
          <w:rFonts w:cs="Arial"/>
          <w:sz w:val="20"/>
          <w:szCs w:val="20"/>
          <w:lang w:val="ru-RU"/>
        </w:rPr>
        <w:t>Оценка риска концентрации учитывается Банком в рамках процедур управления иными («профильными») значимыми рисками. В рамках расчета достаточности собственных средств (капитала) Банк в отношении риска (отдельных его форм) не определяет требования к капиталу. В рамках внутренних процедур оценки достаточности капитала Банк риск концентрации учитывается в форме повышения требований по капиталу со стороны иных («профильных») значимых рисков.</w:t>
      </w:r>
    </w:p>
    <w:p w:rsidR="003D5AC4" w:rsidRPr="000C3A94" w:rsidRDefault="003D5AC4" w:rsidP="003D5AC4">
      <w:pPr>
        <w:jc w:val="both"/>
        <w:rPr>
          <w:rFonts w:cs="Arial"/>
          <w:sz w:val="20"/>
          <w:szCs w:val="20"/>
          <w:lang w:val="ru-RU"/>
        </w:rPr>
      </w:pPr>
      <w:r w:rsidRPr="000C3A94">
        <w:rPr>
          <w:rFonts w:cs="Arial"/>
          <w:sz w:val="20"/>
          <w:szCs w:val="20"/>
          <w:lang w:val="ru-RU"/>
        </w:rPr>
        <w:t xml:space="preserve">К основным методам минимизации рисков концентрации относятся: </w:t>
      </w:r>
    </w:p>
    <w:p w:rsidR="003D5AC4" w:rsidRPr="000C3A94" w:rsidRDefault="003D5AC4" w:rsidP="003D5AC4">
      <w:pPr>
        <w:jc w:val="both"/>
        <w:rPr>
          <w:rFonts w:cs="Arial"/>
          <w:sz w:val="20"/>
          <w:szCs w:val="20"/>
          <w:lang w:val="ru-RU"/>
        </w:rPr>
      </w:pPr>
      <w:r w:rsidRPr="000C3A94">
        <w:rPr>
          <w:rFonts w:cs="Arial"/>
          <w:sz w:val="20"/>
          <w:szCs w:val="20"/>
          <w:lang w:val="ru-RU"/>
        </w:rPr>
        <w:t>- установление консервативных лимитов на предельный объем требований (в абсолютном или относительном значении);</w:t>
      </w:r>
    </w:p>
    <w:p w:rsidR="003D5AC4" w:rsidRPr="000C3A94" w:rsidRDefault="003D5AC4" w:rsidP="003D5AC4">
      <w:pPr>
        <w:jc w:val="both"/>
        <w:rPr>
          <w:rFonts w:cs="Arial"/>
          <w:sz w:val="20"/>
          <w:szCs w:val="20"/>
          <w:lang w:val="ru-RU"/>
        </w:rPr>
      </w:pPr>
      <w:r w:rsidRPr="000C3A94">
        <w:rPr>
          <w:rFonts w:cs="Arial"/>
          <w:sz w:val="20"/>
          <w:szCs w:val="20"/>
          <w:lang w:val="ru-RU"/>
        </w:rPr>
        <w:t>- установление требований о вовлечении более высокого уровня системы принятия решений по сделкам, приводящим к более высоким рискам концентрации (необходимость принятия решения и/или одобрения сделок более высоким уровнем Кредитного комитета, Правлением Банка, Советом Директоров);</w:t>
      </w:r>
    </w:p>
    <w:p w:rsidR="003D5AC4" w:rsidRPr="000C3A94" w:rsidRDefault="003D5AC4" w:rsidP="003D5AC4">
      <w:pPr>
        <w:jc w:val="both"/>
        <w:rPr>
          <w:rFonts w:cs="Arial"/>
          <w:sz w:val="20"/>
          <w:szCs w:val="20"/>
          <w:lang w:val="ru-RU"/>
        </w:rPr>
      </w:pPr>
      <w:r w:rsidRPr="000C3A94">
        <w:rPr>
          <w:rFonts w:cs="Arial"/>
          <w:sz w:val="20"/>
          <w:szCs w:val="20"/>
          <w:lang w:val="ru-RU"/>
        </w:rPr>
        <w:t>- непрерывный контроль за соблюдением установленных лимитов.</w:t>
      </w:r>
    </w:p>
    <w:p w:rsidR="003D5AC4" w:rsidRPr="000C3A94" w:rsidRDefault="003D5AC4" w:rsidP="003D5AC4">
      <w:pPr>
        <w:jc w:val="both"/>
        <w:rPr>
          <w:rFonts w:cs="Arial"/>
          <w:sz w:val="20"/>
          <w:szCs w:val="20"/>
          <w:lang w:val="ru-RU"/>
        </w:rPr>
      </w:pPr>
      <w:r w:rsidRPr="000C3A94">
        <w:rPr>
          <w:rFonts w:cs="Arial"/>
          <w:sz w:val="20"/>
          <w:szCs w:val="20"/>
          <w:lang w:val="ru-RU"/>
        </w:rPr>
        <w:t xml:space="preserve">Ответственные подразделения на регулярной основе формируют отчеты, характеризующие текущее состояние риска концентрации, его динамику за отчетный период. В список указанных отчетов входят: </w:t>
      </w:r>
    </w:p>
    <w:p w:rsidR="003D5AC4" w:rsidRPr="000C3A94" w:rsidRDefault="003D5AC4" w:rsidP="003D5AC4">
      <w:pPr>
        <w:jc w:val="both"/>
        <w:rPr>
          <w:rFonts w:cs="Arial"/>
          <w:sz w:val="20"/>
          <w:szCs w:val="20"/>
          <w:lang w:val="ru-RU"/>
        </w:rPr>
      </w:pPr>
      <w:r w:rsidRPr="000C3A94">
        <w:rPr>
          <w:rFonts w:cs="Arial"/>
          <w:sz w:val="20"/>
          <w:szCs w:val="20"/>
          <w:lang w:val="ru-RU"/>
        </w:rPr>
        <w:t>- информация о крупных ссудах (в том числе по форме отчетности 0409117 ЦБ РФ);</w:t>
      </w:r>
    </w:p>
    <w:p w:rsidR="003D5AC4" w:rsidRPr="000C3A94" w:rsidRDefault="003D5AC4" w:rsidP="003D5AC4">
      <w:pPr>
        <w:jc w:val="both"/>
        <w:rPr>
          <w:rFonts w:cs="Arial"/>
          <w:sz w:val="20"/>
          <w:szCs w:val="20"/>
          <w:lang w:val="ru-RU"/>
        </w:rPr>
      </w:pPr>
      <w:r w:rsidRPr="000C3A94">
        <w:rPr>
          <w:rFonts w:cs="Arial"/>
          <w:sz w:val="20"/>
          <w:szCs w:val="20"/>
          <w:lang w:val="ru-RU"/>
        </w:rPr>
        <w:t>- информация о концентрации кредитного риска (в том числе по форме отчетности 0409118 ЦБ РФ);</w:t>
      </w:r>
    </w:p>
    <w:p w:rsidR="003D5AC4" w:rsidRPr="000C3A94" w:rsidRDefault="003D5AC4" w:rsidP="003D5AC4">
      <w:pPr>
        <w:jc w:val="both"/>
        <w:rPr>
          <w:rFonts w:cs="Arial"/>
          <w:sz w:val="20"/>
          <w:szCs w:val="20"/>
          <w:lang w:val="ru-RU"/>
        </w:rPr>
      </w:pPr>
      <w:r w:rsidRPr="000C3A94">
        <w:rPr>
          <w:rFonts w:cs="Arial"/>
          <w:sz w:val="20"/>
          <w:szCs w:val="20"/>
          <w:lang w:val="ru-RU"/>
        </w:rPr>
        <w:t>- информация о распределении требований к контрагентам – нерезидентам (страновой риск)</w:t>
      </w:r>
    </w:p>
    <w:p w:rsidR="003D5AC4" w:rsidRPr="000C3A94" w:rsidRDefault="003D5AC4" w:rsidP="003D5AC4">
      <w:pPr>
        <w:jc w:val="both"/>
        <w:rPr>
          <w:rFonts w:cs="Arial"/>
          <w:sz w:val="20"/>
          <w:szCs w:val="20"/>
          <w:lang w:val="ru-RU"/>
        </w:rPr>
      </w:pPr>
      <w:r w:rsidRPr="000C3A94">
        <w:rPr>
          <w:rFonts w:cs="Arial"/>
          <w:sz w:val="20"/>
          <w:szCs w:val="20"/>
          <w:lang w:val="ru-RU"/>
        </w:rPr>
        <w:t>- сведения о размещенных и привлеченных средствах в разрезе типов контрагентов, видов экономической деятельности (в том числе по форме отчетности 0409302 ЦБ РФ);</w:t>
      </w:r>
    </w:p>
    <w:p w:rsidR="003D5AC4" w:rsidRPr="000C3A94" w:rsidRDefault="003D5AC4" w:rsidP="003D5AC4">
      <w:pPr>
        <w:jc w:val="both"/>
        <w:rPr>
          <w:rFonts w:cs="Arial"/>
          <w:sz w:val="20"/>
          <w:szCs w:val="20"/>
          <w:lang w:val="ru-RU"/>
        </w:rPr>
      </w:pPr>
      <w:r w:rsidRPr="000C3A94">
        <w:rPr>
          <w:rFonts w:cs="Arial"/>
          <w:sz w:val="20"/>
          <w:szCs w:val="20"/>
          <w:lang w:val="ru-RU"/>
        </w:rPr>
        <w:t>- данные о риске концентрации (по форме отчетности 0409120 ЦБ РФ).</w:t>
      </w:r>
    </w:p>
    <w:p w:rsidR="003D5AC4" w:rsidRPr="000C3A94" w:rsidRDefault="003D5AC4" w:rsidP="003D5AC4">
      <w:pPr>
        <w:jc w:val="both"/>
        <w:rPr>
          <w:rFonts w:cs="Arial"/>
          <w:sz w:val="20"/>
          <w:szCs w:val="20"/>
          <w:lang w:val="ru-RU"/>
        </w:rPr>
      </w:pPr>
    </w:p>
    <w:p w:rsidR="003D5AC4" w:rsidRPr="000C3A94" w:rsidRDefault="003D5AC4" w:rsidP="003D5AC4">
      <w:pPr>
        <w:jc w:val="both"/>
        <w:rPr>
          <w:rFonts w:cs="Arial"/>
          <w:sz w:val="20"/>
          <w:szCs w:val="20"/>
          <w:lang w:val="ru-RU"/>
        </w:rPr>
      </w:pPr>
      <w:r w:rsidRPr="000C3A94">
        <w:rPr>
          <w:rFonts w:cs="Arial"/>
          <w:sz w:val="20"/>
          <w:szCs w:val="20"/>
          <w:lang w:val="ru-RU"/>
        </w:rPr>
        <w:t xml:space="preserve">Банк на ежеквартальной основе составляет отчетность о риске концентрации (по форме отчетности 0409120 ЦБ РФ), которая включает в себя сведения об уровне риска концентрации, возникающем в связи с подверженностью </w:t>
      </w:r>
      <w:r>
        <w:rPr>
          <w:rFonts w:cs="Arial"/>
          <w:sz w:val="20"/>
          <w:szCs w:val="20"/>
          <w:lang w:val="ru-RU"/>
        </w:rPr>
        <w:t>Банка</w:t>
      </w:r>
      <w:r w:rsidRPr="000C3A94">
        <w:rPr>
          <w:rFonts w:cs="Arial"/>
          <w:sz w:val="20"/>
          <w:szCs w:val="20"/>
          <w:lang w:val="ru-RU"/>
        </w:rPr>
        <w:t xml:space="preserve"> крупным рискам, реализация которых может привести к значительным убыткам, способным создать угрозу для платежеспособности и способности </w:t>
      </w:r>
      <w:r>
        <w:rPr>
          <w:rFonts w:cs="Arial"/>
          <w:sz w:val="20"/>
          <w:szCs w:val="20"/>
          <w:lang w:val="ru-RU"/>
        </w:rPr>
        <w:t xml:space="preserve">Банка </w:t>
      </w:r>
      <w:r w:rsidRPr="000C3A94">
        <w:rPr>
          <w:rFonts w:cs="Arial"/>
          <w:sz w:val="20"/>
          <w:szCs w:val="20"/>
          <w:lang w:val="ru-RU"/>
        </w:rPr>
        <w:t xml:space="preserve">продолжать свою деятельность. </w:t>
      </w:r>
    </w:p>
    <w:p w:rsidR="003D5AC4" w:rsidRPr="000C3A94" w:rsidRDefault="003D5AC4" w:rsidP="003D5AC4">
      <w:pPr>
        <w:jc w:val="both"/>
        <w:rPr>
          <w:rFonts w:cs="Arial"/>
          <w:sz w:val="20"/>
          <w:szCs w:val="20"/>
          <w:lang w:val="ru-RU"/>
        </w:rPr>
      </w:pPr>
      <w:r w:rsidRPr="000C3A94">
        <w:rPr>
          <w:rFonts w:cs="Arial"/>
          <w:sz w:val="20"/>
          <w:szCs w:val="20"/>
          <w:lang w:val="ru-RU"/>
        </w:rPr>
        <w:t xml:space="preserve">Отчетность предназначена для отражения сведений об уровне риска концентрации Банка в разрезе видов экономической деятельности контрагентов, географических зон, видов </w:t>
      </w:r>
      <w:r w:rsidRPr="000C3A94">
        <w:rPr>
          <w:rFonts w:cs="Arial"/>
          <w:sz w:val="20"/>
          <w:szCs w:val="20"/>
          <w:lang w:val="ru-RU"/>
        </w:rPr>
        <w:lastRenderedPageBreak/>
        <w:t xml:space="preserve">инструментов и отдельных источников ликвидности, а также об имеющихся у кредитной организации процедурах по управлению риском концентрации, о видах установленных лимитов. </w:t>
      </w:r>
    </w:p>
    <w:p w:rsidR="003D5AC4" w:rsidRPr="000C3A94" w:rsidRDefault="003D5AC4" w:rsidP="003D5AC4">
      <w:pPr>
        <w:jc w:val="both"/>
        <w:rPr>
          <w:rFonts w:cs="Arial"/>
          <w:sz w:val="20"/>
          <w:szCs w:val="20"/>
          <w:lang w:val="ru-RU"/>
        </w:rPr>
      </w:pPr>
      <w:r w:rsidRPr="000C3A94">
        <w:rPr>
          <w:rFonts w:cs="Arial"/>
          <w:sz w:val="20"/>
          <w:szCs w:val="20"/>
          <w:lang w:val="ru-RU"/>
        </w:rPr>
        <w:t>В рамках процедур по ограничению риска концентрации Банк устанавливает следующую систему лимитов в рамках отчетного периода:</w:t>
      </w:r>
    </w:p>
    <w:p w:rsidR="003D5AC4" w:rsidRPr="000C3A94" w:rsidRDefault="003D5AC4" w:rsidP="003D5AC4">
      <w:pPr>
        <w:jc w:val="both"/>
        <w:rPr>
          <w:rFonts w:cs="Arial"/>
          <w:sz w:val="20"/>
          <w:szCs w:val="20"/>
          <w:lang w:val="ru-RU"/>
        </w:rPr>
      </w:pPr>
      <w:r w:rsidRPr="000C3A94">
        <w:rPr>
          <w:rFonts w:cs="Arial"/>
          <w:sz w:val="20"/>
          <w:szCs w:val="20"/>
          <w:lang w:val="ru-RU"/>
        </w:rPr>
        <w:t>- на отдельных крупных контрагентов (групп связанных контрагентов) – чистая экспозиция не должна превышать 25% от величины собственных средств (капитала) Банка;</w:t>
      </w:r>
    </w:p>
    <w:p w:rsidR="003D5AC4" w:rsidRPr="000C3A94" w:rsidRDefault="003D5AC4" w:rsidP="003D5AC4">
      <w:pPr>
        <w:jc w:val="both"/>
        <w:rPr>
          <w:rFonts w:cs="Arial"/>
          <w:sz w:val="20"/>
          <w:szCs w:val="20"/>
          <w:lang w:val="ru-RU"/>
        </w:rPr>
      </w:pPr>
      <w:r w:rsidRPr="000C3A94">
        <w:rPr>
          <w:rFonts w:cs="Arial"/>
          <w:sz w:val="20"/>
          <w:szCs w:val="20"/>
          <w:lang w:val="ru-RU"/>
        </w:rPr>
        <w:t xml:space="preserve">- на объем требований к одному сектору экономики – не более </w:t>
      </w:r>
      <w:r>
        <w:rPr>
          <w:rFonts w:cs="Arial"/>
          <w:sz w:val="20"/>
          <w:szCs w:val="20"/>
          <w:lang w:val="ru-RU"/>
        </w:rPr>
        <w:t>50</w:t>
      </w:r>
      <w:r w:rsidRPr="000C3A94">
        <w:rPr>
          <w:rFonts w:cs="Arial"/>
          <w:sz w:val="20"/>
          <w:szCs w:val="20"/>
          <w:lang w:val="ru-RU"/>
        </w:rPr>
        <w:t>% от величины активов Банка на каждую отрасль;</w:t>
      </w:r>
    </w:p>
    <w:p w:rsidR="003D5AC4" w:rsidRPr="000C3A94" w:rsidRDefault="003D5AC4" w:rsidP="003D5AC4">
      <w:pPr>
        <w:jc w:val="both"/>
        <w:rPr>
          <w:rFonts w:cs="Arial"/>
          <w:sz w:val="20"/>
          <w:szCs w:val="20"/>
          <w:lang w:val="ru-RU"/>
        </w:rPr>
      </w:pPr>
      <w:r w:rsidRPr="000C3A94">
        <w:rPr>
          <w:rFonts w:cs="Arial"/>
          <w:sz w:val="20"/>
          <w:szCs w:val="20"/>
          <w:lang w:val="ru-RU"/>
        </w:rPr>
        <w:t>- на объем требований к контрагентам, зарегистрированным и осуществляющим свою деятельность на территории РФ – не более 10% от величины активов Банка на каждый субъект РФ, за исключением регионов присутствия Банка и г. Санкт-Петербург, в отношении которых устанавливается лимит 50% от величины активов Банка;</w:t>
      </w:r>
    </w:p>
    <w:p w:rsidR="003D5AC4" w:rsidRPr="000C3A94" w:rsidRDefault="003D5AC4" w:rsidP="003D5AC4">
      <w:pPr>
        <w:jc w:val="both"/>
        <w:rPr>
          <w:rFonts w:cs="Arial"/>
          <w:sz w:val="20"/>
          <w:szCs w:val="20"/>
          <w:lang w:val="ru-RU"/>
        </w:rPr>
      </w:pPr>
      <w:r w:rsidRPr="000C3A94">
        <w:rPr>
          <w:rFonts w:cs="Arial"/>
          <w:sz w:val="20"/>
          <w:szCs w:val="20"/>
          <w:lang w:val="ru-RU"/>
        </w:rPr>
        <w:t>- на объем требований к контрагентам, зарегистрированным и осуществляющим свою деятельность в зарубежных странах (с учетом особенностей «переноса риска») – не более 20% от величины активов Банка на каждую страну;</w:t>
      </w:r>
    </w:p>
    <w:p w:rsidR="003D5AC4" w:rsidRPr="000C3A94" w:rsidRDefault="003D5AC4" w:rsidP="003D5AC4">
      <w:pPr>
        <w:jc w:val="both"/>
        <w:rPr>
          <w:rFonts w:cs="Arial"/>
          <w:sz w:val="20"/>
          <w:szCs w:val="20"/>
          <w:lang w:val="ru-RU"/>
        </w:rPr>
      </w:pPr>
      <w:r w:rsidRPr="000C3A94">
        <w:rPr>
          <w:rFonts w:cs="Arial"/>
          <w:sz w:val="20"/>
          <w:szCs w:val="20"/>
          <w:lang w:val="ru-RU"/>
        </w:rPr>
        <w:t>- на объем вложений в различные инструменты (облигации кредитных организаций-резидентов не более 30% от величины активов Банка, облигации прочих резидентов – 50% от величины активов Банка, облигации банков-нерезидентов – 30% от величины активов Банка и т.д.)</w:t>
      </w:r>
    </w:p>
    <w:p w:rsidR="003D5AC4" w:rsidRPr="000C3A94" w:rsidRDefault="003D5AC4" w:rsidP="003D5AC4">
      <w:pPr>
        <w:jc w:val="both"/>
        <w:rPr>
          <w:rFonts w:cs="Arial"/>
          <w:sz w:val="20"/>
          <w:szCs w:val="20"/>
          <w:lang w:val="ru-RU"/>
        </w:rPr>
      </w:pPr>
      <w:r w:rsidRPr="000C3A94">
        <w:rPr>
          <w:rFonts w:cs="Arial"/>
          <w:sz w:val="20"/>
          <w:szCs w:val="20"/>
          <w:lang w:val="ru-RU"/>
        </w:rPr>
        <w:t>- на отдельные виды источников ликвидности устанавливаются абсолютные значения (средства кредитных организаций не более 1</w:t>
      </w:r>
      <w:r w:rsidRPr="000C3A94">
        <w:rPr>
          <w:rFonts w:cs="Arial"/>
          <w:sz w:val="20"/>
          <w:szCs w:val="20"/>
        </w:rPr>
        <w:t> </w:t>
      </w:r>
      <w:r w:rsidRPr="000C3A94">
        <w:rPr>
          <w:rFonts w:cs="Arial"/>
          <w:sz w:val="20"/>
          <w:szCs w:val="20"/>
          <w:lang w:val="ru-RU"/>
        </w:rPr>
        <w:t>000 000 тыс. руб., средства юридических лиц – 5</w:t>
      </w:r>
      <w:r w:rsidRPr="000C3A94">
        <w:rPr>
          <w:rFonts w:cs="Arial"/>
          <w:sz w:val="20"/>
          <w:szCs w:val="20"/>
        </w:rPr>
        <w:t> </w:t>
      </w:r>
      <w:r w:rsidRPr="000C3A94">
        <w:rPr>
          <w:rFonts w:cs="Arial"/>
          <w:sz w:val="20"/>
          <w:szCs w:val="20"/>
          <w:lang w:val="ru-RU"/>
        </w:rPr>
        <w:t>000 000 тыс. руб., вклады (средства) физических лиц и ИП – 15</w:t>
      </w:r>
      <w:r w:rsidRPr="000C3A94">
        <w:rPr>
          <w:rFonts w:cs="Arial"/>
          <w:sz w:val="20"/>
          <w:szCs w:val="20"/>
        </w:rPr>
        <w:t> </w:t>
      </w:r>
      <w:r w:rsidRPr="000C3A94">
        <w:rPr>
          <w:rFonts w:cs="Arial"/>
          <w:sz w:val="20"/>
          <w:szCs w:val="20"/>
          <w:lang w:val="ru-RU"/>
        </w:rPr>
        <w:t>000 000 тыс. руб. и т.д.).</w:t>
      </w:r>
    </w:p>
    <w:p w:rsidR="003D5AC4" w:rsidRPr="000C3A94" w:rsidRDefault="003D5AC4" w:rsidP="003D5AC4">
      <w:pPr>
        <w:jc w:val="both"/>
        <w:rPr>
          <w:rFonts w:cs="Arial"/>
          <w:sz w:val="20"/>
          <w:szCs w:val="20"/>
          <w:lang w:val="ru-RU"/>
        </w:rPr>
      </w:pPr>
      <w:r w:rsidRPr="000C3A94">
        <w:rPr>
          <w:rFonts w:cs="Arial"/>
          <w:sz w:val="20"/>
          <w:szCs w:val="20"/>
          <w:lang w:val="ru-RU"/>
        </w:rPr>
        <w:t xml:space="preserve">Норматив максимального размера риска на одного заемщика или группу связанных заемщиков (Н6), регулирующий кредитный риск в отношении одного заемщика или группы связанных заемщиков по состоянию </w:t>
      </w:r>
      <w:r w:rsidRPr="00757647">
        <w:rPr>
          <w:rFonts w:cs="Arial"/>
          <w:sz w:val="20"/>
          <w:szCs w:val="20"/>
          <w:lang w:val="ru-RU"/>
        </w:rPr>
        <w:t>за 31.12.2018 года составил 18,69% (за 31.12.</w:t>
      </w:r>
      <w:r w:rsidRPr="000C3A94">
        <w:rPr>
          <w:rFonts w:cs="Arial"/>
          <w:sz w:val="20"/>
          <w:szCs w:val="20"/>
          <w:lang w:val="ru-RU"/>
        </w:rPr>
        <w:t>2017 – 19,65%). Нарушений не допускалось.</w:t>
      </w:r>
    </w:p>
    <w:p w:rsidR="003D5AC4" w:rsidRPr="000C3A94" w:rsidRDefault="003D5AC4" w:rsidP="003D5AC4">
      <w:pPr>
        <w:jc w:val="both"/>
        <w:rPr>
          <w:rFonts w:cs="Arial"/>
          <w:sz w:val="20"/>
          <w:szCs w:val="20"/>
          <w:lang w:val="ru-RU"/>
        </w:rPr>
      </w:pPr>
      <w:r w:rsidRPr="000C3A94">
        <w:rPr>
          <w:rFonts w:cs="Arial"/>
          <w:sz w:val="20"/>
          <w:szCs w:val="20"/>
          <w:lang w:val="ru-RU"/>
        </w:rPr>
        <w:t>Представлены сведения по состоянию за</w:t>
      </w:r>
      <w:r>
        <w:rPr>
          <w:rFonts w:cs="Arial"/>
          <w:sz w:val="20"/>
          <w:szCs w:val="20"/>
          <w:lang w:val="ru-RU"/>
        </w:rPr>
        <w:t xml:space="preserve"> 31.12</w:t>
      </w:r>
      <w:r w:rsidRPr="000C3A94">
        <w:rPr>
          <w:rFonts w:cs="Arial"/>
          <w:sz w:val="20"/>
          <w:szCs w:val="20"/>
          <w:lang w:val="ru-RU"/>
        </w:rPr>
        <w:t>.2018 и 31.12.2017 года об уровне риска концентрации Банка в разрезе видов экономической деятельности контрагентов и географических зон (с выделением наиболее крупных видов и зон), видов инструментов и отдельных источников ликвидности.</w:t>
      </w:r>
    </w:p>
    <w:p w:rsidR="003D5AC4" w:rsidRPr="000C3A94" w:rsidRDefault="003D5AC4" w:rsidP="003D5AC4">
      <w:pPr>
        <w:jc w:val="both"/>
        <w:rPr>
          <w:rFonts w:cs="Arial"/>
          <w:b/>
          <w:sz w:val="20"/>
          <w:szCs w:val="20"/>
          <w:lang w:val="ru-RU"/>
        </w:rPr>
      </w:pPr>
    </w:p>
    <w:p w:rsidR="003D5AC4" w:rsidRPr="000C3A94" w:rsidRDefault="003D5AC4" w:rsidP="003D5AC4">
      <w:pPr>
        <w:jc w:val="both"/>
        <w:rPr>
          <w:rFonts w:cs="Arial"/>
          <w:b/>
          <w:sz w:val="20"/>
          <w:szCs w:val="20"/>
          <w:lang w:val="ru-RU"/>
        </w:rPr>
      </w:pPr>
      <w:r w:rsidRPr="000C3A94">
        <w:rPr>
          <w:rFonts w:cs="Arial"/>
          <w:b/>
          <w:sz w:val="20"/>
          <w:szCs w:val="20"/>
          <w:lang w:val="ru-RU"/>
        </w:rPr>
        <w:t>Данные о риске концентрации по видам финансовых инструментов за</w:t>
      </w:r>
      <w:r>
        <w:rPr>
          <w:rFonts w:cs="Arial"/>
          <w:b/>
          <w:sz w:val="20"/>
          <w:szCs w:val="20"/>
          <w:lang w:val="ru-RU"/>
        </w:rPr>
        <w:t xml:space="preserve"> 31.12</w:t>
      </w:r>
      <w:r w:rsidRPr="000C3A94">
        <w:rPr>
          <w:rFonts w:cs="Arial"/>
          <w:b/>
          <w:sz w:val="20"/>
          <w:szCs w:val="20"/>
          <w:lang w:val="ru-RU"/>
        </w:rPr>
        <w:t>.2018:</w:t>
      </w:r>
    </w:p>
    <w:tbl>
      <w:tblPr>
        <w:tblW w:w="10184" w:type="dxa"/>
        <w:tblInd w:w="-601" w:type="dxa"/>
        <w:tblLook w:val="04A0" w:firstRow="1" w:lastRow="0" w:firstColumn="1" w:lastColumn="0" w:noHBand="0" w:noVBand="1"/>
      </w:tblPr>
      <w:tblGrid>
        <w:gridCol w:w="568"/>
        <w:gridCol w:w="2268"/>
        <w:gridCol w:w="1134"/>
        <w:gridCol w:w="827"/>
        <w:gridCol w:w="1157"/>
        <w:gridCol w:w="1134"/>
        <w:gridCol w:w="1046"/>
        <w:gridCol w:w="1092"/>
        <w:gridCol w:w="958"/>
      </w:tblGrid>
      <w:tr w:rsidR="003D5AC4" w:rsidRPr="00127DF3" w:rsidTr="00B53D00">
        <w:trPr>
          <w:trHeight w:val="492"/>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Наименование показателя</w:t>
            </w:r>
          </w:p>
        </w:tc>
        <w:tc>
          <w:tcPr>
            <w:tcW w:w="5298" w:type="dxa"/>
            <w:gridSpan w:val="5"/>
            <w:tcBorders>
              <w:top w:val="single" w:sz="4" w:space="0" w:color="auto"/>
              <w:left w:val="nil"/>
              <w:bottom w:val="single" w:sz="4" w:space="0" w:color="auto"/>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Объем требований (обязательств),</w:t>
            </w:r>
            <w:r w:rsidRPr="00127DF3">
              <w:rPr>
                <w:rFonts w:cs="Arial"/>
                <w:szCs w:val="18"/>
                <w:lang w:val="ru-RU" w:eastAsia="ru-RU"/>
              </w:rPr>
              <w:br/>
              <w:t>тыс. руб.</w:t>
            </w:r>
          </w:p>
        </w:tc>
        <w:tc>
          <w:tcPr>
            <w:tcW w:w="2050" w:type="dxa"/>
            <w:gridSpan w:val="2"/>
            <w:tcBorders>
              <w:top w:val="single" w:sz="4" w:space="0" w:color="auto"/>
              <w:left w:val="nil"/>
              <w:bottom w:val="single" w:sz="4" w:space="0" w:color="auto"/>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Величина риска,</w:t>
            </w:r>
            <w:r w:rsidRPr="00127DF3">
              <w:rPr>
                <w:rFonts w:cs="Arial"/>
                <w:szCs w:val="18"/>
                <w:lang w:val="ru-RU" w:eastAsia="ru-RU"/>
              </w:rPr>
              <w:br/>
              <w:t>тыс. руб.</w:t>
            </w:r>
          </w:p>
        </w:tc>
      </w:tr>
      <w:tr w:rsidR="003D5AC4" w:rsidRPr="00127DF3" w:rsidTr="00B53D00">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Всего</w:t>
            </w:r>
          </w:p>
        </w:tc>
        <w:tc>
          <w:tcPr>
            <w:tcW w:w="4164" w:type="dxa"/>
            <w:gridSpan w:val="4"/>
            <w:tcBorders>
              <w:top w:val="single" w:sz="4" w:space="0" w:color="auto"/>
              <w:left w:val="nil"/>
              <w:bottom w:val="single" w:sz="4" w:space="0" w:color="auto"/>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из них по видам:</w:t>
            </w:r>
          </w:p>
        </w:tc>
        <w:tc>
          <w:tcPr>
            <w:tcW w:w="1092" w:type="dxa"/>
            <w:tcBorders>
              <w:top w:val="nil"/>
              <w:left w:val="nil"/>
              <w:bottom w:val="single" w:sz="4" w:space="0" w:color="auto"/>
              <w:right w:val="single" w:sz="4" w:space="0" w:color="auto"/>
            </w:tcBorders>
            <w:shd w:val="clear" w:color="auto" w:fill="auto"/>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КРЗ</w:t>
            </w: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специальный рыночный риск</w:t>
            </w:r>
          </w:p>
        </w:tc>
      </w:tr>
      <w:tr w:rsidR="003D5AC4" w:rsidRPr="00127DF3" w:rsidTr="00B53D00">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82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средства в кредитных организациях</w:t>
            </w:r>
          </w:p>
        </w:tc>
        <w:tc>
          <w:tcPr>
            <w:tcW w:w="115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ссудная задолженность</w:t>
            </w: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вложения в ценные бумаги</w:t>
            </w:r>
          </w:p>
        </w:tc>
        <w:tc>
          <w:tcPr>
            <w:tcW w:w="10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обязательства кредитного характера</w:t>
            </w:r>
          </w:p>
        </w:tc>
        <w:tc>
          <w:tcPr>
            <w:tcW w:w="10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127DF3" w:rsidRDefault="003D5AC4" w:rsidP="00B53D00">
            <w:pPr>
              <w:overflowPunct/>
              <w:autoSpaceDE/>
              <w:autoSpaceDN/>
              <w:adjustRightInd/>
              <w:jc w:val="center"/>
              <w:textAlignment w:val="auto"/>
              <w:rPr>
                <w:rFonts w:cs="Arial"/>
                <w:szCs w:val="18"/>
                <w:lang w:val="ru-RU" w:eastAsia="ru-RU"/>
              </w:rPr>
            </w:pPr>
            <w:r w:rsidRPr="00127DF3">
              <w:rPr>
                <w:rFonts w:cs="Arial"/>
                <w:szCs w:val="18"/>
                <w:lang w:val="ru-RU" w:eastAsia="ru-RU"/>
              </w:rPr>
              <w:t>всего</w:t>
            </w:r>
          </w:p>
        </w:tc>
        <w:tc>
          <w:tcPr>
            <w:tcW w:w="958"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r>
      <w:tr w:rsidR="003D5AC4" w:rsidRPr="00127DF3" w:rsidTr="00B53D00">
        <w:trPr>
          <w:trHeight w:val="30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82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5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46"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92"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958"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r>
      <w:tr w:rsidR="003D5AC4" w:rsidRPr="00127DF3" w:rsidTr="00B53D00">
        <w:trPr>
          <w:trHeight w:val="552"/>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82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5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46"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92"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958"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r>
      <w:tr w:rsidR="003D5AC4" w:rsidRPr="00127DF3" w:rsidTr="00B53D00">
        <w:trPr>
          <w:trHeight w:val="54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82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57"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46"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1092"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c>
          <w:tcPr>
            <w:tcW w:w="958" w:type="dxa"/>
            <w:vMerge/>
            <w:tcBorders>
              <w:top w:val="nil"/>
              <w:left w:val="single" w:sz="4" w:space="0" w:color="auto"/>
              <w:bottom w:val="single" w:sz="4" w:space="0" w:color="auto"/>
              <w:right w:val="single" w:sz="4" w:space="0" w:color="auto"/>
            </w:tcBorders>
            <w:vAlign w:val="center"/>
            <w:hideMark/>
          </w:tcPr>
          <w:p w:rsidR="003D5AC4" w:rsidRPr="00127DF3" w:rsidRDefault="003D5AC4" w:rsidP="00B53D00">
            <w:pPr>
              <w:overflowPunct/>
              <w:autoSpaceDE/>
              <w:autoSpaceDN/>
              <w:adjustRightInd/>
              <w:textAlignment w:val="auto"/>
              <w:rPr>
                <w:rFonts w:cs="Arial"/>
                <w:szCs w:val="18"/>
                <w:lang w:val="ru-RU" w:eastAsia="ru-RU"/>
              </w:rPr>
            </w:pPr>
          </w:p>
        </w:tc>
      </w:tr>
      <w:tr w:rsidR="003D5AC4" w:rsidRPr="006C0DB6" w:rsidTr="00B53D00">
        <w:trPr>
          <w:trHeight w:val="300"/>
        </w:trPr>
        <w:tc>
          <w:tcPr>
            <w:tcW w:w="10184"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D5AC4" w:rsidRPr="00127DF3" w:rsidRDefault="003D5AC4" w:rsidP="00B53D00">
            <w:pPr>
              <w:overflowPunct/>
              <w:autoSpaceDE/>
              <w:autoSpaceDN/>
              <w:adjustRightInd/>
              <w:textAlignment w:val="auto"/>
              <w:rPr>
                <w:rFonts w:cs="Arial"/>
                <w:b/>
                <w:bCs/>
                <w:szCs w:val="18"/>
                <w:lang w:val="ru-RU" w:eastAsia="ru-RU"/>
              </w:rPr>
            </w:pPr>
            <w:r w:rsidRPr="00127DF3">
              <w:rPr>
                <w:rFonts w:cs="Arial"/>
                <w:b/>
                <w:bCs/>
                <w:szCs w:val="18"/>
                <w:lang w:val="ru-RU" w:eastAsia="ru-RU"/>
              </w:rPr>
              <w:t>1. Данные о риске концентрации по видам экономической деятельности</w:t>
            </w:r>
          </w:p>
        </w:tc>
      </w:tr>
      <w:tr w:rsidR="003D5AC4" w:rsidRPr="00127DF3" w:rsidTr="00B53D00">
        <w:trPr>
          <w:trHeight w:val="61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1.1</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Торговля оптовая, кроме оптовой торговли автотранспортными средствами и мотоциклами</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1 429 259</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977 128</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6 264</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445 867</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w:t>
            </w:r>
            <w:r>
              <w:rPr>
                <w:rFonts w:cs="Arial"/>
                <w:szCs w:val="18"/>
                <w:lang w:val="ru-RU" w:eastAsia="ru-RU"/>
              </w:rPr>
              <w:t> 314 085</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100</w:t>
            </w:r>
          </w:p>
        </w:tc>
      </w:tr>
      <w:tr w:rsidR="003D5AC4" w:rsidRPr="00127DF3" w:rsidTr="00B53D00">
        <w:trPr>
          <w:trHeight w:val="615"/>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1.2</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Деятельность по предоставлению финансовых услуг, кроме услуг по страхованию и пенсионному обеспечению</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2 787 176</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35 615</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1 182 225</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1 553 871</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15 465</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1 229 197</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43 394</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1.3</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Строительство зданий</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805 937</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610 365</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195 572</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502 986</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1.4</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Строительство инженерных сооружений</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417 610</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218 331</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199 279</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412 891</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51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1.5</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Торговля розничная, кроме торговли автотранспортными средствами и мотоциклами</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400 784</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356 546</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44 238</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308 234</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1.6</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Работы строительные </w:t>
            </w:r>
            <w:r w:rsidRPr="00127DF3">
              <w:rPr>
                <w:rFonts w:cs="Arial"/>
                <w:szCs w:val="18"/>
                <w:lang w:val="ru-RU" w:eastAsia="ru-RU"/>
              </w:rPr>
              <w:lastRenderedPageBreak/>
              <w:t>специализированные</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lastRenderedPageBreak/>
              <w:t>364 118</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242 221</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91 336</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30 561</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262 756</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5 243</w:t>
            </w:r>
          </w:p>
        </w:tc>
      </w:tr>
      <w:tr w:rsidR="003D5AC4" w:rsidRPr="00127DF3" w:rsidTr="00B53D00">
        <w:trPr>
          <w:trHeight w:val="51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1.7</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Обеспечение электрической энергией, газом и паром; кондиционирование воздуха</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219 057</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46 249</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172 808</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216 628</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51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1.8</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Складское хозяйство и вспомогательная транспортная деятельность</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213 374</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107 822</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105 552</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210 782</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1.9</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Операции с недвижимым имуществом</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400 459</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155 219</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242 807</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2 433</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153 510</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3 870</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1.10</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Деятельность сухопутного и трубопроводного транспорта</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146 002</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87 749</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58 253</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144 287</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1.11</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Прочие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4 066 104</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98 444</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1 219 191</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2 426 991</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321 478</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1 209 033</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168 826</w:t>
            </w:r>
          </w:p>
        </w:tc>
      </w:tr>
      <w:tr w:rsidR="003D5AC4" w:rsidRPr="006C0DB6" w:rsidTr="00B53D00">
        <w:trPr>
          <w:trHeight w:val="300"/>
        </w:trPr>
        <w:tc>
          <w:tcPr>
            <w:tcW w:w="10184"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D5AC4" w:rsidRPr="00127DF3" w:rsidRDefault="003D5AC4" w:rsidP="00B53D00">
            <w:pPr>
              <w:overflowPunct/>
              <w:autoSpaceDE/>
              <w:autoSpaceDN/>
              <w:adjustRightInd/>
              <w:textAlignment w:val="auto"/>
              <w:rPr>
                <w:rFonts w:cs="Arial"/>
                <w:b/>
                <w:bCs/>
                <w:szCs w:val="18"/>
                <w:lang w:val="ru-RU" w:eastAsia="ru-RU"/>
              </w:rPr>
            </w:pPr>
            <w:r w:rsidRPr="00127DF3">
              <w:rPr>
                <w:rFonts w:cs="Arial"/>
                <w:b/>
                <w:bCs/>
                <w:szCs w:val="18"/>
                <w:lang w:val="ru-RU" w:eastAsia="ru-RU"/>
              </w:rPr>
              <w:t>2. Данные о риске концентрации по географическим зонам</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2.1</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Кировская область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4 772 386</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3 644 957</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1 127 429</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Pr>
                <w:rFonts w:cs="Arial"/>
                <w:szCs w:val="18"/>
                <w:lang w:val="ru-RU" w:eastAsia="ru-RU"/>
              </w:rPr>
              <w:t>3 990 043</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2.2</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Республика Марий Эл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1 038 897</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562 005</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476 892</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967 434</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2.3</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город Санкт-Петербург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1 599 941</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928 292</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664 006</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7 643</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935 035</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79 681</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2.4</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город Москва</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4 254 132</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35 859</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943 781</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3 125 393</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149 099</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862 231</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104 836</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2.5</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Республика Татарстан</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420 966</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377 762</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43 204</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415 742</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2.6</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Владимирская область</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148 767</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110 479</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38 288</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143 267</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2.7</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Бельгия (дальнее зарубежье)</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110 455</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66 331</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44 124</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109 291</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2.8</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Свердловская область</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104 062</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104 062</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103 022</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2.9</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Московская область</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89 188</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89 188</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89 188</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2.10</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Ярославская область</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75 490</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75 490</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74 620</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2.11</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 xml:space="preserve">Прочие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1 126 552</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9 012</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516 739</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531 870</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68 931</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355 850</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36 916</w:t>
            </w:r>
          </w:p>
        </w:tc>
      </w:tr>
      <w:tr w:rsidR="003D5AC4" w:rsidRPr="006C0DB6" w:rsidTr="00B53D00">
        <w:trPr>
          <w:trHeight w:val="300"/>
        </w:trPr>
        <w:tc>
          <w:tcPr>
            <w:tcW w:w="10184"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D5AC4" w:rsidRPr="00127DF3" w:rsidRDefault="003D5AC4" w:rsidP="00B53D00">
            <w:pPr>
              <w:overflowPunct/>
              <w:autoSpaceDE/>
              <w:autoSpaceDN/>
              <w:adjustRightInd/>
              <w:textAlignment w:val="auto"/>
              <w:rPr>
                <w:rFonts w:cs="Arial"/>
                <w:b/>
                <w:bCs/>
                <w:szCs w:val="18"/>
                <w:lang w:val="ru-RU" w:eastAsia="ru-RU"/>
              </w:rPr>
            </w:pPr>
            <w:r w:rsidRPr="00127DF3">
              <w:rPr>
                <w:rFonts w:cs="Arial"/>
                <w:b/>
                <w:bCs/>
                <w:szCs w:val="18"/>
                <w:lang w:val="ru-RU" w:eastAsia="ru-RU"/>
              </w:rPr>
              <w:t>3. Данные о риске концентрации по видам инструментов</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3.1</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Облигации прочих резидентов</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3 302 562</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3 302 562</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213 731</w:t>
            </w:r>
          </w:p>
        </w:tc>
      </w:tr>
      <w:tr w:rsidR="003D5AC4" w:rsidRPr="00127DF3" w:rsidTr="00B53D00">
        <w:trPr>
          <w:trHeight w:val="51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3.2</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Облигации федеральных органов исполнительной власти и облигации Банка России</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1 210 641</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1 210 641</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3.3</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Облигации кредитных организаций - резидентов</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378 141</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378 141</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4 627</w:t>
            </w:r>
          </w:p>
        </w:tc>
      </w:tr>
      <w:tr w:rsidR="003D5AC4" w:rsidRPr="00127DF3" w:rsidTr="00B53D00">
        <w:trPr>
          <w:trHeight w:val="3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3.4</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Облигации прочих нерезидентов</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152 980</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152 980</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1 530</w:t>
            </w:r>
          </w:p>
        </w:tc>
      </w:tr>
      <w:tr w:rsidR="003D5AC4" w:rsidRPr="00127DF3" w:rsidTr="00B53D00">
        <w:trPr>
          <w:trHeight w:val="51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3D5AC4" w:rsidRPr="00127DF3" w:rsidRDefault="003D5AC4" w:rsidP="00B53D00">
            <w:pPr>
              <w:overflowPunct/>
              <w:autoSpaceDE/>
              <w:autoSpaceDN/>
              <w:adjustRightInd/>
              <w:jc w:val="right"/>
              <w:textAlignment w:val="auto"/>
              <w:rPr>
                <w:rFonts w:cs="Arial"/>
                <w:color w:val="000000"/>
                <w:szCs w:val="18"/>
                <w:lang w:val="ru-RU" w:eastAsia="ru-RU"/>
              </w:rPr>
            </w:pPr>
            <w:r w:rsidRPr="00127DF3">
              <w:rPr>
                <w:rFonts w:cs="Arial"/>
                <w:color w:val="000000"/>
                <w:szCs w:val="18"/>
                <w:lang w:val="ru-RU" w:eastAsia="ru-RU"/>
              </w:rPr>
              <w:t>3.5</w:t>
            </w:r>
          </w:p>
        </w:tc>
        <w:tc>
          <w:tcPr>
            <w:tcW w:w="226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textAlignment w:val="auto"/>
              <w:rPr>
                <w:rFonts w:cs="Arial"/>
                <w:szCs w:val="18"/>
                <w:lang w:val="ru-RU" w:eastAsia="ru-RU"/>
              </w:rPr>
            </w:pPr>
            <w:r w:rsidRPr="00127DF3">
              <w:rPr>
                <w:rFonts w:cs="Arial"/>
                <w:szCs w:val="18"/>
                <w:lang w:val="ru-RU" w:eastAsia="ru-RU"/>
              </w:rPr>
              <w:t>Облигации органов исполнительной власти субъектов РФ и муниципальных образований</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96 546</w:t>
            </w:r>
          </w:p>
        </w:tc>
        <w:tc>
          <w:tcPr>
            <w:tcW w:w="82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57"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96 546</w:t>
            </w:r>
          </w:p>
        </w:tc>
        <w:tc>
          <w:tcPr>
            <w:tcW w:w="1046"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1092"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 </w:t>
            </w:r>
          </w:p>
        </w:tc>
        <w:tc>
          <w:tcPr>
            <w:tcW w:w="958" w:type="dxa"/>
            <w:tcBorders>
              <w:top w:val="nil"/>
              <w:left w:val="nil"/>
              <w:bottom w:val="single" w:sz="4" w:space="0" w:color="auto"/>
              <w:right w:val="single" w:sz="4" w:space="0" w:color="auto"/>
            </w:tcBorders>
            <w:shd w:val="clear" w:color="auto" w:fill="auto"/>
            <w:hideMark/>
          </w:tcPr>
          <w:p w:rsidR="003D5AC4" w:rsidRPr="00127DF3" w:rsidRDefault="003D5AC4" w:rsidP="00B53D00">
            <w:pPr>
              <w:overflowPunct/>
              <w:autoSpaceDE/>
              <w:autoSpaceDN/>
              <w:adjustRightInd/>
              <w:jc w:val="right"/>
              <w:textAlignment w:val="auto"/>
              <w:rPr>
                <w:rFonts w:cs="Arial"/>
                <w:szCs w:val="18"/>
                <w:lang w:val="ru-RU" w:eastAsia="ru-RU"/>
              </w:rPr>
            </w:pPr>
            <w:r w:rsidRPr="00127DF3">
              <w:rPr>
                <w:rFonts w:cs="Arial"/>
                <w:szCs w:val="18"/>
                <w:lang w:val="ru-RU" w:eastAsia="ru-RU"/>
              </w:rPr>
              <w:t>1 545</w:t>
            </w:r>
          </w:p>
        </w:tc>
      </w:tr>
    </w:tbl>
    <w:p w:rsidR="003D5AC4" w:rsidRPr="000C3A94" w:rsidRDefault="003D5AC4" w:rsidP="003D5AC4">
      <w:pPr>
        <w:ind w:left="-709" w:firstLine="709"/>
        <w:jc w:val="both"/>
        <w:rPr>
          <w:rFonts w:cs="Arial"/>
          <w:b/>
          <w:sz w:val="20"/>
          <w:szCs w:val="20"/>
        </w:rPr>
      </w:pPr>
    </w:p>
    <w:p w:rsidR="003D5AC4" w:rsidRPr="000C3A94" w:rsidRDefault="003D5AC4" w:rsidP="003D5AC4">
      <w:pPr>
        <w:jc w:val="both"/>
        <w:rPr>
          <w:rFonts w:cs="Arial"/>
          <w:b/>
          <w:sz w:val="20"/>
          <w:szCs w:val="20"/>
          <w:lang w:val="ru-RU"/>
        </w:rPr>
      </w:pPr>
      <w:r w:rsidRPr="000C3A94">
        <w:rPr>
          <w:rFonts w:cs="Arial"/>
          <w:b/>
          <w:sz w:val="20"/>
          <w:szCs w:val="20"/>
          <w:lang w:val="ru-RU"/>
        </w:rPr>
        <w:t>Данные о риске концентрации по отдельным источникам ликвидности за 31.</w:t>
      </w:r>
      <w:r>
        <w:rPr>
          <w:rFonts w:cs="Arial"/>
          <w:b/>
          <w:sz w:val="20"/>
          <w:szCs w:val="20"/>
          <w:lang w:val="ru-RU"/>
        </w:rPr>
        <w:t>12</w:t>
      </w:r>
      <w:r w:rsidRPr="000C3A94">
        <w:rPr>
          <w:rFonts w:cs="Arial"/>
          <w:b/>
          <w:sz w:val="20"/>
          <w:szCs w:val="20"/>
          <w:lang w:val="ru-RU"/>
        </w:rPr>
        <w:t>.2018:</w:t>
      </w:r>
    </w:p>
    <w:tbl>
      <w:tblPr>
        <w:tblW w:w="10177" w:type="dxa"/>
        <w:tblInd w:w="-601" w:type="dxa"/>
        <w:tblLook w:val="04A0" w:firstRow="1" w:lastRow="0" w:firstColumn="1" w:lastColumn="0" w:noHBand="0" w:noVBand="1"/>
      </w:tblPr>
      <w:tblGrid>
        <w:gridCol w:w="569"/>
        <w:gridCol w:w="7693"/>
        <w:gridCol w:w="1915"/>
      </w:tblGrid>
      <w:tr w:rsidR="003D5AC4" w:rsidRPr="006C0DB6" w:rsidTr="00B53D00">
        <w:trPr>
          <w:trHeight w:val="902"/>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AC4" w:rsidRPr="000C3A94" w:rsidRDefault="003D5AC4" w:rsidP="00B53D00">
            <w:pPr>
              <w:jc w:val="center"/>
              <w:rPr>
                <w:rFonts w:cs="Arial"/>
                <w:color w:val="000000"/>
                <w:szCs w:val="18"/>
                <w:lang w:eastAsia="ru-RU"/>
              </w:rPr>
            </w:pPr>
            <w:r w:rsidRPr="000C3A94">
              <w:rPr>
                <w:rFonts w:cs="Arial"/>
                <w:color w:val="000000"/>
                <w:szCs w:val="18"/>
                <w:lang w:eastAsia="ru-RU"/>
              </w:rPr>
              <w:t>№</w:t>
            </w:r>
          </w:p>
        </w:tc>
        <w:tc>
          <w:tcPr>
            <w:tcW w:w="7693" w:type="dxa"/>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Наименование вида источника ликвидности</w:t>
            </w:r>
          </w:p>
        </w:tc>
        <w:tc>
          <w:tcPr>
            <w:tcW w:w="1915" w:type="dxa"/>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val="ru-RU" w:eastAsia="ru-RU"/>
              </w:rPr>
            </w:pPr>
            <w:r w:rsidRPr="000C3A94">
              <w:rPr>
                <w:rFonts w:cs="Arial"/>
                <w:szCs w:val="18"/>
                <w:lang w:val="ru-RU" w:eastAsia="ru-RU"/>
              </w:rPr>
              <w:t xml:space="preserve">Объем привлеченных средств, </w:t>
            </w:r>
            <w:r w:rsidRPr="000C3A94">
              <w:rPr>
                <w:rFonts w:cs="Arial"/>
                <w:szCs w:val="18"/>
                <w:lang w:val="ru-RU" w:eastAsia="ru-RU"/>
              </w:rPr>
              <w:br/>
              <w:t>тыс. руб.</w:t>
            </w:r>
          </w:p>
        </w:tc>
      </w:tr>
      <w:tr w:rsidR="003D5AC4" w:rsidRPr="000C3A94" w:rsidTr="00B53D00">
        <w:trPr>
          <w:trHeight w:val="29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w:t>
            </w:r>
          </w:p>
        </w:tc>
        <w:tc>
          <w:tcPr>
            <w:tcW w:w="7693"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val="ru-RU" w:eastAsia="ru-RU"/>
              </w:rPr>
            </w:pPr>
            <w:r w:rsidRPr="000C3A94">
              <w:rPr>
                <w:rFonts w:cs="Arial"/>
                <w:szCs w:val="18"/>
                <w:lang w:val="ru-RU" w:eastAsia="ru-RU"/>
              </w:rPr>
              <w:t>Вклады (средства) физических лиц, в том числе индивидуальных предпринимателей</w:t>
            </w:r>
          </w:p>
        </w:tc>
        <w:tc>
          <w:tcPr>
            <w:tcW w:w="1915" w:type="dxa"/>
            <w:tcBorders>
              <w:top w:val="nil"/>
              <w:left w:val="nil"/>
              <w:bottom w:val="single" w:sz="4" w:space="0" w:color="auto"/>
              <w:right w:val="single" w:sz="4" w:space="0" w:color="auto"/>
            </w:tcBorders>
            <w:shd w:val="clear" w:color="auto" w:fill="auto"/>
            <w:noWrap/>
            <w:vAlign w:val="bottom"/>
            <w:hideMark/>
          </w:tcPr>
          <w:p w:rsidR="003D5AC4" w:rsidRPr="00127DF3" w:rsidRDefault="003D5AC4" w:rsidP="0093474D">
            <w:pPr>
              <w:overflowPunct/>
              <w:autoSpaceDE/>
              <w:autoSpaceDN/>
              <w:adjustRightInd/>
              <w:jc w:val="right"/>
              <w:textAlignment w:val="auto"/>
              <w:rPr>
                <w:rFonts w:cs="Arial"/>
                <w:color w:val="000000"/>
                <w:szCs w:val="18"/>
                <w:lang w:val="ru-RU"/>
              </w:rPr>
            </w:pPr>
            <w:r w:rsidRPr="00127DF3">
              <w:rPr>
                <w:rFonts w:cs="Arial"/>
                <w:color w:val="000000"/>
                <w:szCs w:val="18"/>
              </w:rPr>
              <w:t xml:space="preserve">10 262 </w:t>
            </w:r>
            <w:r w:rsidR="0093474D">
              <w:rPr>
                <w:rFonts w:cs="Arial"/>
                <w:color w:val="000000"/>
                <w:szCs w:val="18"/>
              </w:rPr>
              <w:t>679</w:t>
            </w:r>
          </w:p>
        </w:tc>
      </w:tr>
      <w:tr w:rsidR="003D5AC4" w:rsidRPr="000C3A94" w:rsidTr="00B53D00">
        <w:trPr>
          <w:trHeight w:val="29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w:t>
            </w:r>
          </w:p>
        </w:tc>
        <w:tc>
          <w:tcPr>
            <w:tcW w:w="7693"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val="ru-RU" w:eastAsia="ru-RU"/>
              </w:rPr>
            </w:pPr>
            <w:r w:rsidRPr="000C3A94">
              <w:rPr>
                <w:rFonts w:cs="Arial"/>
                <w:szCs w:val="18"/>
                <w:lang w:val="ru-RU" w:eastAsia="ru-RU"/>
              </w:rPr>
              <w:t>Средства юридических лиц, не являющих кредитными организациями</w:t>
            </w:r>
          </w:p>
        </w:tc>
        <w:tc>
          <w:tcPr>
            <w:tcW w:w="1915" w:type="dxa"/>
            <w:tcBorders>
              <w:top w:val="nil"/>
              <w:left w:val="nil"/>
              <w:bottom w:val="single" w:sz="4" w:space="0" w:color="auto"/>
              <w:right w:val="single" w:sz="4" w:space="0" w:color="auto"/>
            </w:tcBorders>
            <w:shd w:val="clear" w:color="auto" w:fill="auto"/>
            <w:noWrap/>
            <w:vAlign w:val="bottom"/>
            <w:hideMark/>
          </w:tcPr>
          <w:p w:rsidR="003D5AC4" w:rsidRPr="00127DF3" w:rsidRDefault="003D5AC4" w:rsidP="0093474D">
            <w:pPr>
              <w:jc w:val="right"/>
              <w:rPr>
                <w:rFonts w:cs="Arial"/>
                <w:color w:val="000000"/>
                <w:szCs w:val="18"/>
              </w:rPr>
            </w:pPr>
            <w:r w:rsidRPr="00127DF3">
              <w:rPr>
                <w:rFonts w:cs="Arial"/>
                <w:color w:val="000000"/>
                <w:szCs w:val="18"/>
              </w:rPr>
              <w:t xml:space="preserve">1 784 </w:t>
            </w:r>
            <w:r w:rsidR="0093474D">
              <w:rPr>
                <w:rFonts w:cs="Arial"/>
                <w:color w:val="000000"/>
                <w:szCs w:val="18"/>
              </w:rPr>
              <w:t>256</w:t>
            </w:r>
          </w:p>
        </w:tc>
      </w:tr>
      <w:tr w:rsidR="003D5AC4" w:rsidRPr="000C3A94" w:rsidTr="00B53D00">
        <w:trPr>
          <w:trHeight w:val="29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1.3</w:t>
            </w:r>
          </w:p>
        </w:tc>
        <w:tc>
          <w:tcPr>
            <w:tcW w:w="7693"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tabs>
                <w:tab w:val="left" w:pos="4202"/>
              </w:tabs>
              <w:rPr>
                <w:rFonts w:cs="Arial"/>
                <w:szCs w:val="18"/>
                <w:lang w:eastAsia="ru-RU"/>
              </w:rPr>
            </w:pPr>
            <w:r w:rsidRPr="000C3A94">
              <w:rPr>
                <w:rFonts w:cs="Arial"/>
                <w:szCs w:val="18"/>
                <w:lang w:eastAsia="ru-RU"/>
              </w:rPr>
              <w:t>Прочие долговые обязательства</w:t>
            </w:r>
          </w:p>
        </w:tc>
        <w:tc>
          <w:tcPr>
            <w:tcW w:w="1915" w:type="dxa"/>
            <w:tcBorders>
              <w:top w:val="nil"/>
              <w:left w:val="nil"/>
              <w:bottom w:val="single" w:sz="4" w:space="0" w:color="auto"/>
              <w:right w:val="single" w:sz="4" w:space="0" w:color="auto"/>
            </w:tcBorders>
            <w:shd w:val="clear" w:color="auto" w:fill="auto"/>
            <w:noWrap/>
            <w:vAlign w:val="bottom"/>
            <w:hideMark/>
          </w:tcPr>
          <w:p w:rsidR="003D5AC4" w:rsidRPr="00127DF3" w:rsidRDefault="003D5AC4" w:rsidP="00B53D00">
            <w:pPr>
              <w:jc w:val="right"/>
              <w:rPr>
                <w:rFonts w:cs="Arial"/>
                <w:color w:val="000000"/>
                <w:szCs w:val="18"/>
              </w:rPr>
            </w:pPr>
            <w:r w:rsidRPr="00127DF3">
              <w:rPr>
                <w:rFonts w:cs="Arial"/>
                <w:color w:val="000000"/>
                <w:szCs w:val="18"/>
              </w:rPr>
              <w:t>241 279</w:t>
            </w:r>
          </w:p>
        </w:tc>
      </w:tr>
      <w:tr w:rsidR="003D5AC4" w:rsidRPr="000C3A94" w:rsidTr="00B53D00">
        <w:trPr>
          <w:trHeight w:val="292"/>
        </w:trPr>
        <w:tc>
          <w:tcPr>
            <w:tcW w:w="569"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1.4</w:t>
            </w:r>
          </w:p>
        </w:tc>
        <w:tc>
          <w:tcPr>
            <w:tcW w:w="7693"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eastAsia="ru-RU"/>
              </w:rPr>
            </w:pPr>
            <w:r w:rsidRPr="000C3A94">
              <w:rPr>
                <w:rFonts w:cs="Arial"/>
                <w:szCs w:val="18"/>
                <w:lang w:eastAsia="ru-RU"/>
              </w:rPr>
              <w:t>Средства кредитных организаций</w:t>
            </w:r>
          </w:p>
        </w:tc>
        <w:tc>
          <w:tcPr>
            <w:tcW w:w="1915" w:type="dxa"/>
            <w:tcBorders>
              <w:top w:val="nil"/>
              <w:left w:val="nil"/>
              <w:bottom w:val="single" w:sz="4" w:space="0" w:color="auto"/>
              <w:right w:val="single" w:sz="4" w:space="0" w:color="auto"/>
            </w:tcBorders>
            <w:shd w:val="clear" w:color="auto" w:fill="auto"/>
            <w:noWrap/>
            <w:vAlign w:val="bottom"/>
            <w:hideMark/>
          </w:tcPr>
          <w:p w:rsidR="003D5AC4" w:rsidRPr="00127DF3" w:rsidRDefault="003D5AC4" w:rsidP="00B53D00">
            <w:pPr>
              <w:jc w:val="right"/>
              <w:rPr>
                <w:rFonts w:cs="Arial"/>
                <w:color w:val="000000"/>
                <w:szCs w:val="18"/>
              </w:rPr>
            </w:pPr>
            <w:r w:rsidRPr="00127DF3">
              <w:rPr>
                <w:rFonts w:cs="Arial"/>
                <w:color w:val="000000"/>
                <w:szCs w:val="18"/>
              </w:rPr>
              <w:t>7</w:t>
            </w:r>
          </w:p>
        </w:tc>
      </w:tr>
    </w:tbl>
    <w:p w:rsidR="003D5AC4" w:rsidRPr="003D5AC4" w:rsidRDefault="003D5AC4" w:rsidP="003D5AC4">
      <w:pPr>
        <w:jc w:val="both"/>
        <w:rPr>
          <w:rFonts w:cs="Arial"/>
          <w:b/>
          <w:sz w:val="20"/>
          <w:szCs w:val="20"/>
          <w:lang w:val="ru-RU"/>
        </w:rPr>
      </w:pPr>
    </w:p>
    <w:p w:rsidR="003D5AC4" w:rsidRPr="000C3A94" w:rsidRDefault="003D5AC4" w:rsidP="003D5AC4">
      <w:pPr>
        <w:jc w:val="both"/>
        <w:rPr>
          <w:rFonts w:cs="Arial"/>
          <w:b/>
          <w:sz w:val="20"/>
          <w:szCs w:val="20"/>
          <w:lang w:val="ru-RU"/>
        </w:rPr>
      </w:pPr>
      <w:r w:rsidRPr="000C3A94">
        <w:rPr>
          <w:rFonts w:cs="Arial"/>
          <w:b/>
          <w:sz w:val="20"/>
          <w:szCs w:val="20"/>
          <w:lang w:val="ru-RU"/>
        </w:rPr>
        <w:lastRenderedPageBreak/>
        <w:t>Данные о риске концентрации по видам финансовых инструментов за 31.12.2017:</w:t>
      </w:r>
    </w:p>
    <w:tbl>
      <w:tblPr>
        <w:tblW w:w="10348" w:type="dxa"/>
        <w:tblInd w:w="-601" w:type="dxa"/>
        <w:tblLayout w:type="fixed"/>
        <w:tblLook w:val="04A0" w:firstRow="1" w:lastRow="0" w:firstColumn="1" w:lastColumn="0" w:noHBand="0" w:noVBand="1"/>
      </w:tblPr>
      <w:tblGrid>
        <w:gridCol w:w="567"/>
        <w:gridCol w:w="2127"/>
        <w:gridCol w:w="1134"/>
        <w:gridCol w:w="992"/>
        <w:gridCol w:w="1134"/>
        <w:gridCol w:w="1134"/>
        <w:gridCol w:w="142"/>
        <w:gridCol w:w="992"/>
        <w:gridCol w:w="1134"/>
        <w:gridCol w:w="992"/>
      </w:tblGrid>
      <w:tr w:rsidR="003D5AC4" w:rsidRPr="000C3A94" w:rsidTr="00B53D00">
        <w:trPr>
          <w:trHeight w:val="67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Наименование показателя</w:t>
            </w:r>
          </w:p>
        </w:tc>
        <w:tc>
          <w:tcPr>
            <w:tcW w:w="5528"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val="ru-RU" w:eastAsia="ru-RU"/>
              </w:rPr>
            </w:pPr>
            <w:r w:rsidRPr="000C3A94">
              <w:rPr>
                <w:rFonts w:cs="Arial"/>
                <w:szCs w:val="18"/>
                <w:lang w:val="ru-RU" w:eastAsia="ru-RU"/>
              </w:rPr>
              <w:t>Объем требований (обязательств),</w:t>
            </w:r>
            <w:r w:rsidRPr="000C3A94">
              <w:rPr>
                <w:rFonts w:cs="Arial"/>
                <w:szCs w:val="18"/>
                <w:lang w:val="ru-RU" w:eastAsia="ru-RU"/>
              </w:rPr>
              <w:br/>
              <w:t>тыс. руб.</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Величина риска,</w:t>
            </w:r>
            <w:r w:rsidRPr="000C3A94">
              <w:rPr>
                <w:rFonts w:cs="Arial"/>
                <w:szCs w:val="18"/>
                <w:lang w:eastAsia="ru-RU"/>
              </w:rPr>
              <w:br/>
              <w:t>тыс. руб.</w:t>
            </w:r>
          </w:p>
        </w:tc>
      </w:tr>
      <w:tr w:rsidR="003D5AC4" w:rsidRPr="000C3A94" w:rsidTr="00B53D00">
        <w:trPr>
          <w:trHeight w:val="30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D5AC4" w:rsidRPr="000C3A94" w:rsidRDefault="003D5AC4" w:rsidP="00B53D00">
            <w:pPr>
              <w:rPr>
                <w:rFonts w:cs="Arial"/>
                <w:szCs w:val="18"/>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Всего</w:t>
            </w:r>
          </w:p>
        </w:tc>
        <w:tc>
          <w:tcPr>
            <w:tcW w:w="4394" w:type="dxa"/>
            <w:gridSpan w:val="5"/>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из них по видам:</w:t>
            </w:r>
          </w:p>
        </w:tc>
        <w:tc>
          <w:tcPr>
            <w:tcW w:w="1134"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КРЗ</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специальный рыночный риск</w:t>
            </w:r>
          </w:p>
        </w:tc>
      </w:tr>
      <w:tr w:rsidR="003D5AC4" w:rsidRPr="000C3A94" w:rsidTr="00B53D00">
        <w:trPr>
          <w:trHeight w:val="30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D5AC4" w:rsidRPr="000C3A94" w:rsidRDefault="003D5AC4" w:rsidP="00B53D00">
            <w:pPr>
              <w:rPr>
                <w:rFonts w:cs="Arial"/>
                <w:szCs w:val="18"/>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средства в кредитных организациях</w:t>
            </w: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ссудная задолженность</w:t>
            </w:r>
          </w:p>
        </w:tc>
        <w:tc>
          <w:tcPr>
            <w:tcW w:w="1276"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вложения в ценные бумаги</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обязательства кредитного характера</w:t>
            </w: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D5AC4" w:rsidRPr="000C3A94" w:rsidRDefault="003D5AC4" w:rsidP="00B53D00">
            <w:pPr>
              <w:jc w:val="center"/>
              <w:rPr>
                <w:rFonts w:cs="Arial"/>
                <w:szCs w:val="18"/>
                <w:lang w:eastAsia="ru-RU"/>
              </w:rPr>
            </w:pPr>
            <w:r w:rsidRPr="000C3A94">
              <w:rPr>
                <w:rFonts w:cs="Arial"/>
                <w:szCs w:val="18"/>
                <w:lang w:eastAsia="ru-RU"/>
              </w:rPr>
              <w:t>всего</w:t>
            </w: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r>
      <w:tr w:rsidR="003D5AC4" w:rsidRPr="000C3A94" w:rsidTr="00B53D00">
        <w:trPr>
          <w:trHeight w:val="30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D5AC4" w:rsidRPr="000C3A94" w:rsidRDefault="003D5AC4" w:rsidP="00B53D00">
            <w:pPr>
              <w:rPr>
                <w:rFonts w:cs="Arial"/>
                <w:szCs w:val="18"/>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r>
      <w:tr w:rsidR="003D5AC4" w:rsidRPr="000C3A94" w:rsidTr="00B53D00">
        <w:trPr>
          <w:trHeight w:val="9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D5AC4" w:rsidRPr="000C3A94" w:rsidRDefault="003D5AC4" w:rsidP="00B53D00">
            <w:pPr>
              <w:rPr>
                <w:rFonts w:cs="Arial"/>
                <w:szCs w:val="18"/>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r>
      <w:tr w:rsidR="003D5AC4" w:rsidRPr="000C3A94" w:rsidTr="00B53D00">
        <w:trPr>
          <w:trHeight w:val="207"/>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3D5AC4" w:rsidRPr="000C3A94" w:rsidRDefault="003D5AC4" w:rsidP="00B53D00">
            <w:pPr>
              <w:rPr>
                <w:rFonts w:cs="Arial"/>
                <w:szCs w:val="18"/>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276" w:type="dxa"/>
            <w:gridSpan w:val="2"/>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rPr>
                <w:rFonts w:cs="Arial"/>
                <w:szCs w:val="18"/>
                <w:lang w:eastAsia="ru-RU"/>
              </w:rPr>
            </w:pPr>
          </w:p>
        </w:tc>
      </w:tr>
      <w:tr w:rsidR="003D5AC4" w:rsidRPr="006C0DB6" w:rsidTr="00B53D00">
        <w:trPr>
          <w:trHeight w:val="300"/>
        </w:trPr>
        <w:tc>
          <w:tcPr>
            <w:tcW w:w="10348"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3D5AC4" w:rsidRPr="000C3A94" w:rsidRDefault="003D5AC4" w:rsidP="00B53D00">
            <w:pPr>
              <w:rPr>
                <w:rFonts w:cs="Arial"/>
                <w:b/>
                <w:bCs/>
                <w:szCs w:val="18"/>
                <w:lang w:val="ru-RU" w:eastAsia="ru-RU"/>
              </w:rPr>
            </w:pPr>
            <w:r w:rsidRPr="000C3A94">
              <w:rPr>
                <w:rFonts w:cs="Arial"/>
                <w:b/>
                <w:bCs/>
                <w:szCs w:val="18"/>
                <w:lang w:val="ru-RU" w:eastAsia="ru-RU"/>
              </w:rPr>
              <w:t>1. Данные о риске концентрации по видам экономической деятельности</w:t>
            </w:r>
          </w:p>
        </w:tc>
      </w:tr>
      <w:tr w:rsidR="003D5AC4" w:rsidRPr="000C3A94" w:rsidTr="00B53D00">
        <w:trPr>
          <w:trHeight w:val="5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Деятельность по предоставлению финансовых услуг, кроме услуг по страхованию и пенсионному обеспечению</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3 344 994</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168 703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1 270 667</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1 902 971</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2 653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1 436 440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136 626</w:t>
            </w:r>
          </w:p>
        </w:tc>
      </w:tr>
      <w:tr w:rsidR="003D5AC4" w:rsidRPr="000C3A94" w:rsidTr="00B53D00">
        <w:trPr>
          <w:trHeight w:val="5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Торговля оптовая, кроме оптовой торговли автотранспортными средствами и мотоциклами</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1 147 910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584 798</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13 162</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549 950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1 114 813</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1 579</w:t>
            </w:r>
          </w:p>
        </w:tc>
      </w:tr>
      <w:tr w:rsidR="003D5AC4" w:rsidRPr="000C3A94" w:rsidTr="00B53D00">
        <w:trPr>
          <w:trHeight w:val="3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1.3</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Строительство зданий</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886 558</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674 087</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212 471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663 026</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3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1.4</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Строительство инженерных сооружений</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398 583</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169 062</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229 521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392 971</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61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1.5</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Торговля розничная, кроме торговли автотранспортными средствами и мотоциклами</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432 856</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365 300</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67 556</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387 294</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5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1.6</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Складское хозяйство и вспомогательная транспортная деятельность</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373 625</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310 551</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63 074</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369 103</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33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1.7</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Работы строительные специализированные</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221 522</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99 116</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122 406</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216 796</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6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1.8</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Обеспечение электрической энергией, газом и паром; кондиционирование воздуха</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429 420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122 372</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205 058</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101 990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216 710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24 607</w:t>
            </w:r>
          </w:p>
        </w:tc>
      </w:tr>
      <w:tr w:rsidR="003D5AC4" w:rsidRPr="000C3A94" w:rsidTr="00B53D00">
        <w:trPr>
          <w:trHeight w:val="54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1.9</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Деятельность по предоставлению мест для временного проживания</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254 646</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254 646</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197 702</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5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1.10</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Торговля оптовая и розничная автотранспортными средствами и мотоциклами и их ремонт</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122 366</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89 125</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rPr>
                <w:rFonts w:cs="Arial"/>
                <w:color w:val="000000"/>
                <w:szCs w:val="18"/>
                <w:lang w:eastAsia="ru-RU"/>
              </w:rPr>
            </w:pPr>
            <w:r w:rsidRPr="000C3A94">
              <w:rPr>
                <w:rFonts w:cs="Arial"/>
                <w:color w:val="000000"/>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right"/>
              <w:rPr>
                <w:rFonts w:cs="Arial"/>
                <w:szCs w:val="18"/>
                <w:lang w:eastAsia="ru-RU"/>
              </w:rPr>
            </w:pPr>
            <w:r w:rsidRPr="000C3A94">
              <w:rPr>
                <w:rFonts w:cs="Arial"/>
                <w:szCs w:val="18"/>
                <w:lang w:eastAsia="ru-RU"/>
              </w:rPr>
              <w:t>33 241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120 960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B53D00">
        <w:trPr>
          <w:trHeight w:val="3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1.11</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Прочие</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4 749 028</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77 253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1 085 588</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3 295 103</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291 084</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1 128 487</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322 264</w:t>
            </w:r>
          </w:p>
        </w:tc>
      </w:tr>
      <w:tr w:rsidR="003D5AC4" w:rsidRPr="006C0DB6" w:rsidTr="00B53D00">
        <w:trPr>
          <w:trHeight w:val="300"/>
        </w:trPr>
        <w:tc>
          <w:tcPr>
            <w:tcW w:w="10348"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3D5AC4" w:rsidRPr="000C3A94" w:rsidRDefault="003D5AC4" w:rsidP="00B53D00">
            <w:pPr>
              <w:rPr>
                <w:rFonts w:cs="Arial"/>
                <w:b/>
                <w:bCs/>
                <w:szCs w:val="18"/>
                <w:lang w:val="ru-RU" w:eastAsia="ru-RU"/>
              </w:rPr>
            </w:pPr>
            <w:r w:rsidRPr="000C3A94">
              <w:rPr>
                <w:rFonts w:cs="Arial"/>
                <w:b/>
                <w:bCs/>
                <w:szCs w:val="18"/>
                <w:lang w:val="ru-RU" w:eastAsia="ru-RU"/>
              </w:rPr>
              <w:t>2. Данные о риске концентрации по географическим зонам</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2.1</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 xml:space="preserve">Кировская область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4 769 641</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3 576 662</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1 192 979</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4 137 954</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2.2</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 xml:space="preserve">Республика Марий Эл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874 867</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478 883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395 984</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820 637</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2.3</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 xml:space="preserve">город Санкт-Петербург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2 453 120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686</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796 523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1 648 052</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7 859</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804 221</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197 766</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2.4</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город Москва</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2 858 292</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166 439</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711 402</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1 863 276</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117 175</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720 892</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129 808</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lastRenderedPageBreak/>
              <w:t>2.5</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 xml:space="preserve">Республика Татарстан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362 092</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308 962</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53 130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356 299</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2.6</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Пермский край</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360 500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256 016</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69 691</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34 793</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145 748</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8 363</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2.7</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Владимирская область</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128 835</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15 765</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113 070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127 543</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2.8</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Нижегородская область</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81 901</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34 700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47 201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80 250</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2.9</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Бельгия (дальнее зарубежье)</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73 949</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73 949</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73 949</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2.10</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Свердловская область</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101 651</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101 591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60</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70 699</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 </w:t>
            </w:r>
          </w:p>
        </w:tc>
      </w:tr>
      <w:tr w:rsidR="003D5AC4" w:rsidRPr="000C3A94" w:rsidTr="0093474D">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2.11</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Прочие</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2 174 204</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4 882</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204 271</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1 835 275</w:t>
            </w:r>
          </w:p>
        </w:tc>
        <w:tc>
          <w:tcPr>
            <w:tcW w:w="1134"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129 776</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318 217</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149 139</w:t>
            </w:r>
          </w:p>
        </w:tc>
      </w:tr>
      <w:tr w:rsidR="003D5AC4" w:rsidRPr="006C0DB6" w:rsidTr="00B53D00">
        <w:trPr>
          <w:trHeight w:val="300"/>
        </w:trPr>
        <w:tc>
          <w:tcPr>
            <w:tcW w:w="10348"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3D5AC4" w:rsidRPr="000C3A94" w:rsidRDefault="003D5AC4" w:rsidP="00B53D00">
            <w:pPr>
              <w:rPr>
                <w:rFonts w:cs="Arial"/>
                <w:b/>
                <w:bCs/>
                <w:szCs w:val="18"/>
                <w:lang w:val="ru-RU" w:eastAsia="ru-RU"/>
              </w:rPr>
            </w:pPr>
            <w:r w:rsidRPr="000C3A94">
              <w:rPr>
                <w:rFonts w:cs="Arial"/>
                <w:b/>
                <w:bCs/>
                <w:szCs w:val="18"/>
                <w:lang w:val="ru-RU" w:eastAsia="ru-RU"/>
              </w:rPr>
              <w:t>3. Данные о риске концентрации по видам инструментов</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3.1</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Облигации прочих резидентов</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3 311 369</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3 311 369</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353 593</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3.2</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Облигации прочих нерезидентов</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1 479 359</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1 479 359</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106 429</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3.3</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eastAsia="ru-RU"/>
              </w:rPr>
            </w:pPr>
            <w:r w:rsidRPr="000C3A94">
              <w:rPr>
                <w:rFonts w:cs="Arial"/>
                <w:szCs w:val="18"/>
                <w:lang w:eastAsia="ru-RU"/>
              </w:rPr>
              <w:t>Облигации кредитных организаций резидентов</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608 441</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608 441</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992"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25 054</w:t>
            </w:r>
          </w:p>
        </w:tc>
      </w:tr>
      <w:tr w:rsidR="003D5AC4" w:rsidRPr="000C3A94" w:rsidTr="00B53D00">
        <w:trPr>
          <w:trHeight w:val="5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3.4</w:t>
            </w:r>
          </w:p>
        </w:tc>
        <w:tc>
          <w:tcPr>
            <w:tcW w:w="2127" w:type="dxa"/>
            <w:tcBorders>
              <w:top w:val="nil"/>
              <w:left w:val="nil"/>
              <w:bottom w:val="single" w:sz="4" w:space="0" w:color="auto"/>
              <w:right w:val="single" w:sz="4" w:space="0" w:color="auto"/>
            </w:tcBorders>
            <w:shd w:val="clear" w:color="auto" w:fill="auto"/>
            <w:hideMark/>
          </w:tcPr>
          <w:p w:rsidR="003D5AC4" w:rsidRPr="000C3A94" w:rsidRDefault="003D5AC4" w:rsidP="00B53D00">
            <w:pPr>
              <w:rPr>
                <w:rFonts w:cs="Arial"/>
                <w:szCs w:val="18"/>
                <w:lang w:val="ru-RU" w:eastAsia="ru-RU"/>
              </w:rPr>
            </w:pPr>
            <w:r w:rsidRPr="000C3A94">
              <w:rPr>
                <w:rFonts w:cs="Arial"/>
                <w:szCs w:val="18"/>
                <w:lang w:val="ru-RU" w:eastAsia="ru-RU"/>
              </w:rPr>
              <w:t>Облигации федеральных органов исполнительной власти и облигации Банка России</w:t>
            </w:r>
          </w:p>
        </w:tc>
        <w:tc>
          <w:tcPr>
            <w:tcW w:w="1134" w:type="dxa"/>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17 125</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276" w:type="dxa"/>
            <w:gridSpan w:val="2"/>
            <w:tcBorders>
              <w:top w:val="nil"/>
              <w:left w:val="nil"/>
              <w:bottom w:val="single" w:sz="4" w:space="0" w:color="auto"/>
              <w:right w:val="single" w:sz="4" w:space="0" w:color="auto"/>
            </w:tcBorders>
            <w:shd w:val="clear" w:color="auto" w:fill="auto"/>
            <w:noWrap/>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17 125</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1134"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3D5AC4" w:rsidRPr="000C3A94" w:rsidRDefault="003D5AC4" w:rsidP="00B53D00">
            <w:pPr>
              <w:jc w:val="center"/>
              <w:rPr>
                <w:rFonts w:cs="Arial"/>
                <w:szCs w:val="18"/>
                <w:lang w:eastAsia="ru-RU"/>
              </w:rPr>
            </w:pPr>
            <w:r w:rsidRPr="000C3A94">
              <w:rPr>
                <w:rFonts w:cs="Arial"/>
                <w:szCs w:val="18"/>
                <w:lang w:eastAsia="ru-RU"/>
              </w:rPr>
              <w:t> </w:t>
            </w:r>
          </w:p>
        </w:tc>
      </w:tr>
    </w:tbl>
    <w:p w:rsidR="003D5AC4" w:rsidRPr="000C3A94" w:rsidRDefault="003D5AC4" w:rsidP="003D5AC4">
      <w:pPr>
        <w:jc w:val="both"/>
        <w:rPr>
          <w:rFonts w:cs="Arial"/>
          <w:sz w:val="20"/>
          <w:szCs w:val="20"/>
        </w:rPr>
      </w:pPr>
    </w:p>
    <w:p w:rsidR="003D5AC4" w:rsidRPr="000C3A94" w:rsidRDefault="003D5AC4" w:rsidP="003D5AC4">
      <w:pPr>
        <w:jc w:val="both"/>
        <w:rPr>
          <w:rFonts w:cs="Arial"/>
          <w:b/>
          <w:sz w:val="20"/>
          <w:szCs w:val="20"/>
          <w:lang w:val="ru-RU"/>
        </w:rPr>
      </w:pPr>
      <w:r w:rsidRPr="000C3A94">
        <w:rPr>
          <w:rFonts w:cs="Arial"/>
          <w:b/>
          <w:sz w:val="20"/>
          <w:szCs w:val="20"/>
          <w:lang w:val="ru-RU"/>
        </w:rPr>
        <w:t>Данные о риске концентрации по отдельным источникам ликвидности за 31.12.2017:</w:t>
      </w:r>
    </w:p>
    <w:tbl>
      <w:tblPr>
        <w:tblW w:w="10348" w:type="dxa"/>
        <w:tblInd w:w="-601" w:type="dxa"/>
        <w:tblLook w:val="04A0" w:firstRow="1" w:lastRow="0" w:firstColumn="1" w:lastColumn="0" w:noHBand="0" w:noVBand="1"/>
      </w:tblPr>
      <w:tblGrid>
        <w:gridCol w:w="567"/>
        <w:gridCol w:w="7655"/>
        <w:gridCol w:w="2126"/>
      </w:tblGrid>
      <w:tr w:rsidR="003D5AC4" w:rsidRPr="006C0DB6" w:rsidTr="00B53D00">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AC4" w:rsidRPr="000C3A94" w:rsidRDefault="003D5AC4" w:rsidP="00B53D00">
            <w:pPr>
              <w:jc w:val="center"/>
              <w:rPr>
                <w:rFonts w:cs="Arial"/>
                <w:color w:val="000000"/>
                <w:szCs w:val="18"/>
                <w:lang w:eastAsia="ru-RU"/>
              </w:rPr>
            </w:pPr>
            <w:r w:rsidRPr="000C3A94">
              <w:rPr>
                <w:rFonts w:cs="Arial"/>
                <w:color w:val="000000"/>
                <w:szCs w:val="18"/>
                <w:lang w:eastAsia="ru-RU"/>
              </w:rPr>
              <w:t>№</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eastAsia="ru-RU"/>
              </w:rPr>
            </w:pPr>
            <w:r w:rsidRPr="000C3A94">
              <w:rPr>
                <w:rFonts w:cs="Arial"/>
                <w:szCs w:val="18"/>
                <w:lang w:eastAsia="ru-RU"/>
              </w:rPr>
              <w:t>Наименование вида источника ликвидности</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jc w:val="center"/>
              <w:rPr>
                <w:rFonts w:cs="Arial"/>
                <w:szCs w:val="18"/>
                <w:lang w:val="ru-RU" w:eastAsia="ru-RU"/>
              </w:rPr>
            </w:pPr>
            <w:r w:rsidRPr="000C3A94">
              <w:rPr>
                <w:rFonts w:cs="Arial"/>
                <w:szCs w:val="18"/>
                <w:lang w:val="ru-RU" w:eastAsia="ru-RU"/>
              </w:rPr>
              <w:t xml:space="preserve">Объем привлеченных средств, </w:t>
            </w:r>
            <w:r w:rsidRPr="000C3A94">
              <w:rPr>
                <w:rFonts w:cs="Arial"/>
                <w:szCs w:val="18"/>
                <w:lang w:val="ru-RU" w:eastAsia="ru-RU"/>
              </w:rPr>
              <w:br/>
              <w:t>тыс. руб.</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1.1</w:t>
            </w:r>
          </w:p>
        </w:tc>
        <w:tc>
          <w:tcPr>
            <w:tcW w:w="7655"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val="ru-RU" w:eastAsia="ru-RU"/>
              </w:rPr>
            </w:pPr>
            <w:r w:rsidRPr="000C3A94">
              <w:rPr>
                <w:rFonts w:cs="Arial"/>
                <w:szCs w:val="18"/>
                <w:lang w:val="ru-RU" w:eastAsia="ru-RU"/>
              </w:rPr>
              <w:t>Вклады (средства) физических лиц, в том числе индивидуальных предпринимателей</w:t>
            </w:r>
          </w:p>
        </w:tc>
        <w:tc>
          <w:tcPr>
            <w:tcW w:w="2126" w:type="dxa"/>
            <w:tcBorders>
              <w:top w:val="nil"/>
              <w:left w:val="nil"/>
              <w:bottom w:val="single" w:sz="4" w:space="0" w:color="auto"/>
              <w:right w:val="single" w:sz="4" w:space="0" w:color="auto"/>
            </w:tcBorders>
            <w:shd w:val="clear" w:color="auto" w:fill="auto"/>
            <w:noWrap/>
            <w:vAlign w:val="bottom"/>
            <w:hideMark/>
          </w:tcPr>
          <w:p w:rsidR="003D5AC4" w:rsidRPr="000C3A94" w:rsidRDefault="003D5AC4" w:rsidP="0093474D">
            <w:pPr>
              <w:jc w:val="right"/>
              <w:rPr>
                <w:rFonts w:cs="Arial"/>
                <w:color w:val="000000"/>
                <w:szCs w:val="18"/>
                <w:lang w:eastAsia="ru-RU"/>
              </w:rPr>
            </w:pPr>
            <w:r w:rsidRPr="000C3A94">
              <w:rPr>
                <w:rFonts w:cs="Arial"/>
                <w:color w:val="000000"/>
                <w:szCs w:val="18"/>
                <w:lang w:eastAsia="ru-RU"/>
              </w:rPr>
              <w:t>9</w:t>
            </w:r>
            <w:r w:rsidR="0093474D">
              <w:rPr>
                <w:rFonts w:cs="Arial"/>
                <w:color w:val="000000"/>
                <w:szCs w:val="18"/>
                <w:lang w:eastAsia="ru-RU"/>
              </w:rPr>
              <w:t> 846 582</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1.2</w:t>
            </w:r>
          </w:p>
        </w:tc>
        <w:tc>
          <w:tcPr>
            <w:tcW w:w="7655"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val="ru-RU" w:eastAsia="ru-RU"/>
              </w:rPr>
            </w:pPr>
            <w:r w:rsidRPr="000C3A94">
              <w:rPr>
                <w:rFonts w:cs="Arial"/>
                <w:szCs w:val="18"/>
                <w:lang w:val="ru-RU" w:eastAsia="ru-RU"/>
              </w:rPr>
              <w:t>Средства юридических лиц, не являющих кредитными организациями</w:t>
            </w:r>
          </w:p>
        </w:tc>
        <w:tc>
          <w:tcPr>
            <w:tcW w:w="2126" w:type="dxa"/>
            <w:tcBorders>
              <w:top w:val="nil"/>
              <w:left w:val="nil"/>
              <w:bottom w:val="single" w:sz="4" w:space="0" w:color="auto"/>
              <w:right w:val="single" w:sz="4" w:space="0" w:color="auto"/>
            </w:tcBorders>
            <w:shd w:val="clear" w:color="auto" w:fill="auto"/>
            <w:noWrap/>
            <w:vAlign w:val="bottom"/>
            <w:hideMark/>
          </w:tcPr>
          <w:p w:rsidR="003D5AC4" w:rsidRPr="000C3A94" w:rsidRDefault="003D5AC4" w:rsidP="0093474D">
            <w:pPr>
              <w:jc w:val="right"/>
              <w:rPr>
                <w:rFonts w:cs="Arial"/>
                <w:color w:val="000000"/>
                <w:szCs w:val="18"/>
                <w:lang w:eastAsia="ru-RU"/>
              </w:rPr>
            </w:pPr>
            <w:r w:rsidRPr="000C3A94">
              <w:rPr>
                <w:rFonts w:cs="Arial"/>
                <w:color w:val="000000"/>
                <w:szCs w:val="18"/>
                <w:lang w:eastAsia="ru-RU"/>
              </w:rPr>
              <w:t>1</w:t>
            </w:r>
            <w:r w:rsidR="0093474D">
              <w:rPr>
                <w:rFonts w:cs="Arial"/>
                <w:color w:val="000000"/>
                <w:szCs w:val="18"/>
                <w:lang w:eastAsia="ru-RU"/>
              </w:rPr>
              <w:t> 865 019</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1.3</w:t>
            </w:r>
          </w:p>
        </w:tc>
        <w:tc>
          <w:tcPr>
            <w:tcW w:w="7655"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eastAsia="ru-RU"/>
              </w:rPr>
            </w:pPr>
            <w:r w:rsidRPr="000C3A94">
              <w:rPr>
                <w:rFonts w:cs="Arial"/>
                <w:szCs w:val="18"/>
                <w:lang w:eastAsia="ru-RU"/>
              </w:rPr>
              <w:t>Прочие долговые обязательства</w:t>
            </w:r>
          </w:p>
        </w:tc>
        <w:tc>
          <w:tcPr>
            <w:tcW w:w="2126" w:type="dxa"/>
            <w:tcBorders>
              <w:top w:val="nil"/>
              <w:left w:val="nil"/>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166 916</w:t>
            </w:r>
          </w:p>
        </w:tc>
      </w:tr>
      <w:tr w:rsidR="003D5AC4" w:rsidRPr="000C3A94" w:rsidTr="00B53D00">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1.4</w:t>
            </w:r>
          </w:p>
        </w:tc>
        <w:tc>
          <w:tcPr>
            <w:tcW w:w="7655" w:type="dxa"/>
            <w:tcBorders>
              <w:top w:val="single" w:sz="4" w:space="0" w:color="auto"/>
              <w:left w:val="nil"/>
              <w:bottom w:val="single" w:sz="4" w:space="0" w:color="auto"/>
              <w:right w:val="single" w:sz="4" w:space="0" w:color="000000"/>
            </w:tcBorders>
            <w:shd w:val="clear" w:color="auto" w:fill="auto"/>
            <w:vAlign w:val="bottom"/>
            <w:hideMark/>
          </w:tcPr>
          <w:p w:rsidR="003D5AC4" w:rsidRPr="000C3A94" w:rsidRDefault="003D5AC4" w:rsidP="00B53D00">
            <w:pPr>
              <w:rPr>
                <w:rFonts w:cs="Arial"/>
                <w:szCs w:val="18"/>
                <w:lang w:eastAsia="ru-RU"/>
              </w:rPr>
            </w:pPr>
            <w:r w:rsidRPr="000C3A94">
              <w:rPr>
                <w:rFonts w:cs="Arial"/>
                <w:szCs w:val="18"/>
                <w:lang w:eastAsia="ru-RU"/>
              </w:rPr>
              <w:t>Средства кредитных организаций</w:t>
            </w:r>
          </w:p>
        </w:tc>
        <w:tc>
          <w:tcPr>
            <w:tcW w:w="2126" w:type="dxa"/>
            <w:tcBorders>
              <w:top w:val="nil"/>
              <w:left w:val="nil"/>
              <w:bottom w:val="single" w:sz="4" w:space="0" w:color="auto"/>
              <w:right w:val="single" w:sz="4" w:space="0" w:color="auto"/>
            </w:tcBorders>
            <w:shd w:val="clear" w:color="auto" w:fill="auto"/>
            <w:noWrap/>
            <w:vAlign w:val="bottom"/>
            <w:hideMark/>
          </w:tcPr>
          <w:p w:rsidR="003D5AC4" w:rsidRPr="000C3A94" w:rsidRDefault="003D5AC4" w:rsidP="00B53D00">
            <w:pPr>
              <w:jc w:val="right"/>
              <w:rPr>
                <w:rFonts w:cs="Arial"/>
                <w:color w:val="000000"/>
                <w:szCs w:val="18"/>
                <w:lang w:eastAsia="ru-RU"/>
              </w:rPr>
            </w:pPr>
            <w:r w:rsidRPr="000C3A94">
              <w:rPr>
                <w:rFonts w:cs="Arial"/>
                <w:color w:val="000000"/>
                <w:szCs w:val="18"/>
                <w:lang w:eastAsia="ru-RU"/>
              </w:rPr>
              <w:t>51 547</w:t>
            </w:r>
          </w:p>
        </w:tc>
      </w:tr>
    </w:tbl>
    <w:p w:rsidR="003D5AC4" w:rsidRPr="000C3A94" w:rsidRDefault="003D5AC4" w:rsidP="003D5AC4">
      <w:pPr>
        <w:jc w:val="both"/>
        <w:rPr>
          <w:rFonts w:cs="Arial"/>
          <w:sz w:val="20"/>
          <w:szCs w:val="20"/>
        </w:rPr>
      </w:pPr>
      <w:r w:rsidRPr="000C3A94">
        <w:rPr>
          <w:rFonts w:cs="Arial"/>
          <w:sz w:val="20"/>
          <w:szCs w:val="20"/>
        </w:rPr>
        <w:t xml:space="preserve"> </w:t>
      </w:r>
    </w:p>
    <w:p w:rsidR="003D5AC4" w:rsidRPr="000C3A94" w:rsidRDefault="003D5AC4" w:rsidP="003D5AC4">
      <w:pPr>
        <w:jc w:val="both"/>
        <w:rPr>
          <w:rFonts w:cs="Arial"/>
          <w:sz w:val="20"/>
          <w:szCs w:val="20"/>
          <w:lang w:val="ru-RU"/>
        </w:rPr>
      </w:pPr>
      <w:r w:rsidRPr="000C3A94">
        <w:rPr>
          <w:rFonts w:cs="Arial"/>
          <w:sz w:val="20"/>
          <w:szCs w:val="20"/>
          <w:lang w:val="ru-RU"/>
        </w:rPr>
        <w:t xml:space="preserve">В отчетном периоде Банк осуществлял контроль за соблюдением лимитов концентрации, в отчетном периоде не наблюдалось достижения сигнальных значений, а также нарушения установленных лимитов в рамках риска концентрации. </w:t>
      </w:r>
    </w:p>
    <w:p w:rsidR="003D5AC4" w:rsidRPr="000C3A94" w:rsidRDefault="003D5AC4" w:rsidP="003D5AC4">
      <w:pPr>
        <w:jc w:val="both"/>
        <w:rPr>
          <w:rFonts w:cs="Arial"/>
          <w:sz w:val="20"/>
          <w:szCs w:val="20"/>
          <w:lang w:val="ru-RU"/>
        </w:rPr>
      </w:pPr>
    </w:p>
    <w:p w:rsidR="003D5AC4" w:rsidRPr="000C3A94" w:rsidRDefault="003D5AC4" w:rsidP="003D5AC4">
      <w:pPr>
        <w:jc w:val="both"/>
        <w:rPr>
          <w:rFonts w:cs="Arial"/>
          <w:b/>
          <w:sz w:val="20"/>
          <w:szCs w:val="20"/>
          <w:lang w:val="ru-RU"/>
        </w:rPr>
      </w:pPr>
      <w:r w:rsidRPr="000C3A94">
        <w:rPr>
          <w:rFonts w:cs="Arial"/>
          <w:b/>
          <w:sz w:val="20"/>
          <w:szCs w:val="20"/>
          <w:lang w:val="ru-RU"/>
        </w:rPr>
        <w:t>7.1. По кредитному риску по классам финансовых активов</w:t>
      </w:r>
    </w:p>
    <w:p w:rsidR="003D5AC4" w:rsidRPr="000C3A94" w:rsidRDefault="003D5AC4" w:rsidP="003D5AC4">
      <w:pPr>
        <w:pStyle w:val="HTML"/>
        <w:ind w:firstLine="709"/>
        <w:jc w:val="both"/>
        <w:rPr>
          <w:rFonts w:ascii="Arial" w:hAnsi="Arial" w:cs="Arial"/>
          <w:color w:val="auto"/>
          <w:sz w:val="18"/>
          <w:szCs w:val="18"/>
          <w:lang w:eastAsia="en-US"/>
        </w:rPr>
      </w:pP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В соответствии с требованиями пункта 2.3 Инструкции Банка России от 28 июня 2017 года N 180-И «Об обязательных нормативах банков» активы классифицируются по группам риска.</w:t>
      </w:r>
    </w:p>
    <w:p w:rsidR="003D5AC4" w:rsidRPr="000C3A94" w:rsidRDefault="003D5AC4" w:rsidP="003D5AC4">
      <w:pPr>
        <w:pStyle w:val="HTML"/>
        <w:jc w:val="both"/>
        <w:rPr>
          <w:rFonts w:ascii="Arial" w:hAnsi="Arial" w:cs="Arial"/>
          <w:color w:val="auto"/>
          <w:sz w:val="18"/>
          <w:szCs w:val="18"/>
          <w:lang w:eastAsia="en-US"/>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Классификация активов по группам риска:</w:t>
      </w:r>
    </w:p>
    <w:p w:rsidR="003D5AC4" w:rsidRPr="000C3A94" w:rsidRDefault="003D5AC4" w:rsidP="003D5AC4">
      <w:pPr>
        <w:pStyle w:val="HTML"/>
        <w:jc w:val="both"/>
        <w:rPr>
          <w:rFonts w:ascii="Arial" w:hAnsi="Arial" w:cs="Arial"/>
          <w:b/>
          <w:color w:val="auto"/>
          <w:sz w:val="18"/>
          <w:szCs w:val="18"/>
        </w:rPr>
      </w:pP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526"/>
        <w:gridCol w:w="2453"/>
      </w:tblGrid>
      <w:tr w:rsidR="003D5AC4" w:rsidRPr="00A06956" w:rsidTr="00B53D00">
        <w:trPr>
          <w:trHeight w:val="277"/>
          <w:tblHeader/>
          <w:jc w:val="center"/>
        </w:trPr>
        <w:tc>
          <w:tcPr>
            <w:tcW w:w="4528" w:type="dxa"/>
            <w:shd w:val="clear" w:color="auto" w:fill="auto"/>
            <w:hideMark/>
          </w:tcPr>
          <w:p w:rsidR="003D5AC4" w:rsidRPr="00244958" w:rsidRDefault="003D5AC4" w:rsidP="00B53D00">
            <w:pPr>
              <w:overflowPunct/>
              <w:autoSpaceDE/>
              <w:autoSpaceDN/>
              <w:adjustRightInd/>
              <w:textAlignment w:val="auto"/>
              <w:rPr>
                <w:rFonts w:cs="Arial"/>
                <w:b/>
                <w:szCs w:val="18"/>
                <w:lang w:val="ru-RU" w:eastAsia="ru-RU"/>
              </w:rPr>
            </w:pPr>
            <w:r w:rsidRPr="00244958">
              <w:rPr>
                <w:rFonts w:cs="Arial"/>
                <w:b/>
                <w:szCs w:val="18"/>
                <w:lang w:val="ru-RU" w:eastAsia="ru-RU"/>
              </w:rPr>
              <w:t>Активы, взвеш</w:t>
            </w:r>
            <w:r>
              <w:rPr>
                <w:rFonts w:cs="Arial"/>
                <w:b/>
                <w:szCs w:val="18"/>
                <w:lang w:val="ru-RU" w:eastAsia="ru-RU"/>
              </w:rPr>
              <w:t>енные с учетом риска, тыс. руб.</w:t>
            </w:r>
            <w:r w:rsidRPr="00244958">
              <w:rPr>
                <w:rFonts w:cs="Arial"/>
                <w:b/>
                <w:szCs w:val="18"/>
                <w:lang w:val="ru-RU" w:eastAsia="ru-RU"/>
              </w:rPr>
              <w:t xml:space="preserve"> </w:t>
            </w:r>
          </w:p>
        </w:tc>
        <w:tc>
          <w:tcPr>
            <w:tcW w:w="2526" w:type="dxa"/>
            <w:vAlign w:val="center"/>
          </w:tcPr>
          <w:p w:rsidR="003D5AC4" w:rsidRPr="00A06956" w:rsidRDefault="003D5AC4" w:rsidP="00B53D00">
            <w:pPr>
              <w:overflowPunct/>
              <w:autoSpaceDE/>
              <w:autoSpaceDN/>
              <w:adjustRightInd/>
              <w:spacing w:after="200" w:line="276" w:lineRule="auto"/>
              <w:jc w:val="center"/>
              <w:textAlignment w:val="auto"/>
              <w:rPr>
                <w:rFonts w:cs="Arial"/>
                <w:lang w:val="ru-RU"/>
              </w:rPr>
            </w:pPr>
            <w:r w:rsidRPr="00244958">
              <w:rPr>
                <w:rFonts w:cs="Arial"/>
                <w:b/>
                <w:bCs/>
                <w:szCs w:val="18"/>
                <w:lang w:val="ru-RU" w:eastAsia="ru-RU"/>
              </w:rPr>
              <w:t>31.12.2018</w:t>
            </w:r>
          </w:p>
        </w:tc>
        <w:tc>
          <w:tcPr>
            <w:tcW w:w="2453" w:type="dxa"/>
            <w:vAlign w:val="center"/>
          </w:tcPr>
          <w:p w:rsidR="003D5AC4" w:rsidRPr="00A06956" w:rsidRDefault="003D5AC4" w:rsidP="00B53D00">
            <w:pPr>
              <w:overflowPunct/>
              <w:autoSpaceDE/>
              <w:autoSpaceDN/>
              <w:adjustRightInd/>
              <w:spacing w:after="200" w:line="276" w:lineRule="auto"/>
              <w:jc w:val="center"/>
              <w:textAlignment w:val="auto"/>
              <w:rPr>
                <w:rFonts w:cs="Arial"/>
                <w:lang w:val="ru-RU"/>
              </w:rPr>
            </w:pPr>
            <w:r w:rsidRPr="00244958">
              <w:rPr>
                <w:rFonts w:cs="Arial"/>
                <w:b/>
                <w:bCs/>
                <w:szCs w:val="18"/>
                <w:lang w:val="ru-RU" w:eastAsia="ru-RU"/>
              </w:rPr>
              <w:t>31.12.2018</w:t>
            </w:r>
          </w:p>
        </w:tc>
      </w:tr>
      <w:tr w:rsidR="003D5AC4" w:rsidRPr="00A06956" w:rsidTr="00B53D00">
        <w:trPr>
          <w:trHeight w:val="299"/>
          <w:jc w:val="center"/>
        </w:trPr>
        <w:tc>
          <w:tcPr>
            <w:tcW w:w="4528" w:type="dxa"/>
            <w:shd w:val="clear" w:color="auto" w:fill="auto"/>
            <w:hideMark/>
          </w:tcPr>
          <w:p w:rsidR="003D5AC4" w:rsidRPr="00244958" w:rsidRDefault="003D5AC4" w:rsidP="00B53D00">
            <w:pPr>
              <w:overflowPunct/>
              <w:autoSpaceDE/>
              <w:autoSpaceDN/>
              <w:adjustRightInd/>
              <w:textAlignment w:val="auto"/>
              <w:rPr>
                <w:rFonts w:cs="Arial"/>
                <w:szCs w:val="18"/>
                <w:lang w:val="ru-RU" w:eastAsia="ru-RU"/>
              </w:rPr>
            </w:pPr>
            <w:r w:rsidRPr="00244958">
              <w:rPr>
                <w:rFonts w:cs="Arial"/>
                <w:szCs w:val="18"/>
                <w:lang w:val="en-US" w:eastAsia="ru-RU"/>
              </w:rPr>
              <w:t>I</w:t>
            </w:r>
            <w:r w:rsidRPr="00244958">
              <w:rPr>
                <w:rFonts w:cs="Arial"/>
                <w:szCs w:val="18"/>
                <w:lang w:val="ru-RU" w:eastAsia="ru-RU"/>
              </w:rPr>
              <w:t xml:space="preserve"> группа активов </w:t>
            </w:r>
          </w:p>
        </w:tc>
        <w:tc>
          <w:tcPr>
            <w:tcW w:w="2526" w:type="dxa"/>
          </w:tcPr>
          <w:p w:rsidR="003D5AC4" w:rsidRPr="00A06956" w:rsidRDefault="003D5AC4" w:rsidP="00B53D00">
            <w:pPr>
              <w:overflowPunct/>
              <w:autoSpaceDE/>
              <w:autoSpaceDN/>
              <w:adjustRightInd/>
              <w:jc w:val="center"/>
              <w:textAlignment w:val="auto"/>
              <w:rPr>
                <w:rFonts w:cs="Arial"/>
                <w:szCs w:val="18"/>
                <w:lang w:val="ru-RU" w:eastAsia="ru-RU"/>
              </w:rPr>
            </w:pPr>
            <w:r w:rsidRPr="00A06956">
              <w:rPr>
                <w:rFonts w:cs="Arial"/>
                <w:szCs w:val="18"/>
                <w:lang w:val="ru-RU" w:eastAsia="ru-RU"/>
              </w:rPr>
              <w:t>2</w:t>
            </w:r>
            <w:r w:rsidRPr="00F614F6">
              <w:rPr>
                <w:rFonts w:cs="Arial"/>
                <w:szCs w:val="18"/>
                <w:lang w:val="en-US" w:eastAsia="ru-RU"/>
              </w:rPr>
              <w:t> </w:t>
            </w:r>
            <w:r w:rsidRPr="00A06956">
              <w:rPr>
                <w:rFonts w:cs="Arial"/>
                <w:szCs w:val="18"/>
                <w:lang w:val="ru-RU" w:eastAsia="ru-RU"/>
              </w:rPr>
              <w:t>745 885</w:t>
            </w:r>
          </w:p>
        </w:tc>
        <w:tc>
          <w:tcPr>
            <w:tcW w:w="2453" w:type="dxa"/>
            <w:shd w:val="clear" w:color="auto" w:fill="auto"/>
            <w:noWrap/>
            <w:hideMark/>
          </w:tcPr>
          <w:p w:rsidR="003D5AC4" w:rsidRPr="00A06956" w:rsidRDefault="003D5AC4" w:rsidP="00B53D00">
            <w:pPr>
              <w:overflowPunct/>
              <w:autoSpaceDE/>
              <w:autoSpaceDN/>
              <w:adjustRightInd/>
              <w:jc w:val="center"/>
              <w:textAlignment w:val="auto"/>
              <w:rPr>
                <w:rFonts w:cs="Arial"/>
                <w:szCs w:val="18"/>
                <w:lang w:val="ru-RU" w:eastAsia="ru-RU"/>
              </w:rPr>
            </w:pPr>
            <w:r w:rsidRPr="00A06956">
              <w:rPr>
                <w:rFonts w:cs="Arial"/>
                <w:szCs w:val="18"/>
                <w:lang w:val="ru-RU" w:eastAsia="ru-RU"/>
              </w:rPr>
              <w:t>1</w:t>
            </w:r>
            <w:r w:rsidRPr="00F614F6">
              <w:rPr>
                <w:rFonts w:cs="Arial"/>
                <w:szCs w:val="18"/>
                <w:lang w:val="en-US" w:eastAsia="ru-RU"/>
              </w:rPr>
              <w:t> </w:t>
            </w:r>
            <w:r w:rsidRPr="00A06956">
              <w:rPr>
                <w:rFonts w:cs="Arial"/>
                <w:szCs w:val="18"/>
                <w:lang w:val="ru-RU" w:eastAsia="ru-RU"/>
              </w:rPr>
              <w:t>748 069</w:t>
            </w:r>
          </w:p>
        </w:tc>
      </w:tr>
      <w:tr w:rsidR="003D5AC4" w:rsidRPr="00A06956" w:rsidTr="00B53D00">
        <w:trPr>
          <w:trHeight w:val="315"/>
          <w:jc w:val="center"/>
        </w:trPr>
        <w:tc>
          <w:tcPr>
            <w:tcW w:w="4528" w:type="dxa"/>
            <w:shd w:val="clear" w:color="auto" w:fill="auto"/>
            <w:hideMark/>
          </w:tcPr>
          <w:p w:rsidR="003D5AC4" w:rsidRPr="00244958" w:rsidRDefault="003D5AC4" w:rsidP="00B53D00">
            <w:pPr>
              <w:overflowPunct/>
              <w:autoSpaceDE/>
              <w:autoSpaceDN/>
              <w:adjustRightInd/>
              <w:textAlignment w:val="auto"/>
              <w:rPr>
                <w:rFonts w:cs="Arial"/>
                <w:szCs w:val="18"/>
                <w:lang w:val="ru-RU" w:eastAsia="ru-RU"/>
              </w:rPr>
            </w:pPr>
            <w:r w:rsidRPr="00244958">
              <w:rPr>
                <w:rFonts w:cs="Arial"/>
                <w:szCs w:val="18"/>
                <w:lang w:val="en-US" w:eastAsia="ru-RU"/>
              </w:rPr>
              <w:t>II</w:t>
            </w:r>
            <w:r w:rsidRPr="00244958">
              <w:rPr>
                <w:rFonts w:cs="Arial"/>
                <w:szCs w:val="18"/>
                <w:lang w:val="ru-RU" w:eastAsia="ru-RU"/>
              </w:rPr>
              <w:t xml:space="preserve"> группа активов</w:t>
            </w:r>
          </w:p>
        </w:tc>
        <w:tc>
          <w:tcPr>
            <w:tcW w:w="2526" w:type="dxa"/>
          </w:tcPr>
          <w:p w:rsidR="003D5AC4" w:rsidRPr="00A06956" w:rsidRDefault="003D5AC4" w:rsidP="00B53D00">
            <w:pPr>
              <w:overflowPunct/>
              <w:autoSpaceDE/>
              <w:autoSpaceDN/>
              <w:adjustRightInd/>
              <w:jc w:val="center"/>
              <w:textAlignment w:val="auto"/>
              <w:rPr>
                <w:rFonts w:cs="Arial"/>
                <w:szCs w:val="18"/>
                <w:lang w:val="ru-RU" w:eastAsia="ru-RU"/>
              </w:rPr>
            </w:pPr>
            <w:r w:rsidRPr="00A06956">
              <w:rPr>
                <w:rFonts w:cs="Arial"/>
                <w:szCs w:val="18"/>
                <w:lang w:val="ru-RU" w:eastAsia="ru-RU"/>
              </w:rPr>
              <w:t>213 246</w:t>
            </w:r>
          </w:p>
        </w:tc>
        <w:tc>
          <w:tcPr>
            <w:tcW w:w="2453" w:type="dxa"/>
            <w:shd w:val="clear" w:color="auto" w:fill="auto"/>
            <w:noWrap/>
            <w:hideMark/>
          </w:tcPr>
          <w:p w:rsidR="003D5AC4" w:rsidRPr="00F614F6" w:rsidRDefault="003D5AC4" w:rsidP="00B53D00">
            <w:pPr>
              <w:overflowPunct/>
              <w:autoSpaceDE/>
              <w:autoSpaceDN/>
              <w:adjustRightInd/>
              <w:jc w:val="center"/>
              <w:textAlignment w:val="auto"/>
              <w:rPr>
                <w:rFonts w:cs="Arial"/>
                <w:szCs w:val="18"/>
                <w:lang w:val="ru-RU" w:eastAsia="ru-RU"/>
              </w:rPr>
            </w:pPr>
            <w:r w:rsidRPr="00F614F6">
              <w:rPr>
                <w:rFonts w:cs="Arial"/>
                <w:szCs w:val="18"/>
                <w:lang w:val="ru-RU" w:eastAsia="ru-RU"/>
              </w:rPr>
              <w:t>222 181</w:t>
            </w:r>
          </w:p>
        </w:tc>
      </w:tr>
      <w:tr w:rsidR="003D5AC4" w:rsidRPr="00244958" w:rsidTr="00B53D00">
        <w:trPr>
          <w:trHeight w:val="315"/>
          <w:jc w:val="center"/>
        </w:trPr>
        <w:tc>
          <w:tcPr>
            <w:tcW w:w="4528" w:type="dxa"/>
            <w:shd w:val="clear" w:color="auto" w:fill="auto"/>
            <w:hideMark/>
          </w:tcPr>
          <w:p w:rsidR="003D5AC4" w:rsidRPr="00244958" w:rsidRDefault="003D5AC4" w:rsidP="00B53D00">
            <w:pPr>
              <w:overflowPunct/>
              <w:autoSpaceDE/>
              <w:autoSpaceDN/>
              <w:adjustRightInd/>
              <w:textAlignment w:val="auto"/>
              <w:rPr>
                <w:rFonts w:cs="Arial"/>
                <w:szCs w:val="18"/>
                <w:lang w:val="ru-RU" w:eastAsia="ru-RU"/>
              </w:rPr>
            </w:pPr>
            <w:r w:rsidRPr="00244958">
              <w:rPr>
                <w:rFonts w:cs="Arial"/>
                <w:szCs w:val="18"/>
                <w:lang w:val="en-US" w:eastAsia="ru-RU"/>
              </w:rPr>
              <w:t>III</w:t>
            </w:r>
            <w:r w:rsidRPr="00244958">
              <w:rPr>
                <w:rFonts w:cs="Arial"/>
                <w:szCs w:val="18"/>
                <w:lang w:val="ru-RU" w:eastAsia="ru-RU"/>
              </w:rPr>
              <w:t xml:space="preserve"> группа активов</w:t>
            </w:r>
          </w:p>
        </w:tc>
        <w:tc>
          <w:tcPr>
            <w:tcW w:w="2526" w:type="dxa"/>
          </w:tcPr>
          <w:p w:rsidR="003D5AC4" w:rsidRPr="00F614F6" w:rsidRDefault="003D5AC4" w:rsidP="00B53D00">
            <w:pPr>
              <w:overflowPunct/>
              <w:autoSpaceDE/>
              <w:autoSpaceDN/>
              <w:adjustRightInd/>
              <w:jc w:val="center"/>
              <w:textAlignment w:val="auto"/>
              <w:rPr>
                <w:rFonts w:cs="Arial"/>
                <w:szCs w:val="18"/>
                <w:lang w:val="ru-RU" w:eastAsia="ru-RU"/>
              </w:rPr>
            </w:pPr>
            <w:r w:rsidRPr="00F614F6">
              <w:rPr>
                <w:rFonts w:cs="Arial"/>
                <w:szCs w:val="18"/>
                <w:lang w:val="ru-RU" w:eastAsia="ru-RU"/>
              </w:rPr>
              <w:t>0</w:t>
            </w:r>
          </w:p>
        </w:tc>
        <w:tc>
          <w:tcPr>
            <w:tcW w:w="2453" w:type="dxa"/>
            <w:shd w:val="clear" w:color="auto" w:fill="auto"/>
            <w:noWrap/>
            <w:hideMark/>
          </w:tcPr>
          <w:p w:rsidR="003D5AC4" w:rsidRPr="00F614F6" w:rsidRDefault="003D5AC4" w:rsidP="00B53D00">
            <w:pPr>
              <w:overflowPunct/>
              <w:autoSpaceDE/>
              <w:autoSpaceDN/>
              <w:adjustRightInd/>
              <w:jc w:val="center"/>
              <w:textAlignment w:val="auto"/>
              <w:rPr>
                <w:rFonts w:cs="Arial"/>
                <w:szCs w:val="18"/>
                <w:lang w:val="ru-RU" w:eastAsia="ru-RU"/>
              </w:rPr>
            </w:pPr>
            <w:r w:rsidRPr="00F614F6">
              <w:rPr>
                <w:rFonts w:cs="Arial"/>
                <w:szCs w:val="18"/>
                <w:lang w:val="ru-RU" w:eastAsia="ru-RU"/>
              </w:rPr>
              <w:t>91</w:t>
            </w:r>
          </w:p>
        </w:tc>
      </w:tr>
      <w:tr w:rsidR="003D5AC4" w:rsidRPr="00244958" w:rsidTr="00B53D00">
        <w:trPr>
          <w:trHeight w:val="315"/>
          <w:jc w:val="center"/>
        </w:trPr>
        <w:tc>
          <w:tcPr>
            <w:tcW w:w="4528" w:type="dxa"/>
            <w:shd w:val="clear" w:color="auto" w:fill="auto"/>
            <w:hideMark/>
          </w:tcPr>
          <w:p w:rsidR="003D5AC4" w:rsidRPr="00244958" w:rsidRDefault="003D5AC4" w:rsidP="00B53D00">
            <w:pPr>
              <w:overflowPunct/>
              <w:autoSpaceDE/>
              <w:autoSpaceDN/>
              <w:adjustRightInd/>
              <w:textAlignment w:val="auto"/>
              <w:rPr>
                <w:rFonts w:cs="Arial"/>
                <w:szCs w:val="18"/>
                <w:lang w:val="ru-RU" w:eastAsia="ru-RU"/>
              </w:rPr>
            </w:pPr>
            <w:r w:rsidRPr="00244958">
              <w:rPr>
                <w:rFonts w:cs="Arial"/>
                <w:szCs w:val="18"/>
                <w:lang w:val="en-US" w:eastAsia="ru-RU"/>
              </w:rPr>
              <w:t>IV</w:t>
            </w:r>
            <w:r w:rsidRPr="00244958">
              <w:rPr>
                <w:rFonts w:cs="Arial"/>
                <w:szCs w:val="18"/>
                <w:lang w:val="ru-RU" w:eastAsia="ru-RU"/>
              </w:rPr>
              <w:t xml:space="preserve"> группа активов</w:t>
            </w:r>
          </w:p>
        </w:tc>
        <w:tc>
          <w:tcPr>
            <w:tcW w:w="2526" w:type="dxa"/>
          </w:tcPr>
          <w:p w:rsidR="003D5AC4" w:rsidRPr="0091597E" w:rsidRDefault="003D5AC4" w:rsidP="00B53D00">
            <w:pPr>
              <w:overflowPunct/>
              <w:autoSpaceDE/>
              <w:autoSpaceDN/>
              <w:adjustRightInd/>
              <w:jc w:val="center"/>
              <w:textAlignment w:val="auto"/>
              <w:rPr>
                <w:rFonts w:cs="Arial"/>
                <w:szCs w:val="18"/>
                <w:lang w:val="ru-RU" w:eastAsia="ru-RU"/>
              </w:rPr>
            </w:pPr>
            <w:r w:rsidRPr="00F614F6">
              <w:rPr>
                <w:rFonts w:cs="Arial"/>
                <w:szCs w:val="18"/>
                <w:lang w:val="en-US" w:eastAsia="ru-RU"/>
              </w:rPr>
              <w:t>5</w:t>
            </w:r>
            <w:r>
              <w:rPr>
                <w:rFonts w:cs="Arial"/>
                <w:szCs w:val="18"/>
                <w:lang w:val="en-US" w:eastAsia="ru-RU"/>
              </w:rPr>
              <w:t> </w:t>
            </w:r>
            <w:r>
              <w:rPr>
                <w:rFonts w:cs="Arial"/>
                <w:szCs w:val="18"/>
                <w:lang w:val="ru-RU" w:eastAsia="ru-RU"/>
              </w:rPr>
              <w:t>967 783</w:t>
            </w:r>
          </w:p>
        </w:tc>
        <w:tc>
          <w:tcPr>
            <w:tcW w:w="2453" w:type="dxa"/>
            <w:shd w:val="clear" w:color="auto" w:fill="auto"/>
            <w:noWrap/>
            <w:hideMark/>
          </w:tcPr>
          <w:p w:rsidR="003D5AC4" w:rsidRPr="00F614F6" w:rsidRDefault="003D5AC4" w:rsidP="00B53D00">
            <w:pPr>
              <w:overflowPunct/>
              <w:autoSpaceDE/>
              <w:autoSpaceDN/>
              <w:adjustRightInd/>
              <w:jc w:val="center"/>
              <w:textAlignment w:val="auto"/>
              <w:rPr>
                <w:rFonts w:cs="Arial"/>
                <w:szCs w:val="18"/>
                <w:lang w:val="ru-RU" w:eastAsia="ru-RU"/>
              </w:rPr>
            </w:pPr>
            <w:r w:rsidRPr="00F614F6">
              <w:rPr>
                <w:rFonts w:cs="Arial"/>
                <w:szCs w:val="18"/>
                <w:lang w:val="ru-RU" w:eastAsia="ru-RU"/>
              </w:rPr>
              <w:t>5 236 544</w:t>
            </w:r>
          </w:p>
        </w:tc>
      </w:tr>
      <w:tr w:rsidR="003D5AC4" w:rsidRPr="00244958" w:rsidTr="00B53D00">
        <w:trPr>
          <w:trHeight w:val="315"/>
          <w:jc w:val="center"/>
        </w:trPr>
        <w:tc>
          <w:tcPr>
            <w:tcW w:w="4528" w:type="dxa"/>
            <w:tcBorders>
              <w:bottom w:val="single" w:sz="4" w:space="0" w:color="auto"/>
            </w:tcBorders>
            <w:shd w:val="clear" w:color="auto" w:fill="auto"/>
          </w:tcPr>
          <w:p w:rsidR="003D5AC4" w:rsidRPr="00244958" w:rsidRDefault="003D5AC4" w:rsidP="00B53D00">
            <w:pPr>
              <w:overflowPunct/>
              <w:autoSpaceDE/>
              <w:autoSpaceDN/>
              <w:adjustRightInd/>
              <w:textAlignment w:val="auto"/>
              <w:rPr>
                <w:rFonts w:cs="Arial"/>
                <w:szCs w:val="18"/>
                <w:lang w:val="en-US" w:eastAsia="ru-RU"/>
              </w:rPr>
            </w:pPr>
            <w:r w:rsidRPr="00244958">
              <w:rPr>
                <w:rFonts w:cs="Arial"/>
                <w:szCs w:val="18"/>
                <w:lang w:val="en-US" w:eastAsia="ru-RU"/>
              </w:rPr>
              <w:t>V</w:t>
            </w:r>
            <w:r w:rsidRPr="00244958">
              <w:rPr>
                <w:rFonts w:cs="Arial"/>
                <w:szCs w:val="18"/>
                <w:lang w:val="ru-RU" w:eastAsia="ru-RU"/>
              </w:rPr>
              <w:t xml:space="preserve"> группа активов</w:t>
            </w:r>
          </w:p>
        </w:tc>
        <w:tc>
          <w:tcPr>
            <w:tcW w:w="2526" w:type="dxa"/>
            <w:tcBorders>
              <w:bottom w:val="single" w:sz="4" w:space="0" w:color="auto"/>
            </w:tcBorders>
          </w:tcPr>
          <w:p w:rsidR="003D5AC4" w:rsidRPr="00F614F6" w:rsidRDefault="003D5AC4" w:rsidP="00B53D00">
            <w:pPr>
              <w:overflowPunct/>
              <w:autoSpaceDE/>
              <w:autoSpaceDN/>
              <w:adjustRightInd/>
              <w:jc w:val="center"/>
              <w:textAlignment w:val="auto"/>
              <w:rPr>
                <w:rFonts w:cs="Arial"/>
                <w:szCs w:val="18"/>
                <w:lang w:val="en-US" w:eastAsia="ru-RU"/>
              </w:rPr>
            </w:pPr>
            <w:r w:rsidRPr="00F614F6">
              <w:rPr>
                <w:rFonts w:cs="Arial"/>
                <w:szCs w:val="18"/>
                <w:lang w:val="en-US" w:eastAsia="ru-RU"/>
              </w:rPr>
              <w:t>0</w:t>
            </w:r>
          </w:p>
        </w:tc>
        <w:tc>
          <w:tcPr>
            <w:tcW w:w="2453" w:type="dxa"/>
            <w:tcBorders>
              <w:bottom w:val="single" w:sz="4" w:space="0" w:color="auto"/>
            </w:tcBorders>
            <w:shd w:val="clear" w:color="auto" w:fill="auto"/>
            <w:noWrap/>
          </w:tcPr>
          <w:p w:rsidR="003D5AC4" w:rsidRPr="00F614F6" w:rsidRDefault="003D5AC4" w:rsidP="00B53D00">
            <w:pPr>
              <w:overflowPunct/>
              <w:autoSpaceDE/>
              <w:autoSpaceDN/>
              <w:adjustRightInd/>
              <w:jc w:val="center"/>
              <w:textAlignment w:val="auto"/>
              <w:rPr>
                <w:rFonts w:cs="Arial"/>
                <w:szCs w:val="18"/>
                <w:lang w:val="en-US" w:eastAsia="ru-RU"/>
              </w:rPr>
            </w:pPr>
            <w:r w:rsidRPr="00F614F6">
              <w:rPr>
                <w:rFonts w:cs="Arial"/>
                <w:szCs w:val="18"/>
                <w:lang w:val="en-US" w:eastAsia="ru-RU"/>
              </w:rPr>
              <w:t>0</w:t>
            </w:r>
          </w:p>
        </w:tc>
      </w:tr>
    </w:tbl>
    <w:p w:rsidR="003D5AC4" w:rsidRPr="000C3A94" w:rsidRDefault="003D5AC4" w:rsidP="003D5AC4">
      <w:pPr>
        <w:overflowPunct/>
        <w:autoSpaceDE/>
        <w:autoSpaceDN/>
        <w:adjustRightInd/>
        <w:jc w:val="both"/>
        <w:textAlignment w:val="auto"/>
        <w:rPr>
          <w:rFonts w:cs="Arial"/>
          <w:b/>
          <w:color w:val="000000" w:themeColor="text1"/>
          <w:szCs w:val="18"/>
          <w:lang w:val="ru-RU" w:eastAsia="ru-RU"/>
        </w:rPr>
      </w:pP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 xml:space="preserve">Основными методами снижения риска является надлежащая оценка рисков на этапе структурирования сделки, принятие в обеспечение исполнения обязательств различных залогов, диверсификация кредитных требований. </w:t>
      </w: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При структурировании кредитных сделок Банк исходит из приоритета типов обеспечения исполнения обязательств контрагента, которые характеризуются высоким уровнем ликвидности, отсутствием обстоятельств, которые могли бы затруднить процесс обращения взыскания на залог, либо существенно его усложнить, материальной значимостью для залогодателя.</w:t>
      </w: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lastRenderedPageBreak/>
        <w:t xml:space="preserve">Приоритетными видами обеспечения по предоставляемым кредитным продуктам является имущество, обладающее достаточной степенью ликвидности, для его реализации в разумно короткие сроки, а также не подверженное значительному снижению стоимости во времени. К такому имуществу можно отнести: объекты недвижимости (здания) с оформленными в собственность или арендованными земельными участками, помещения (за исключением объектов жилой недвижимости), которые могут быть без трудностей реализованы. Исключение составляет недвижимость, обремененная правами третьих лиц. </w:t>
      </w: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Нежелательными видами обеспечения являются: труднореализуемое имущество в связи с его специфичностью, неликвидное, неидентифицируемое имущество, скоропортящиеся товары, а также имущество, доступ к которому затруднен, в том числе на условиях оформления специальных прав доступа (например, на территории режимных объектов (военных, таможенных и т.д.), узкоспециализированное специфическое оборудование и др.</w:t>
      </w: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 xml:space="preserve">Рыночная стоимость - наиболее вероятная цена, по которой объект оценки может быть отчужден на дату оценки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Рыночная (справедливая) стоимость залога определяется Банком на постоянной основе при заключении договора залога и в процессе обслуживания ссуды сотрудниками Отдела по работе с залогами с использованием методов сравнительного и/ или доходного и/ или затратного подхода. </w:t>
      </w:r>
    </w:p>
    <w:p w:rsidR="003D5AC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jc w:val="both"/>
        <w:rPr>
          <w:rFonts w:cs="Arial"/>
          <w:b/>
          <w:sz w:val="20"/>
          <w:szCs w:val="20"/>
          <w:lang w:val="ru-RU"/>
        </w:rPr>
      </w:pPr>
      <w:r w:rsidRPr="000C3A94">
        <w:rPr>
          <w:rFonts w:cs="Arial"/>
          <w:b/>
          <w:sz w:val="20"/>
          <w:szCs w:val="20"/>
          <w:lang w:val="ru-RU"/>
        </w:rPr>
        <w:t>Информация об объеме полученного в залог обеспечения в отчетном периоде:</w:t>
      </w:r>
    </w:p>
    <w:p w:rsidR="003D5AC4" w:rsidRPr="000C3A94" w:rsidRDefault="003D5AC4" w:rsidP="003D5AC4">
      <w:pPr>
        <w:jc w:val="right"/>
        <w:rPr>
          <w:rFonts w:cs="Arial"/>
          <w:szCs w:val="18"/>
          <w:lang w:val="ru-RU"/>
        </w:rPr>
      </w:pPr>
    </w:p>
    <w:tbl>
      <w:tblPr>
        <w:tblW w:w="8931" w:type="dxa"/>
        <w:tblInd w:w="108" w:type="dxa"/>
        <w:tblLook w:val="04A0" w:firstRow="1" w:lastRow="0" w:firstColumn="1" w:lastColumn="0" w:noHBand="0" w:noVBand="1"/>
      </w:tblPr>
      <w:tblGrid>
        <w:gridCol w:w="4253"/>
        <w:gridCol w:w="2410"/>
        <w:gridCol w:w="2268"/>
      </w:tblGrid>
      <w:tr w:rsidR="003D5AC4" w:rsidRPr="000C3A94" w:rsidTr="00B53D00">
        <w:trPr>
          <w:trHeight w:val="368"/>
          <w:tblHeader/>
        </w:trPr>
        <w:tc>
          <w:tcPr>
            <w:tcW w:w="4253"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Тип обеспечения</w:t>
            </w:r>
          </w:p>
        </w:tc>
        <w:tc>
          <w:tcPr>
            <w:tcW w:w="2410" w:type="dxa"/>
            <w:tcBorders>
              <w:top w:val="single" w:sz="4" w:space="0" w:color="auto"/>
              <w:left w:val="nil"/>
              <w:bottom w:val="single" w:sz="8" w:space="0" w:color="auto"/>
              <w:right w:val="nil"/>
            </w:tcBorders>
            <w:vAlign w:val="bottom"/>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w:t>
            </w:r>
            <w:r>
              <w:rPr>
                <w:rFonts w:cs="Arial"/>
                <w:b/>
                <w:bCs/>
                <w:szCs w:val="18"/>
                <w:lang w:val="ru-RU" w:eastAsia="ru-RU"/>
              </w:rPr>
              <w:t>12</w:t>
            </w:r>
            <w:r w:rsidRPr="000C3A94">
              <w:rPr>
                <w:rFonts w:cs="Arial"/>
                <w:b/>
                <w:bCs/>
                <w:szCs w:val="18"/>
                <w:lang w:val="ru-RU" w:eastAsia="ru-RU"/>
              </w:rPr>
              <w:t>.2018</w:t>
            </w:r>
          </w:p>
        </w:tc>
        <w:tc>
          <w:tcPr>
            <w:tcW w:w="2268"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31.12.2017</w:t>
            </w:r>
          </w:p>
        </w:tc>
      </w:tr>
      <w:tr w:rsidR="003D5AC4" w:rsidRPr="000C3A94" w:rsidTr="00B53D00">
        <w:trPr>
          <w:trHeight w:val="368"/>
        </w:trPr>
        <w:tc>
          <w:tcPr>
            <w:tcW w:w="4253" w:type="dxa"/>
            <w:tcBorders>
              <w:top w:val="nil"/>
              <w:left w:val="nil"/>
              <w:bottom w:val="nil"/>
              <w:right w:val="nil"/>
            </w:tcBorders>
            <w:shd w:val="clear" w:color="auto" w:fill="auto"/>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Недвижимость</w:t>
            </w:r>
          </w:p>
        </w:tc>
        <w:tc>
          <w:tcPr>
            <w:tcW w:w="2410" w:type="dxa"/>
            <w:tcBorders>
              <w:top w:val="nil"/>
              <w:left w:val="nil"/>
              <w:bottom w:val="nil"/>
              <w:right w:val="nil"/>
            </w:tcBorders>
            <w:vAlign w:val="bottom"/>
          </w:tcPr>
          <w:p w:rsidR="003D5AC4" w:rsidRPr="00945B7A" w:rsidRDefault="003D5AC4" w:rsidP="00B53D00">
            <w:pPr>
              <w:overflowPunct/>
              <w:autoSpaceDE/>
              <w:autoSpaceDN/>
              <w:adjustRightInd/>
              <w:jc w:val="center"/>
              <w:textAlignment w:val="auto"/>
              <w:rPr>
                <w:rFonts w:cs="Arial"/>
                <w:szCs w:val="18"/>
                <w:lang w:val="ru-RU" w:eastAsia="ru-RU"/>
              </w:rPr>
            </w:pPr>
            <w:r w:rsidRPr="00945B7A">
              <w:rPr>
                <w:rFonts w:cs="Arial"/>
                <w:szCs w:val="18"/>
                <w:lang w:val="ru-RU" w:eastAsia="ru-RU"/>
              </w:rPr>
              <w:t>4 211 203</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4 302 422</w:t>
            </w:r>
          </w:p>
        </w:tc>
      </w:tr>
      <w:tr w:rsidR="003D5AC4" w:rsidRPr="000C3A94" w:rsidTr="00B53D00">
        <w:trPr>
          <w:trHeight w:val="135"/>
        </w:trPr>
        <w:tc>
          <w:tcPr>
            <w:tcW w:w="425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Автотранспорт</w:t>
            </w:r>
          </w:p>
        </w:tc>
        <w:tc>
          <w:tcPr>
            <w:tcW w:w="2410" w:type="dxa"/>
            <w:tcBorders>
              <w:top w:val="nil"/>
              <w:left w:val="nil"/>
              <w:bottom w:val="nil"/>
              <w:right w:val="nil"/>
            </w:tcBorders>
            <w:vAlign w:val="bottom"/>
          </w:tcPr>
          <w:p w:rsidR="003D5AC4" w:rsidRPr="00945B7A" w:rsidRDefault="003D5AC4" w:rsidP="00B53D00">
            <w:pPr>
              <w:overflowPunct/>
              <w:autoSpaceDE/>
              <w:autoSpaceDN/>
              <w:adjustRightInd/>
              <w:jc w:val="center"/>
              <w:textAlignment w:val="auto"/>
              <w:rPr>
                <w:rFonts w:cs="Arial"/>
                <w:szCs w:val="18"/>
                <w:lang w:val="ru-RU" w:eastAsia="ru-RU"/>
              </w:rPr>
            </w:pPr>
            <w:r w:rsidRPr="00945B7A">
              <w:rPr>
                <w:rFonts w:cs="Arial"/>
                <w:szCs w:val="18"/>
                <w:lang w:val="ru-RU" w:eastAsia="ru-RU"/>
              </w:rPr>
              <w:t>1 614 338</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1 164 632</w:t>
            </w:r>
          </w:p>
        </w:tc>
      </w:tr>
      <w:tr w:rsidR="003D5AC4" w:rsidRPr="000C3A94" w:rsidTr="00B53D00">
        <w:trPr>
          <w:trHeight w:val="198"/>
        </w:trPr>
        <w:tc>
          <w:tcPr>
            <w:tcW w:w="425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Товары в обороте</w:t>
            </w:r>
          </w:p>
        </w:tc>
        <w:tc>
          <w:tcPr>
            <w:tcW w:w="2410" w:type="dxa"/>
            <w:tcBorders>
              <w:top w:val="nil"/>
              <w:left w:val="nil"/>
              <w:bottom w:val="nil"/>
              <w:right w:val="nil"/>
            </w:tcBorders>
            <w:vAlign w:val="bottom"/>
          </w:tcPr>
          <w:p w:rsidR="003D5AC4" w:rsidRPr="00945B7A" w:rsidRDefault="003D5AC4" w:rsidP="00B53D00">
            <w:pPr>
              <w:overflowPunct/>
              <w:autoSpaceDE/>
              <w:autoSpaceDN/>
              <w:adjustRightInd/>
              <w:jc w:val="center"/>
              <w:textAlignment w:val="auto"/>
              <w:rPr>
                <w:rFonts w:cs="Arial"/>
                <w:szCs w:val="18"/>
                <w:lang w:val="ru-RU" w:eastAsia="ru-RU"/>
              </w:rPr>
            </w:pPr>
            <w:r w:rsidRPr="00945B7A">
              <w:rPr>
                <w:rFonts w:cs="Arial"/>
                <w:szCs w:val="18"/>
                <w:lang w:val="ru-RU" w:eastAsia="ru-RU"/>
              </w:rPr>
              <w:t>23 120</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97 727</w:t>
            </w:r>
          </w:p>
        </w:tc>
      </w:tr>
      <w:tr w:rsidR="003D5AC4" w:rsidRPr="000C3A94" w:rsidTr="00B53D00">
        <w:trPr>
          <w:trHeight w:val="163"/>
        </w:trPr>
        <w:tc>
          <w:tcPr>
            <w:tcW w:w="425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Оборудование</w:t>
            </w:r>
          </w:p>
        </w:tc>
        <w:tc>
          <w:tcPr>
            <w:tcW w:w="2410" w:type="dxa"/>
            <w:tcBorders>
              <w:top w:val="nil"/>
              <w:left w:val="nil"/>
              <w:bottom w:val="nil"/>
              <w:right w:val="nil"/>
            </w:tcBorders>
            <w:vAlign w:val="bottom"/>
          </w:tcPr>
          <w:p w:rsidR="003D5AC4" w:rsidRPr="00945B7A" w:rsidRDefault="003D5AC4" w:rsidP="00B53D00">
            <w:pPr>
              <w:overflowPunct/>
              <w:autoSpaceDE/>
              <w:autoSpaceDN/>
              <w:adjustRightInd/>
              <w:jc w:val="center"/>
              <w:textAlignment w:val="auto"/>
              <w:rPr>
                <w:rFonts w:cs="Arial"/>
                <w:szCs w:val="18"/>
                <w:lang w:val="ru-RU" w:eastAsia="ru-RU"/>
              </w:rPr>
            </w:pPr>
            <w:r w:rsidRPr="00945B7A">
              <w:rPr>
                <w:rFonts w:cs="Arial"/>
                <w:szCs w:val="18"/>
                <w:lang w:val="ru-RU" w:eastAsia="ru-RU"/>
              </w:rPr>
              <w:t>197 139</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233 513</w:t>
            </w:r>
          </w:p>
        </w:tc>
      </w:tr>
      <w:tr w:rsidR="003D5AC4" w:rsidRPr="000C3A94" w:rsidTr="00B53D00">
        <w:trPr>
          <w:trHeight w:val="120"/>
        </w:trPr>
        <w:tc>
          <w:tcPr>
            <w:tcW w:w="4253" w:type="dxa"/>
            <w:tcBorders>
              <w:top w:val="nil"/>
              <w:left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Прочее</w:t>
            </w:r>
          </w:p>
        </w:tc>
        <w:tc>
          <w:tcPr>
            <w:tcW w:w="2410" w:type="dxa"/>
            <w:tcBorders>
              <w:top w:val="nil"/>
              <w:left w:val="nil"/>
              <w:right w:val="nil"/>
            </w:tcBorders>
            <w:vAlign w:val="bottom"/>
          </w:tcPr>
          <w:p w:rsidR="003D5AC4" w:rsidRPr="00945B7A" w:rsidRDefault="003D5AC4" w:rsidP="00B53D00">
            <w:pPr>
              <w:overflowPunct/>
              <w:autoSpaceDE/>
              <w:autoSpaceDN/>
              <w:adjustRightInd/>
              <w:jc w:val="center"/>
              <w:textAlignment w:val="auto"/>
              <w:rPr>
                <w:rFonts w:cs="Arial"/>
                <w:szCs w:val="18"/>
                <w:lang w:val="ru-RU" w:eastAsia="ru-RU"/>
              </w:rPr>
            </w:pPr>
            <w:r w:rsidRPr="00945B7A">
              <w:rPr>
                <w:rFonts w:cs="Arial"/>
                <w:szCs w:val="18"/>
                <w:lang w:val="ru-RU" w:eastAsia="ru-RU"/>
              </w:rPr>
              <w:t>38 318</w:t>
            </w:r>
          </w:p>
        </w:tc>
        <w:tc>
          <w:tcPr>
            <w:tcW w:w="2268" w:type="dxa"/>
            <w:tcBorders>
              <w:top w:val="nil"/>
              <w:left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35 452</w:t>
            </w:r>
          </w:p>
        </w:tc>
      </w:tr>
      <w:tr w:rsidR="003D5AC4" w:rsidRPr="000C3A94" w:rsidTr="00B53D00">
        <w:trPr>
          <w:trHeight w:val="130"/>
        </w:trPr>
        <w:tc>
          <w:tcPr>
            <w:tcW w:w="4253" w:type="dxa"/>
            <w:tcBorders>
              <w:top w:val="nil"/>
              <w:left w:val="nil"/>
              <w:bottom w:val="double" w:sz="4" w:space="0" w:color="auto"/>
              <w:right w:val="nil"/>
            </w:tcBorders>
            <w:shd w:val="clear" w:color="auto" w:fill="auto"/>
            <w:noWrap/>
            <w:vAlign w:val="bottom"/>
          </w:tcPr>
          <w:p w:rsidR="003D5AC4" w:rsidRPr="000C3A94" w:rsidRDefault="003D5AC4" w:rsidP="00B53D00">
            <w:pPr>
              <w:overflowPunct/>
              <w:autoSpaceDE/>
              <w:autoSpaceDN/>
              <w:adjustRightInd/>
              <w:textAlignment w:val="auto"/>
              <w:rPr>
                <w:rFonts w:cs="Arial"/>
                <w:b/>
                <w:szCs w:val="18"/>
                <w:lang w:val="ru-RU" w:eastAsia="ru-RU"/>
              </w:rPr>
            </w:pPr>
            <w:r w:rsidRPr="000C3A94">
              <w:rPr>
                <w:rFonts w:cs="Arial"/>
                <w:b/>
                <w:szCs w:val="18"/>
                <w:lang w:val="ru-RU" w:eastAsia="ru-RU"/>
              </w:rPr>
              <w:t>Итого</w:t>
            </w:r>
          </w:p>
        </w:tc>
        <w:tc>
          <w:tcPr>
            <w:tcW w:w="2410" w:type="dxa"/>
            <w:tcBorders>
              <w:top w:val="nil"/>
              <w:left w:val="nil"/>
              <w:bottom w:val="double" w:sz="4" w:space="0" w:color="auto"/>
              <w:right w:val="nil"/>
            </w:tcBorders>
            <w:vAlign w:val="bottom"/>
          </w:tcPr>
          <w:p w:rsidR="003D5AC4" w:rsidRPr="00945B7A" w:rsidRDefault="003D5AC4" w:rsidP="00B53D00">
            <w:pPr>
              <w:overflowPunct/>
              <w:autoSpaceDE/>
              <w:autoSpaceDN/>
              <w:adjustRightInd/>
              <w:jc w:val="center"/>
              <w:textAlignment w:val="auto"/>
              <w:rPr>
                <w:rFonts w:cs="Arial"/>
                <w:b/>
                <w:szCs w:val="18"/>
                <w:lang w:val="ru-RU" w:eastAsia="ru-RU"/>
              </w:rPr>
            </w:pPr>
            <w:r w:rsidRPr="00945B7A">
              <w:rPr>
                <w:rFonts w:cs="Arial"/>
                <w:b/>
                <w:szCs w:val="18"/>
                <w:lang w:val="ru-RU" w:eastAsia="ru-RU"/>
              </w:rPr>
              <w:t>6 084 118</w:t>
            </w:r>
          </w:p>
        </w:tc>
        <w:tc>
          <w:tcPr>
            <w:tcW w:w="2268" w:type="dxa"/>
            <w:tcBorders>
              <w:top w:val="nil"/>
              <w:left w:val="nil"/>
              <w:bottom w:val="double" w:sz="4" w:space="0" w:color="auto"/>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b/>
                <w:szCs w:val="18"/>
                <w:lang w:val="ru-RU" w:eastAsia="ru-RU"/>
              </w:rPr>
            </w:pPr>
            <w:r w:rsidRPr="000C3A94">
              <w:rPr>
                <w:rFonts w:cs="Arial"/>
                <w:b/>
                <w:szCs w:val="18"/>
                <w:lang w:val="ru-RU" w:eastAsia="ru-RU"/>
              </w:rPr>
              <w:t>5 833 746</w:t>
            </w:r>
          </w:p>
        </w:tc>
      </w:tr>
    </w:tbl>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r w:rsidRPr="00430F6D">
        <w:rPr>
          <w:rFonts w:ascii="Arial" w:hAnsi="Arial" w:cs="Arial"/>
          <w:color w:val="auto"/>
          <w:lang w:eastAsia="en-US"/>
        </w:rPr>
        <w:t>Залоговый портфель Банка за 31.12.2018 года составил 6 084 118 тыс. руб.  Основную долю в структуре залогового обеспечения составляет недвижимость (69% залогового портфеля); автотранспорт (порядка 27%). Товары в обороте, оборудование, прочие виды обеспечения составляют порядка 4%.</w:t>
      </w:r>
      <w:r w:rsidRPr="000C3A94">
        <w:rPr>
          <w:rFonts w:ascii="Arial" w:hAnsi="Arial" w:cs="Arial"/>
          <w:color w:val="auto"/>
          <w:lang w:eastAsia="en-US"/>
        </w:rPr>
        <w:t xml:space="preserve"> </w:t>
      </w:r>
      <w:r>
        <w:rPr>
          <w:rFonts w:ascii="Arial" w:hAnsi="Arial" w:cs="Arial"/>
          <w:color w:val="auto"/>
          <w:lang w:eastAsia="en-US"/>
        </w:rPr>
        <w:t>Существенных изменений в структуре залогового портфеля в отчетном периоде не наблюдается.</w:t>
      </w:r>
    </w:p>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В отчетном периоде Банком учитывалось обеспечение первой и второй категории качества в целях формирования резервов на возможные потери, оцениваемое по справедливой стоимости в соответствии с требованиями Положения Банка России 590-П «Положения о порядке формирования кредитными организациями резервов на возможные потери по ссудам, по ссудной и приравненной к ней задолженности».</w:t>
      </w:r>
    </w:p>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b/>
          <w:color w:val="auto"/>
          <w:lang w:eastAsia="en-US"/>
        </w:rPr>
      </w:pPr>
      <w:r w:rsidRPr="000C3A94">
        <w:rPr>
          <w:rFonts w:ascii="Arial" w:hAnsi="Arial" w:cs="Arial"/>
          <w:b/>
          <w:color w:val="auto"/>
          <w:lang w:eastAsia="en-US"/>
        </w:rPr>
        <w:t xml:space="preserve">Уменьшение расчетного резерва на возможные потери с учетом принятого обеспечения: </w:t>
      </w:r>
    </w:p>
    <w:p w:rsidR="003D5AC4" w:rsidRPr="000C3A94" w:rsidRDefault="003D5AC4" w:rsidP="003D5AC4">
      <w:pPr>
        <w:pStyle w:val="HTML"/>
        <w:jc w:val="both"/>
        <w:rPr>
          <w:rFonts w:ascii="Arial" w:hAnsi="Arial" w:cs="Arial"/>
          <w:b/>
          <w:color w:val="auto"/>
          <w:lang w:eastAsia="en-US"/>
        </w:rPr>
      </w:pPr>
    </w:p>
    <w:tbl>
      <w:tblPr>
        <w:tblW w:w="8931" w:type="dxa"/>
        <w:tblInd w:w="108" w:type="dxa"/>
        <w:tblLook w:val="04A0" w:firstRow="1" w:lastRow="0" w:firstColumn="1" w:lastColumn="0" w:noHBand="0" w:noVBand="1"/>
      </w:tblPr>
      <w:tblGrid>
        <w:gridCol w:w="4253"/>
        <w:gridCol w:w="2410"/>
        <w:gridCol w:w="2268"/>
      </w:tblGrid>
      <w:tr w:rsidR="003D5AC4" w:rsidRPr="000C3A94" w:rsidTr="00B53D00">
        <w:trPr>
          <w:trHeight w:val="368"/>
          <w:tblHeader/>
        </w:trPr>
        <w:tc>
          <w:tcPr>
            <w:tcW w:w="4253"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Резерв на возможные потери, тыс. руб.</w:t>
            </w:r>
          </w:p>
        </w:tc>
        <w:tc>
          <w:tcPr>
            <w:tcW w:w="2410" w:type="dxa"/>
            <w:tcBorders>
              <w:top w:val="single" w:sz="4" w:space="0" w:color="auto"/>
              <w:left w:val="nil"/>
              <w:bottom w:val="single" w:sz="8" w:space="0" w:color="auto"/>
              <w:right w:val="nil"/>
            </w:tcBorders>
            <w:vAlign w:val="bottom"/>
          </w:tcPr>
          <w:p w:rsidR="003D5AC4" w:rsidRPr="00C40390" w:rsidRDefault="003D5AC4" w:rsidP="00B53D00">
            <w:pPr>
              <w:overflowPunct/>
              <w:autoSpaceDE/>
              <w:autoSpaceDN/>
              <w:adjustRightInd/>
              <w:jc w:val="center"/>
              <w:textAlignment w:val="auto"/>
              <w:rPr>
                <w:rFonts w:cs="Arial"/>
                <w:b/>
                <w:bCs/>
                <w:szCs w:val="18"/>
                <w:lang w:val="ru-RU" w:eastAsia="ru-RU"/>
              </w:rPr>
            </w:pPr>
            <w:r w:rsidRPr="00C40390">
              <w:rPr>
                <w:rFonts w:cs="Arial"/>
                <w:b/>
                <w:bCs/>
                <w:szCs w:val="18"/>
                <w:lang w:val="ru-RU" w:eastAsia="ru-RU"/>
              </w:rPr>
              <w:t>31.12.2018</w:t>
            </w:r>
          </w:p>
        </w:tc>
        <w:tc>
          <w:tcPr>
            <w:tcW w:w="2268"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31.12.2017</w:t>
            </w:r>
          </w:p>
        </w:tc>
      </w:tr>
      <w:tr w:rsidR="003D5AC4" w:rsidRPr="000C3A94" w:rsidTr="00B53D00">
        <w:trPr>
          <w:trHeight w:val="368"/>
        </w:trPr>
        <w:tc>
          <w:tcPr>
            <w:tcW w:w="4253" w:type="dxa"/>
            <w:tcBorders>
              <w:top w:val="nil"/>
              <w:left w:val="nil"/>
              <w:bottom w:val="nil"/>
              <w:right w:val="nil"/>
            </w:tcBorders>
            <w:shd w:val="clear" w:color="auto" w:fill="auto"/>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Расчетный резерв</w:t>
            </w:r>
          </w:p>
        </w:tc>
        <w:tc>
          <w:tcPr>
            <w:tcW w:w="2410" w:type="dxa"/>
            <w:tcBorders>
              <w:top w:val="nil"/>
              <w:left w:val="nil"/>
              <w:bottom w:val="nil"/>
              <w:right w:val="nil"/>
            </w:tcBorders>
            <w:vAlign w:val="bottom"/>
          </w:tcPr>
          <w:p w:rsidR="003D5AC4" w:rsidRPr="002D17F4" w:rsidRDefault="003D5AC4" w:rsidP="00B53D00">
            <w:pPr>
              <w:overflowPunct/>
              <w:autoSpaceDE/>
              <w:autoSpaceDN/>
              <w:adjustRightInd/>
              <w:jc w:val="center"/>
              <w:textAlignment w:val="auto"/>
              <w:rPr>
                <w:rFonts w:cs="Arial"/>
                <w:szCs w:val="18"/>
                <w:lang w:val="en-US" w:eastAsia="ru-RU"/>
              </w:rPr>
            </w:pPr>
            <w:r>
              <w:rPr>
                <w:rFonts w:cs="Arial"/>
                <w:szCs w:val="18"/>
                <w:lang w:val="en-US" w:eastAsia="ru-RU"/>
              </w:rPr>
              <w:t>319 520</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290 599</w:t>
            </w:r>
          </w:p>
        </w:tc>
      </w:tr>
      <w:tr w:rsidR="003D5AC4" w:rsidRPr="000C3A94" w:rsidTr="00B53D00">
        <w:trPr>
          <w:trHeight w:val="135"/>
        </w:trPr>
        <w:tc>
          <w:tcPr>
            <w:tcW w:w="425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Фактический сформированный</w:t>
            </w:r>
          </w:p>
        </w:tc>
        <w:tc>
          <w:tcPr>
            <w:tcW w:w="2410" w:type="dxa"/>
            <w:tcBorders>
              <w:top w:val="nil"/>
              <w:left w:val="nil"/>
              <w:bottom w:val="nil"/>
              <w:right w:val="nil"/>
            </w:tcBorders>
            <w:vAlign w:val="bottom"/>
          </w:tcPr>
          <w:p w:rsidR="003D5AC4" w:rsidRPr="00C40390" w:rsidRDefault="003D5AC4" w:rsidP="00B53D00">
            <w:pPr>
              <w:overflowPunct/>
              <w:autoSpaceDE/>
              <w:autoSpaceDN/>
              <w:adjustRightInd/>
              <w:jc w:val="center"/>
              <w:textAlignment w:val="auto"/>
              <w:rPr>
                <w:rFonts w:cs="Arial"/>
                <w:szCs w:val="18"/>
                <w:lang w:val="ru-RU" w:eastAsia="ru-RU"/>
              </w:rPr>
            </w:pPr>
            <w:r w:rsidRPr="00C40390">
              <w:rPr>
                <w:rFonts w:cs="Arial"/>
                <w:szCs w:val="18"/>
                <w:lang w:val="ru-RU" w:eastAsia="ru-RU"/>
              </w:rPr>
              <w:t>158 026</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172 041</w:t>
            </w:r>
          </w:p>
        </w:tc>
      </w:tr>
      <w:tr w:rsidR="003D5AC4" w:rsidRPr="000C3A94" w:rsidTr="00B53D00">
        <w:trPr>
          <w:trHeight w:val="130"/>
        </w:trPr>
        <w:tc>
          <w:tcPr>
            <w:tcW w:w="4253" w:type="dxa"/>
            <w:tcBorders>
              <w:top w:val="nil"/>
              <w:left w:val="nil"/>
              <w:bottom w:val="double" w:sz="4" w:space="0" w:color="auto"/>
              <w:right w:val="nil"/>
            </w:tcBorders>
            <w:shd w:val="clear" w:color="auto" w:fill="auto"/>
            <w:noWrap/>
            <w:vAlign w:val="bottom"/>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Отклонение по резерву</w:t>
            </w:r>
          </w:p>
        </w:tc>
        <w:tc>
          <w:tcPr>
            <w:tcW w:w="2410" w:type="dxa"/>
            <w:tcBorders>
              <w:top w:val="nil"/>
              <w:left w:val="nil"/>
              <w:bottom w:val="double" w:sz="4" w:space="0" w:color="auto"/>
              <w:right w:val="nil"/>
            </w:tcBorders>
            <w:vAlign w:val="bottom"/>
          </w:tcPr>
          <w:p w:rsidR="003D5AC4" w:rsidRPr="002D17F4" w:rsidRDefault="003D5AC4" w:rsidP="00B53D00">
            <w:pPr>
              <w:overflowPunct/>
              <w:autoSpaceDE/>
              <w:autoSpaceDN/>
              <w:adjustRightInd/>
              <w:jc w:val="center"/>
              <w:textAlignment w:val="auto"/>
              <w:rPr>
                <w:rFonts w:cs="Arial"/>
                <w:szCs w:val="18"/>
                <w:lang w:val="en-US" w:eastAsia="ru-RU"/>
              </w:rPr>
            </w:pPr>
            <w:r>
              <w:rPr>
                <w:rFonts w:cs="Arial"/>
                <w:szCs w:val="18"/>
                <w:lang w:val="en-US" w:eastAsia="ru-RU"/>
              </w:rPr>
              <w:t>161 494</w:t>
            </w:r>
          </w:p>
        </w:tc>
        <w:tc>
          <w:tcPr>
            <w:tcW w:w="2268" w:type="dxa"/>
            <w:tcBorders>
              <w:top w:val="nil"/>
              <w:left w:val="nil"/>
              <w:bottom w:val="double" w:sz="4" w:space="0" w:color="auto"/>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118 558</w:t>
            </w:r>
          </w:p>
        </w:tc>
      </w:tr>
    </w:tbl>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r w:rsidRPr="00D43D46">
        <w:rPr>
          <w:rFonts w:ascii="Arial" w:hAnsi="Arial" w:cs="Arial"/>
          <w:color w:val="auto"/>
          <w:lang w:eastAsia="en-US"/>
        </w:rPr>
        <w:t xml:space="preserve">По состоянию за 31.12.2018 года уменьшение резервов составило </w:t>
      </w:r>
      <w:r w:rsidRPr="00D12876">
        <w:rPr>
          <w:rFonts w:ascii="Arial" w:hAnsi="Arial" w:cs="Arial"/>
          <w:color w:val="auto"/>
          <w:lang w:eastAsia="en-US"/>
        </w:rPr>
        <w:t>161 494</w:t>
      </w:r>
      <w:r w:rsidRPr="00D43D46">
        <w:rPr>
          <w:rFonts w:ascii="Arial" w:hAnsi="Arial" w:cs="Arial"/>
          <w:color w:val="auto"/>
          <w:lang w:eastAsia="en-US"/>
        </w:rPr>
        <w:t xml:space="preserve"> тыс. руб. в рамках портфеля ссудной задолженности юридических и физических лиц.</w:t>
      </w:r>
    </w:p>
    <w:p w:rsidR="003D5AC4" w:rsidRPr="000C3A94"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Финансовые активы классифицируются на основании профессионального суждения в одну из пяти категорий качества, активы, отнесенные ко II - V категориям качества, являются обесцененными. По состоянию за 31.</w:t>
      </w:r>
      <w:r>
        <w:rPr>
          <w:rFonts w:ascii="Arial" w:hAnsi="Arial" w:cs="Arial"/>
          <w:color w:val="auto"/>
          <w:lang w:eastAsia="en-US"/>
        </w:rPr>
        <w:t>12</w:t>
      </w:r>
      <w:r w:rsidRPr="000C3A94">
        <w:rPr>
          <w:rFonts w:ascii="Arial" w:hAnsi="Arial" w:cs="Arial"/>
          <w:color w:val="auto"/>
          <w:lang w:eastAsia="en-US"/>
        </w:rPr>
        <w:t>.2018 года в отношении финансовых активов отсутствовала просроченная не обесцененная задолженность.  Результаты классификации активов по категориям качества (не на портфельной основе), размеры расчетного и фактически сформированного резерва по состоянию за</w:t>
      </w:r>
      <w:r>
        <w:rPr>
          <w:rFonts w:ascii="Arial" w:hAnsi="Arial" w:cs="Arial"/>
          <w:color w:val="auto"/>
          <w:lang w:eastAsia="en-US"/>
        </w:rPr>
        <w:t xml:space="preserve"> 31.12</w:t>
      </w:r>
      <w:r w:rsidRPr="000C3A94">
        <w:rPr>
          <w:rFonts w:ascii="Arial" w:hAnsi="Arial" w:cs="Arial"/>
          <w:color w:val="auto"/>
          <w:lang w:eastAsia="en-US"/>
        </w:rPr>
        <w:t>.2018 года и 31.12.2017 года.</w:t>
      </w:r>
    </w:p>
    <w:p w:rsidR="003D5AC4" w:rsidRDefault="003D5AC4" w:rsidP="003D5AC4">
      <w:pPr>
        <w:pStyle w:val="HTML"/>
        <w:rPr>
          <w:rFonts w:ascii="Arial" w:hAnsi="Arial" w:cs="Arial"/>
          <w:b/>
          <w:color w:val="auto"/>
        </w:rPr>
      </w:pPr>
    </w:p>
    <w:p w:rsidR="00860036" w:rsidRDefault="00860036" w:rsidP="003D5AC4">
      <w:pPr>
        <w:pStyle w:val="HTML"/>
        <w:rPr>
          <w:rFonts w:ascii="Arial" w:hAnsi="Arial" w:cs="Arial"/>
          <w:b/>
          <w:color w:val="auto"/>
        </w:rPr>
      </w:pPr>
    </w:p>
    <w:p w:rsidR="00860036" w:rsidRPr="000C3A94" w:rsidRDefault="00860036" w:rsidP="003D5AC4">
      <w:pPr>
        <w:pStyle w:val="HTML"/>
        <w:rPr>
          <w:rFonts w:ascii="Arial" w:hAnsi="Arial" w:cs="Arial"/>
          <w:b/>
          <w:color w:val="auto"/>
        </w:rPr>
      </w:pPr>
    </w:p>
    <w:p w:rsidR="003D5AC4" w:rsidRPr="000C3A94" w:rsidRDefault="003D5AC4" w:rsidP="003D5AC4">
      <w:pPr>
        <w:pStyle w:val="HTML"/>
        <w:rPr>
          <w:rFonts w:ascii="Arial" w:hAnsi="Arial" w:cs="Arial"/>
          <w:b/>
          <w:color w:val="auto"/>
        </w:rPr>
      </w:pPr>
      <w:r w:rsidRPr="000C3A94">
        <w:rPr>
          <w:rFonts w:ascii="Arial" w:hAnsi="Arial" w:cs="Arial"/>
          <w:b/>
          <w:color w:val="auto"/>
        </w:rPr>
        <w:lastRenderedPageBreak/>
        <w:t>Данные о классификации активов по категориям качества:</w:t>
      </w:r>
    </w:p>
    <w:p w:rsidR="003D5AC4" w:rsidRPr="000C3A94" w:rsidRDefault="003D5AC4" w:rsidP="003D5AC4">
      <w:pPr>
        <w:pStyle w:val="HTML"/>
        <w:rPr>
          <w:rFonts w:ascii="Arial" w:hAnsi="Arial" w:cs="Arial"/>
          <w:b/>
          <w:color w:val="auto"/>
          <w:sz w:val="18"/>
          <w:szCs w:val="18"/>
        </w:rPr>
      </w:pPr>
    </w:p>
    <w:tbl>
      <w:tblPr>
        <w:tblW w:w="9655" w:type="dxa"/>
        <w:tblInd w:w="93" w:type="dxa"/>
        <w:tblLayout w:type="fixed"/>
        <w:tblLook w:val="04A0" w:firstRow="1" w:lastRow="0" w:firstColumn="1" w:lastColumn="0" w:noHBand="0" w:noVBand="1"/>
      </w:tblPr>
      <w:tblGrid>
        <w:gridCol w:w="2850"/>
        <w:gridCol w:w="1203"/>
        <w:gridCol w:w="73"/>
        <w:gridCol w:w="1134"/>
        <w:gridCol w:w="1134"/>
        <w:gridCol w:w="1134"/>
        <w:gridCol w:w="992"/>
        <w:gridCol w:w="1135"/>
      </w:tblGrid>
      <w:tr w:rsidR="003D5AC4" w:rsidRPr="007844F5" w:rsidTr="00B53D00">
        <w:trPr>
          <w:trHeight w:val="175"/>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6805" w:type="dxa"/>
            <w:gridSpan w:val="7"/>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31.12</w:t>
            </w:r>
            <w:r w:rsidRPr="000C3A94">
              <w:rPr>
                <w:rFonts w:cs="Arial"/>
                <w:b/>
                <w:bCs/>
                <w:szCs w:val="18"/>
                <w:lang w:val="ru-RU" w:eastAsia="ru-RU"/>
              </w:rPr>
              <w:t>.2018</w:t>
            </w:r>
          </w:p>
        </w:tc>
      </w:tr>
      <w:tr w:rsidR="003D5AC4" w:rsidRPr="007844F5" w:rsidTr="00B53D00">
        <w:trPr>
          <w:trHeight w:val="161"/>
        </w:trPr>
        <w:tc>
          <w:tcPr>
            <w:tcW w:w="2850"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1276" w:type="dxa"/>
            <w:gridSpan w:val="2"/>
            <w:vMerge w:val="restart"/>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Задолжен</w:t>
            </w: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ность, всего</w:t>
            </w:r>
          </w:p>
        </w:tc>
        <w:tc>
          <w:tcPr>
            <w:tcW w:w="5529" w:type="dxa"/>
            <w:gridSpan w:val="5"/>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Категория качества</w:t>
            </w:r>
          </w:p>
        </w:tc>
      </w:tr>
      <w:tr w:rsidR="003D5AC4" w:rsidRPr="007844F5" w:rsidTr="00B53D00">
        <w:trPr>
          <w:trHeight w:val="80"/>
        </w:trPr>
        <w:tc>
          <w:tcPr>
            <w:tcW w:w="2850"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76" w:type="dxa"/>
            <w:gridSpan w:val="2"/>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186"/>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Ссуды, ссудная и приравненная к ней задолженность</w:t>
            </w:r>
          </w:p>
        </w:tc>
        <w:tc>
          <w:tcPr>
            <w:tcW w:w="1276" w:type="dxa"/>
            <w:gridSpan w:val="2"/>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5 231 142</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1 382 977</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2 561 225</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105 828</w:t>
            </w:r>
          </w:p>
        </w:tc>
        <w:tc>
          <w:tcPr>
            <w:tcW w:w="992"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283 111</w:t>
            </w:r>
          </w:p>
        </w:tc>
        <w:tc>
          <w:tcPr>
            <w:tcW w:w="113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898 001</w:t>
            </w:r>
          </w:p>
        </w:tc>
      </w:tr>
      <w:tr w:rsidR="003D5AC4" w:rsidRPr="000C3A94" w:rsidTr="00B53D00">
        <w:trPr>
          <w:trHeight w:val="758"/>
        </w:trPr>
        <w:tc>
          <w:tcPr>
            <w:tcW w:w="2850" w:type="dxa"/>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Требования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76" w:type="dxa"/>
            <w:gridSpan w:val="2"/>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992"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r>
      <w:tr w:rsidR="003D5AC4" w:rsidRPr="000C3A94" w:rsidTr="00B53D00">
        <w:trPr>
          <w:trHeight w:val="190"/>
        </w:trPr>
        <w:tc>
          <w:tcPr>
            <w:tcW w:w="2850"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Прочие требования</w:t>
            </w:r>
          </w:p>
        </w:tc>
        <w:tc>
          <w:tcPr>
            <w:tcW w:w="1276"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225 694</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163 084</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24 026</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24 056</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1 369</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13 159</w:t>
            </w:r>
          </w:p>
        </w:tc>
      </w:tr>
      <w:tr w:rsidR="003D5AC4" w:rsidRPr="000C3A94" w:rsidTr="00B53D00">
        <w:trPr>
          <w:trHeight w:val="138"/>
        </w:trPr>
        <w:tc>
          <w:tcPr>
            <w:tcW w:w="2850"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задолженность</w:t>
            </w:r>
          </w:p>
        </w:tc>
        <w:tc>
          <w:tcPr>
            <w:tcW w:w="1276" w:type="dxa"/>
            <w:gridSpan w:val="2"/>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5 510 766</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1 546 061</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2 585 251</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 xml:space="preserve"> </w:t>
            </w:r>
            <w:r>
              <w:rPr>
                <w:rFonts w:cs="Arial"/>
                <w:b/>
                <w:bCs/>
                <w:szCs w:val="18"/>
                <w:lang w:val="ru-RU" w:eastAsia="ru-RU"/>
              </w:rPr>
              <w:t>129 884</w:t>
            </w:r>
          </w:p>
        </w:tc>
        <w:tc>
          <w:tcPr>
            <w:tcW w:w="992"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284 480</w:t>
            </w:r>
          </w:p>
        </w:tc>
        <w:tc>
          <w:tcPr>
            <w:tcW w:w="113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965 090</w:t>
            </w:r>
          </w:p>
        </w:tc>
      </w:tr>
      <w:tr w:rsidR="003D5AC4" w:rsidRPr="000C3A94" w:rsidTr="00B53D00">
        <w:trPr>
          <w:trHeight w:val="581"/>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tc>
        <w:tc>
          <w:tcPr>
            <w:tcW w:w="6805" w:type="dxa"/>
            <w:gridSpan w:val="7"/>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Резерв на возможные потери</w:t>
            </w:r>
          </w:p>
        </w:tc>
      </w:tr>
      <w:tr w:rsidR="003D5AC4" w:rsidRPr="000C3A94" w:rsidTr="00B53D00">
        <w:trPr>
          <w:trHeight w:val="174"/>
        </w:trPr>
        <w:tc>
          <w:tcPr>
            <w:tcW w:w="2850"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1203" w:type="dxa"/>
            <w:vMerge w:val="restart"/>
            <w:tcBorders>
              <w:top w:val="single" w:sz="4" w:space="0" w:color="auto"/>
              <w:bottom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Расчетный резерв</w:t>
            </w:r>
          </w:p>
        </w:tc>
        <w:tc>
          <w:tcPr>
            <w:tcW w:w="5602" w:type="dxa"/>
            <w:gridSpan w:val="6"/>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Фактически сформированный резерв</w:t>
            </w:r>
          </w:p>
        </w:tc>
      </w:tr>
      <w:tr w:rsidR="003D5AC4" w:rsidRPr="000C3A94" w:rsidTr="00B53D00">
        <w:trPr>
          <w:trHeight w:val="102"/>
        </w:trPr>
        <w:tc>
          <w:tcPr>
            <w:tcW w:w="2850" w:type="dxa"/>
            <w:vMerge/>
            <w:tcBorders>
              <w:top w:val="single" w:sz="4" w:space="0" w:color="auto"/>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03"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07"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Итого</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495"/>
        </w:trPr>
        <w:tc>
          <w:tcPr>
            <w:tcW w:w="2850" w:type="dxa"/>
            <w:tcBorders>
              <w:top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ссудам, ссудной и приравненной к ней задолженности</w:t>
            </w:r>
          </w:p>
        </w:tc>
        <w:tc>
          <w:tcPr>
            <w:tcW w:w="1203"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1 122 629</w:t>
            </w:r>
          </w:p>
        </w:tc>
        <w:tc>
          <w:tcPr>
            <w:tcW w:w="1207" w:type="dxa"/>
            <w:gridSpan w:val="2"/>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1F54FC" w:rsidRDefault="003D5AC4" w:rsidP="00B53D00">
            <w:pPr>
              <w:overflowPunct/>
              <w:autoSpaceDE/>
              <w:autoSpaceDN/>
              <w:adjustRightInd/>
              <w:jc w:val="center"/>
              <w:textAlignment w:val="auto"/>
              <w:rPr>
                <w:rFonts w:cs="Arial"/>
                <w:szCs w:val="18"/>
                <w:lang w:val="en-US" w:eastAsia="ru-RU"/>
              </w:rPr>
            </w:pPr>
            <w:r>
              <w:rPr>
                <w:rFonts w:cs="Arial"/>
                <w:szCs w:val="18"/>
                <w:lang w:val="en-US" w:eastAsia="ru-RU"/>
              </w:rPr>
              <w:t>961 136</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40 753</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6 705</w:t>
            </w:r>
          </w:p>
        </w:tc>
        <w:tc>
          <w:tcPr>
            <w:tcW w:w="992"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145 448</w:t>
            </w:r>
          </w:p>
        </w:tc>
        <w:tc>
          <w:tcPr>
            <w:tcW w:w="113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B21D1F" w:rsidRDefault="003D5AC4" w:rsidP="00B53D00">
            <w:pPr>
              <w:overflowPunct/>
              <w:autoSpaceDE/>
              <w:autoSpaceDN/>
              <w:adjustRightInd/>
              <w:jc w:val="center"/>
              <w:textAlignment w:val="auto"/>
              <w:rPr>
                <w:rFonts w:cs="Arial"/>
                <w:szCs w:val="18"/>
                <w:lang w:val="en-US" w:eastAsia="ru-RU"/>
              </w:rPr>
            </w:pPr>
            <w:r>
              <w:rPr>
                <w:rFonts w:cs="Arial"/>
                <w:szCs w:val="18"/>
                <w:lang w:val="en-US" w:eastAsia="ru-RU"/>
              </w:rPr>
              <w:t>768 230</w:t>
            </w:r>
          </w:p>
        </w:tc>
      </w:tr>
      <w:tr w:rsidR="003D5AC4" w:rsidRPr="000C3A94" w:rsidTr="00B53D00">
        <w:trPr>
          <w:trHeight w:val="1140"/>
        </w:trPr>
        <w:tc>
          <w:tcPr>
            <w:tcW w:w="2850" w:type="dxa"/>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03"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207" w:type="dxa"/>
            <w:gridSpan w:val="2"/>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992"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r>
      <w:tr w:rsidR="003D5AC4" w:rsidRPr="000C3A94" w:rsidTr="00B53D00">
        <w:trPr>
          <w:trHeight w:val="70"/>
        </w:trPr>
        <w:tc>
          <w:tcPr>
            <w:tcW w:w="2850"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прочим требованиям</w:t>
            </w:r>
          </w:p>
        </w:tc>
        <w:tc>
          <w:tcPr>
            <w:tcW w:w="1203"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19 340</w:t>
            </w:r>
            <w:r w:rsidRPr="000C3A94">
              <w:rPr>
                <w:rFonts w:cs="Arial"/>
                <w:szCs w:val="18"/>
                <w:lang w:val="ru-RU" w:eastAsia="ru-RU"/>
              </w:rPr>
              <w:t xml:space="preserve"> </w:t>
            </w:r>
          </w:p>
        </w:tc>
        <w:tc>
          <w:tcPr>
            <w:tcW w:w="1207"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19 276</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298</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4 997</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822</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13 159</w:t>
            </w:r>
          </w:p>
        </w:tc>
      </w:tr>
      <w:tr w:rsidR="003D5AC4" w:rsidRPr="000C3A94" w:rsidTr="00B53D00">
        <w:trPr>
          <w:trHeight w:val="134"/>
        </w:trPr>
        <w:tc>
          <w:tcPr>
            <w:tcW w:w="2850"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РВП</w:t>
            </w:r>
          </w:p>
        </w:tc>
        <w:tc>
          <w:tcPr>
            <w:tcW w:w="1203"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1 195 899</w:t>
            </w:r>
          </w:p>
        </w:tc>
        <w:tc>
          <w:tcPr>
            <w:tcW w:w="1207" w:type="dxa"/>
            <w:gridSpan w:val="2"/>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1F54FC" w:rsidRDefault="003D5AC4" w:rsidP="00B53D00">
            <w:pPr>
              <w:overflowPunct/>
              <w:autoSpaceDE/>
              <w:autoSpaceDN/>
              <w:adjustRightInd/>
              <w:jc w:val="center"/>
              <w:textAlignment w:val="auto"/>
              <w:rPr>
                <w:rFonts w:cs="Arial"/>
                <w:b/>
                <w:bCs/>
                <w:szCs w:val="18"/>
                <w:lang w:val="en-US" w:eastAsia="ru-RU"/>
              </w:rPr>
            </w:pPr>
            <w:r>
              <w:rPr>
                <w:rFonts w:cs="Arial"/>
                <w:b/>
                <w:bCs/>
                <w:szCs w:val="18"/>
                <w:lang w:val="en-US" w:eastAsia="ru-RU"/>
              </w:rPr>
              <w:t>1 034 342</w:t>
            </w:r>
          </w:p>
        </w:tc>
        <w:tc>
          <w:tcPr>
            <w:tcW w:w="1134"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41 051</w:t>
            </w:r>
          </w:p>
        </w:tc>
        <w:tc>
          <w:tcPr>
            <w:tcW w:w="1134"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11 702</w:t>
            </w:r>
          </w:p>
        </w:tc>
        <w:tc>
          <w:tcPr>
            <w:tcW w:w="992"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146 270</w:t>
            </w:r>
          </w:p>
        </w:tc>
        <w:tc>
          <w:tcPr>
            <w:tcW w:w="113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B21D1F" w:rsidRDefault="003D5AC4" w:rsidP="00B53D00">
            <w:pPr>
              <w:overflowPunct/>
              <w:autoSpaceDE/>
              <w:autoSpaceDN/>
              <w:adjustRightInd/>
              <w:jc w:val="center"/>
              <w:textAlignment w:val="auto"/>
              <w:rPr>
                <w:rFonts w:cs="Arial"/>
                <w:b/>
                <w:bCs/>
                <w:szCs w:val="18"/>
                <w:lang w:val="en-US" w:eastAsia="ru-RU"/>
              </w:rPr>
            </w:pPr>
            <w:r>
              <w:rPr>
                <w:rFonts w:cs="Arial"/>
                <w:b/>
                <w:bCs/>
                <w:szCs w:val="18"/>
                <w:lang w:val="en-US" w:eastAsia="ru-RU"/>
              </w:rPr>
              <w:t>835 319</w:t>
            </w:r>
          </w:p>
        </w:tc>
      </w:tr>
    </w:tbl>
    <w:p w:rsidR="003D5AC4" w:rsidRPr="000C3A94" w:rsidRDefault="003D5AC4" w:rsidP="003D5AC4">
      <w:pPr>
        <w:pStyle w:val="HTML"/>
        <w:rPr>
          <w:rFonts w:ascii="Arial" w:hAnsi="Arial" w:cs="Arial"/>
          <w:b/>
          <w:color w:val="auto"/>
          <w:sz w:val="18"/>
          <w:szCs w:val="18"/>
        </w:rPr>
      </w:pPr>
    </w:p>
    <w:p w:rsidR="003D5AC4" w:rsidRDefault="003D5AC4" w:rsidP="003D5AC4">
      <w:pPr>
        <w:pStyle w:val="HTML"/>
        <w:jc w:val="both"/>
        <w:rPr>
          <w:rFonts w:ascii="Arial" w:hAnsi="Arial" w:cs="Arial"/>
          <w:b/>
          <w:color w:val="auto"/>
        </w:rPr>
      </w:pPr>
      <w:r w:rsidRPr="000C3A94">
        <w:rPr>
          <w:rFonts w:ascii="Arial" w:hAnsi="Arial" w:cs="Arial"/>
          <w:b/>
          <w:color w:val="auto"/>
        </w:rPr>
        <w:t>Данные о классификации активов по категориям качества (продолжение):</w:t>
      </w:r>
    </w:p>
    <w:p w:rsidR="00860036" w:rsidRPr="000C3A94" w:rsidRDefault="00860036" w:rsidP="003D5AC4">
      <w:pPr>
        <w:pStyle w:val="HTML"/>
        <w:jc w:val="both"/>
        <w:rPr>
          <w:rFonts w:ascii="Arial" w:hAnsi="Arial" w:cs="Arial"/>
          <w:b/>
          <w:color w:val="auto"/>
        </w:rPr>
      </w:pPr>
    </w:p>
    <w:tbl>
      <w:tblPr>
        <w:tblW w:w="9655" w:type="dxa"/>
        <w:tblInd w:w="93" w:type="dxa"/>
        <w:tblLayout w:type="fixed"/>
        <w:tblLook w:val="04A0" w:firstRow="1" w:lastRow="0" w:firstColumn="1" w:lastColumn="0" w:noHBand="0" w:noVBand="1"/>
      </w:tblPr>
      <w:tblGrid>
        <w:gridCol w:w="2850"/>
        <w:gridCol w:w="1203"/>
        <w:gridCol w:w="73"/>
        <w:gridCol w:w="1134"/>
        <w:gridCol w:w="1134"/>
        <w:gridCol w:w="1134"/>
        <w:gridCol w:w="992"/>
        <w:gridCol w:w="1135"/>
      </w:tblGrid>
      <w:tr w:rsidR="003D5AC4" w:rsidRPr="000C3A94" w:rsidTr="00B53D00">
        <w:trPr>
          <w:trHeight w:val="175"/>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6805" w:type="dxa"/>
            <w:gridSpan w:val="7"/>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31.12.2017</w:t>
            </w:r>
          </w:p>
        </w:tc>
      </w:tr>
      <w:tr w:rsidR="003D5AC4" w:rsidRPr="000C3A94" w:rsidTr="00B53D00">
        <w:trPr>
          <w:trHeight w:val="161"/>
        </w:trPr>
        <w:tc>
          <w:tcPr>
            <w:tcW w:w="2850"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1276" w:type="dxa"/>
            <w:gridSpan w:val="2"/>
            <w:vMerge w:val="restart"/>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Задолжен</w:t>
            </w: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ность, всего</w:t>
            </w:r>
          </w:p>
        </w:tc>
        <w:tc>
          <w:tcPr>
            <w:tcW w:w="5529" w:type="dxa"/>
            <w:gridSpan w:val="5"/>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Категория качества</w:t>
            </w:r>
          </w:p>
        </w:tc>
      </w:tr>
      <w:tr w:rsidR="003D5AC4" w:rsidRPr="000C3A94" w:rsidTr="00B53D00">
        <w:trPr>
          <w:trHeight w:val="80"/>
        </w:trPr>
        <w:tc>
          <w:tcPr>
            <w:tcW w:w="2850"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76" w:type="dxa"/>
            <w:gridSpan w:val="2"/>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186"/>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Ссуды, ссудная и приравненная к ней задолженность</w:t>
            </w:r>
          </w:p>
        </w:tc>
        <w:tc>
          <w:tcPr>
            <w:tcW w:w="1276" w:type="dxa"/>
            <w:gridSpan w:val="2"/>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5 190 696</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965 648</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3 020 578</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407 582</w:t>
            </w:r>
          </w:p>
        </w:tc>
        <w:tc>
          <w:tcPr>
            <w:tcW w:w="992"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170 705</w:t>
            </w:r>
          </w:p>
        </w:tc>
        <w:tc>
          <w:tcPr>
            <w:tcW w:w="113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626 183</w:t>
            </w:r>
          </w:p>
        </w:tc>
      </w:tr>
      <w:tr w:rsidR="003D5AC4" w:rsidRPr="000C3A94" w:rsidTr="00B53D00">
        <w:trPr>
          <w:trHeight w:val="758"/>
        </w:trPr>
        <w:tc>
          <w:tcPr>
            <w:tcW w:w="2850" w:type="dxa"/>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Требования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76" w:type="dxa"/>
            <w:gridSpan w:val="2"/>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992"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r>
      <w:tr w:rsidR="003D5AC4" w:rsidRPr="000C3A94" w:rsidTr="00B53D00">
        <w:trPr>
          <w:trHeight w:val="190"/>
        </w:trPr>
        <w:tc>
          <w:tcPr>
            <w:tcW w:w="2850"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Прочие требования</w:t>
            </w:r>
          </w:p>
        </w:tc>
        <w:tc>
          <w:tcPr>
            <w:tcW w:w="1276"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461 242</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392 873</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16 268</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32 839</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129</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19 133</w:t>
            </w:r>
          </w:p>
        </w:tc>
      </w:tr>
      <w:tr w:rsidR="003D5AC4" w:rsidRPr="000C3A94" w:rsidTr="00B53D00">
        <w:trPr>
          <w:trHeight w:val="138"/>
        </w:trPr>
        <w:tc>
          <w:tcPr>
            <w:tcW w:w="2850"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задолженность</w:t>
            </w:r>
          </w:p>
        </w:tc>
        <w:tc>
          <w:tcPr>
            <w:tcW w:w="1276" w:type="dxa"/>
            <w:gridSpan w:val="2"/>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5 705 868</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1 358 521</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3 036 846</w:t>
            </w:r>
          </w:p>
        </w:tc>
        <w:tc>
          <w:tcPr>
            <w:tcW w:w="1134"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 xml:space="preserve"> 440 421</w:t>
            </w:r>
          </w:p>
        </w:tc>
        <w:tc>
          <w:tcPr>
            <w:tcW w:w="992"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170 834</w:t>
            </w:r>
          </w:p>
        </w:tc>
        <w:tc>
          <w:tcPr>
            <w:tcW w:w="113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699 246</w:t>
            </w:r>
          </w:p>
        </w:tc>
      </w:tr>
      <w:tr w:rsidR="003D5AC4" w:rsidRPr="000C3A94" w:rsidTr="00B53D00">
        <w:trPr>
          <w:trHeight w:val="581"/>
        </w:trPr>
        <w:tc>
          <w:tcPr>
            <w:tcW w:w="2850"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p>
        </w:tc>
        <w:tc>
          <w:tcPr>
            <w:tcW w:w="6805" w:type="dxa"/>
            <w:gridSpan w:val="7"/>
            <w:tcBorders>
              <w:top w:val="single" w:sz="4" w:space="0" w:color="auto"/>
              <w:bottom w:val="single" w:sz="4" w:space="0" w:color="auto"/>
            </w:tcBorders>
            <w:shd w:val="clear" w:color="auto" w:fill="auto"/>
            <w:vAlign w:val="center"/>
          </w:tcPr>
          <w:p w:rsidR="00860036" w:rsidRDefault="00860036" w:rsidP="00B53D00">
            <w:pPr>
              <w:overflowPunct/>
              <w:autoSpaceDE/>
              <w:autoSpaceDN/>
              <w:adjustRightInd/>
              <w:jc w:val="center"/>
              <w:textAlignment w:val="auto"/>
              <w:rPr>
                <w:rFonts w:cs="Arial"/>
                <w:b/>
                <w:bCs/>
                <w:szCs w:val="18"/>
                <w:lang w:val="ru-RU" w:eastAsia="ru-RU"/>
              </w:rPr>
            </w:pPr>
          </w:p>
          <w:p w:rsidR="00860036" w:rsidRDefault="00860036" w:rsidP="00B53D00">
            <w:pPr>
              <w:overflowPunct/>
              <w:autoSpaceDE/>
              <w:autoSpaceDN/>
              <w:adjustRightInd/>
              <w:jc w:val="center"/>
              <w:textAlignment w:val="auto"/>
              <w:rPr>
                <w:rFonts w:cs="Arial"/>
                <w:b/>
                <w:bCs/>
                <w:szCs w:val="18"/>
                <w:lang w:val="ru-RU" w:eastAsia="ru-RU"/>
              </w:rPr>
            </w:pPr>
          </w:p>
          <w:p w:rsidR="00860036" w:rsidRDefault="00860036" w:rsidP="00B53D00">
            <w:pPr>
              <w:overflowPunct/>
              <w:autoSpaceDE/>
              <w:autoSpaceDN/>
              <w:adjustRightInd/>
              <w:jc w:val="center"/>
              <w:textAlignment w:val="auto"/>
              <w:rPr>
                <w:rFonts w:cs="Arial"/>
                <w:b/>
                <w:bCs/>
                <w:szCs w:val="18"/>
                <w:lang w:val="ru-RU" w:eastAsia="ru-RU"/>
              </w:rPr>
            </w:pPr>
          </w:p>
          <w:p w:rsidR="00860036" w:rsidRDefault="00860036" w:rsidP="00B53D00">
            <w:pPr>
              <w:overflowPunct/>
              <w:autoSpaceDE/>
              <w:autoSpaceDN/>
              <w:adjustRightInd/>
              <w:jc w:val="center"/>
              <w:textAlignment w:val="auto"/>
              <w:rPr>
                <w:rFonts w:cs="Arial"/>
                <w:b/>
                <w:bCs/>
                <w:szCs w:val="18"/>
                <w:lang w:val="ru-RU" w:eastAsia="ru-RU"/>
              </w:rPr>
            </w:pPr>
          </w:p>
          <w:p w:rsidR="00860036" w:rsidRDefault="00860036"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lastRenderedPageBreak/>
              <w:t>Резерв на возможные потери</w:t>
            </w:r>
          </w:p>
        </w:tc>
      </w:tr>
      <w:tr w:rsidR="003D5AC4" w:rsidRPr="000C3A94" w:rsidTr="00B53D00">
        <w:trPr>
          <w:trHeight w:val="174"/>
        </w:trPr>
        <w:tc>
          <w:tcPr>
            <w:tcW w:w="2850"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1203" w:type="dxa"/>
            <w:vMerge w:val="restart"/>
            <w:tcBorders>
              <w:top w:val="single" w:sz="4" w:space="0" w:color="auto"/>
              <w:bottom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Расчетный резерв</w:t>
            </w:r>
          </w:p>
        </w:tc>
        <w:tc>
          <w:tcPr>
            <w:tcW w:w="5602" w:type="dxa"/>
            <w:gridSpan w:val="6"/>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Фактически сформированный резерв</w:t>
            </w:r>
          </w:p>
        </w:tc>
      </w:tr>
      <w:tr w:rsidR="003D5AC4" w:rsidRPr="000C3A94" w:rsidTr="00B53D00">
        <w:trPr>
          <w:trHeight w:val="102"/>
        </w:trPr>
        <w:tc>
          <w:tcPr>
            <w:tcW w:w="2850" w:type="dxa"/>
            <w:vMerge/>
            <w:tcBorders>
              <w:top w:val="single" w:sz="4" w:space="0" w:color="auto"/>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03"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207"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Итого</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495"/>
        </w:trPr>
        <w:tc>
          <w:tcPr>
            <w:tcW w:w="2850" w:type="dxa"/>
            <w:tcBorders>
              <w:top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ссудам, ссудной и приравненной к ней задолженности</w:t>
            </w:r>
          </w:p>
        </w:tc>
        <w:tc>
          <w:tcPr>
            <w:tcW w:w="1203"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857 159</w:t>
            </w:r>
          </w:p>
        </w:tc>
        <w:tc>
          <w:tcPr>
            <w:tcW w:w="1207" w:type="dxa"/>
            <w:gridSpan w:val="2"/>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738 602</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43 390</w:t>
            </w:r>
          </w:p>
        </w:tc>
        <w:tc>
          <w:tcPr>
            <w:tcW w:w="1134"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30 135</w:t>
            </w:r>
          </w:p>
        </w:tc>
        <w:tc>
          <w:tcPr>
            <w:tcW w:w="992"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46 467</w:t>
            </w:r>
          </w:p>
        </w:tc>
        <w:tc>
          <w:tcPr>
            <w:tcW w:w="113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618 610</w:t>
            </w:r>
          </w:p>
        </w:tc>
      </w:tr>
      <w:tr w:rsidR="003D5AC4" w:rsidRPr="000C3A94" w:rsidTr="00B53D00">
        <w:trPr>
          <w:trHeight w:val="1140"/>
        </w:trPr>
        <w:tc>
          <w:tcPr>
            <w:tcW w:w="2850" w:type="dxa"/>
            <w:shd w:val="clear" w:color="auto" w:fill="auto"/>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требованиям по сделкам, связанным с отчуждением (приобретением) финансовых активов с одновременным предоставлением контрагенту права отсрочки платежа (поставка финансовых активов)</w:t>
            </w:r>
          </w:p>
        </w:tc>
        <w:tc>
          <w:tcPr>
            <w:tcW w:w="1203"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207" w:type="dxa"/>
            <w:gridSpan w:val="2"/>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4"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992"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13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53 930</w:t>
            </w:r>
          </w:p>
        </w:tc>
      </w:tr>
      <w:tr w:rsidR="003D5AC4" w:rsidRPr="000C3A94" w:rsidTr="00B53D00">
        <w:trPr>
          <w:trHeight w:val="70"/>
        </w:trPr>
        <w:tc>
          <w:tcPr>
            <w:tcW w:w="2850"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РВП по прочим требованиям</w:t>
            </w:r>
          </w:p>
        </w:tc>
        <w:tc>
          <w:tcPr>
            <w:tcW w:w="1203"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 xml:space="preserve">17 057 </w:t>
            </w:r>
          </w:p>
        </w:tc>
        <w:tc>
          <w:tcPr>
            <w:tcW w:w="1207" w:type="dxa"/>
            <w:gridSpan w:val="2"/>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26 203</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214</w:t>
            </w:r>
          </w:p>
        </w:tc>
        <w:tc>
          <w:tcPr>
            <w:tcW w:w="1134"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6 792</w:t>
            </w:r>
          </w:p>
        </w:tc>
        <w:tc>
          <w:tcPr>
            <w:tcW w:w="992"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64</w:t>
            </w:r>
          </w:p>
        </w:tc>
        <w:tc>
          <w:tcPr>
            <w:tcW w:w="113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19 133</w:t>
            </w:r>
          </w:p>
        </w:tc>
      </w:tr>
      <w:tr w:rsidR="003D5AC4" w:rsidRPr="000C3A94" w:rsidTr="00B53D00">
        <w:trPr>
          <w:trHeight w:val="134"/>
        </w:trPr>
        <w:tc>
          <w:tcPr>
            <w:tcW w:w="2850"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РВП</w:t>
            </w:r>
          </w:p>
        </w:tc>
        <w:tc>
          <w:tcPr>
            <w:tcW w:w="1203"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928 146</w:t>
            </w:r>
          </w:p>
        </w:tc>
        <w:tc>
          <w:tcPr>
            <w:tcW w:w="1207" w:type="dxa"/>
            <w:gridSpan w:val="2"/>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818 735</w:t>
            </w:r>
          </w:p>
        </w:tc>
        <w:tc>
          <w:tcPr>
            <w:tcW w:w="1134"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43 604</w:t>
            </w:r>
          </w:p>
        </w:tc>
        <w:tc>
          <w:tcPr>
            <w:tcW w:w="1134"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36 927</w:t>
            </w:r>
          </w:p>
        </w:tc>
        <w:tc>
          <w:tcPr>
            <w:tcW w:w="992"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46 531</w:t>
            </w:r>
          </w:p>
        </w:tc>
        <w:tc>
          <w:tcPr>
            <w:tcW w:w="113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691 673</w:t>
            </w:r>
          </w:p>
        </w:tc>
      </w:tr>
    </w:tbl>
    <w:p w:rsidR="003D5AC4" w:rsidRPr="000C3A94" w:rsidRDefault="003D5AC4" w:rsidP="003D5AC4">
      <w:pPr>
        <w:pStyle w:val="HTML"/>
        <w:rPr>
          <w:rFonts w:ascii="Arial" w:hAnsi="Arial" w:cs="Arial"/>
          <w:color w:val="auto"/>
          <w:lang w:eastAsia="en-US"/>
        </w:rPr>
      </w:pPr>
    </w:p>
    <w:p w:rsidR="003D5AC4" w:rsidRPr="00DA65F5" w:rsidRDefault="003D5AC4" w:rsidP="003D5AC4">
      <w:pPr>
        <w:pStyle w:val="HTML"/>
        <w:jc w:val="both"/>
        <w:rPr>
          <w:rFonts w:ascii="Arial" w:hAnsi="Arial" w:cs="Arial"/>
          <w:color w:val="auto"/>
          <w:lang w:eastAsia="en-US"/>
        </w:rPr>
      </w:pPr>
      <w:r w:rsidRPr="00DA65F5">
        <w:rPr>
          <w:rFonts w:ascii="Arial" w:hAnsi="Arial" w:cs="Arial"/>
          <w:color w:val="auto"/>
          <w:lang w:eastAsia="en-US"/>
        </w:rPr>
        <w:t>Согласно данным по состоянию за 31.12.2018 года общий объем требований к кредитным организациям,</w:t>
      </w:r>
      <w:r w:rsidRPr="00DA65F5">
        <w:rPr>
          <w:rFonts w:ascii="Arial" w:hAnsi="Arial" w:cs="Arial"/>
          <w:color w:val="auto"/>
          <w:sz w:val="18"/>
          <w:szCs w:val="18"/>
          <w:lang w:eastAsia="en-US"/>
        </w:rPr>
        <w:t xml:space="preserve"> </w:t>
      </w:r>
      <w:r w:rsidRPr="00DA65F5">
        <w:rPr>
          <w:rFonts w:ascii="Arial" w:hAnsi="Arial" w:cs="Arial"/>
          <w:color w:val="auto"/>
          <w:lang w:eastAsia="en-US"/>
        </w:rPr>
        <w:t xml:space="preserve">юридическим и физическим лицам составил 5 510 766 тыс. руб., наблюдается снижение относительно данных 31.12.2017 года на 195 102 тыс. руб., в т.ч. за счет снижения объема активов </w:t>
      </w:r>
      <w:r w:rsidRPr="00DA65F5">
        <w:rPr>
          <w:rFonts w:ascii="Arial" w:hAnsi="Arial" w:cs="Arial"/>
          <w:color w:val="auto"/>
          <w:lang w:val="en-US" w:eastAsia="en-US"/>
        </w:rPr>
        <w:t>II</w:t>
      </w:r>
      <w:r w:rsidRPr="00DA65F5">
        <w:rPr>
          <w:rFonts w:ascii="Arial" w:hAnsi="Arial" w:cs="Arial"/>
          <w:color w:val="auto"/>
          <w:lang w:eastAsia="en-US"/>
        </w:rPr>
        <w:t xml:space="preserve"> и </w:t>
      </w:r>
      <w:r w:rsidRPr="00DA65F5">
        <w:rPr>
          <w:rFonts w:ascii="Arial" w:hAnsi="Arial" w:cs="Arial"/>
          <w:color w:val="auto"/>
          <w:lang w:val="en-US" w:eastAsia="en-US"/>
        </w:rPr>
        <w:t>III</w:t>
      </w:r>
      <w:r w:rsidRPr="00DA65F5">
        <w:rPr>
          <w:rFonts w:ascii="Arial" w:hAnsi="Arial" w:cs="Arial"/>
          <w:color w:val="auto"/>
          <w:lang w:eastAsia="en-US"/>
        </w:rPr>
        <w:t xml:space="preserve"> категории качества. Объем фактически сформированных резервов 1 195 899 тыс. руб. </w:t>
      </w:r>
    </w:p>
    <w:p w:rsidR="003D5AC4" w:rsidRPr="00C840BB" w:rsidRDefault="003D5AC4" w:rsidP="003D5AC4">
      <w:pPr>
        <w:pStyle w:val="HTML"/>
        <w:jc w:val="both"/>
        <w:rPr>
          <w:rFonts w:ascii="Arial" w:hAnsi="Arial" w:cs="Arial"/>
          <w:color w:val="auto"/>
          <w:lang w:eastAsia="en-US"/>
        </w:rPr>
      </w:pPr>
      <w:r w:rsidRPr="00C840BB">
        <w:rPr>
          <w:rFonts w:ascii="Arial" w:hAnsi="Arial" w:cs="Arial"/>
          <w:color w:val="auto"/>
          <w:lang w:eastAsia="en-US"/>
        </w:rPr>
        <w:t xml:space="preserve">К активам </w:t>
      </w:r>
      <w:r w:rsidRPr="00C840BB">
        <w:rPr>
          <w:rFonts w:ascii="Arial" w:hAnsi="Arial" w:cs="Arial"/>
          <w:color w:val="auto"/>
          <w:lang w:val="en-US" w:eastAsia="en-US"/>
        </w:rPr>
        <w:t>I</w:t>
      </w:r>
      <w:r w:rsidRPr="00C840BB">
        <w:rPr>
          <w:rFonts w:ascii="Arial" w:hAnsi="Arial" w:cs="Arial"/>
          <w:color w:val="auto"/>
          <w:lang w:eastAsia="en-US"/>
        </w:rPr>
        <w:t xml:space="preserve"> категории качества относятся требования к кредитным организациям (МБК, требования по расчетам с валютными и фондовыми биржами) в сумме 1</w:t>
      </w:r>
      <w:r w:rsidRPr="00C840BB">
        <w:rPr>
          <w:rFonts w:ascii="Arial" w:hAnsi="Arial" w:cs="Arial"/>
          <w:color w:val="auto"/>
          <w:lang w:val="en-US" w:eastAsia="en-US"/>
        </w:rPr>
        <w:t> </w:t>
      </w:r>
      <w:r w:rsidRPr="00C840BB">
        <w:rPr>
          <w:rFonts w:ascii="Arial" w:hAnsi="Arial" w:cs="Arial"/>
          <w:color w:val="auto"/>
          <w:lang w:eastAsia="en-US"/>
        </w:rPr>
        <w:t>377 614 тыс. руб., прочие активы 163 084 тыс. руб. Изменение произошло за счет роста объемов МБК и снижения остатков на корреспондентских счетах.</w:t>
      </w:r>
    </w:p>
    <w:p w:rsidR="003D5AC4" w:rsidRPr="00D90F14" w:rsidRDefault="003D5AC4" w:rsidP="003D5AC4">
      <w:pPr>
        <w:pStyle w:val="HTML"/>
        <w:jc w:val="both"/>
        <w:rPr>
          <w:rFonts w:ascii="Arial" w:hAnsi="Arial" w:cs="Arial"/>
          <w:color w:val="auto"/>
          <w:lang w:eastAsia="en-US"/>
        </w:rPr>
      </w:pPr>
      <w:r w:rsidRPr="00D90F14">
        <w:rPr>
          <w:rFonts w:ascii="Arial" w:hAnsi="Arial" w:cs="Arial"/>
          <w:color w:val="auto"/>
          <w:lang w:eastAsia="en-US"/>
        </w:rPr>
        <w:t xml:space="preserve">Основная доля активов (46,9%) относится ко </w:t>
      </w:r>
      <w:r w:rsidRPr="00D90F14">
        <w:rPr>
          <w:rFonts w:ascii="Arial" w:hAnsi="Arial" w:cs="Arial"/>
          <w:color w:val="auto"/>
          <w:lang w:val="en-US" w:eastAsia="en-US"/>
        </w:rPr>
        <w:t>II</w:t>
      </w:r>
      <w:r w:rsidRPr="00D90F14">
        <w:rPr>
          <w:rFonts w:ascii="Arial" w:hAnsi="Arial" w:cs="Arial"/>
          <w:color w:val="auto"/>
          <w:lang w:eastAsia="en-US"/>
        </w:rPr>
        <w:t xml:space="preserve"> категории качества. Включает в себя в значительной доле ссудную и приравненную к ней задолженность по юридическим и физическим лицам. Объем требований составил 2 561 225 тыс. руб., снижение в рамках отчетного периода составило 459 353 тыс. руб. Изменение связано с реклассификацией крупной ссудной задолженности юридического лица.</w:t>
      </w:r>
    </w:p>
    <w:p w:rsidR="003D5AC4" w:rsidRPr="00D90F14" w:rsidRDefault="003D5AC4" w:rsidP="003D5AC4">
      <w:pPr>
        <w:pStyle w:val="HTML"/>
        <w:jc w:val="both"/>
        <w:rPr>
          <w:rFonts w:ascii="Arial" w:hAnsi="Arial" w:cs="Arial"/>
          <w:color w:val="auto"/>
          <w:lang w:eastAsia="en-US"/>
        </w:rPr>
      </w:pPr>
      <w:r w:rsidRPr="00D90F14">
        <w:rPr>
          <w:rFonts w:ascii="Arial" w:hAnsi="Arial" w:cs="Arial"/>
          <w:color w:val="auto"/>
          <w:lang w:eastAsia="en-US"/>
        </w:rPr>
        <w:t>Основная доля активов II</w:t>
      </w:r>
      <w:r w:rsidRPr="00D90F14">
        <w:rPr>
          <w:rFonts w:ascii="Arial" w:hAnsi="Arial" w:cs="Arial"/>
          <w:color w:val="auto"/>
          <w:lang w:val="en-US" w:eastAsia="en-US"/>
        </w:rPr>
        <w:t>I</w:t>
      </w:r>
      <w:r w:rsidRPr="00D90F14">
        <w:rPr>
          <w:rFonts w:ascii="Arial" w:hAnsi="Arial" w:cs="Arial"/>
          <w:color w:val="auto"/>
          <w:lang w:eastAsia="en-US"/>
        </w:rPr>
        <w:t xml:space="preserve"> категории качества (81,5%) представлена ссудной и приравненной к ней задолженности по юридическим и физическим лицам. Объем требований составил 105 828 тыс. руб., снижение в рамках отчетного периода составило 301 754 тыс. руб., основное изменение связано с реклассификацией ссудной задолженности юридических лиц в более низкую категорию качества.</w:t>
      </w:r>
    </w:p>
    <w:p w:rsidR="003D5AC4" w:rsidRPr="003F3ACE" w:rsidRDefault="003D5AC4" w:rsidP="003D5AC4">
      <w:pPr>
        <w:pStyle w:val="HTML"/>
        <w:jc w:val="both"/>
        <w:rPr>
          <w:rFonts w:ascii="Arial" w:hAnsi="Arial" w:cs="Arial"/>
          <w:color w:val="auto"/>
          <w:lang w:eastAsia="en-US"/>
        </w:rPr>
      </w:pPr>
      <w:r w:rsidRPr="003F3ACE">
        <w:rPr>
          <w:rFonts w:ascii="Arial" w:hAnsi="Arial" w:cs="Arial"/>
          <w:color w:val="auto"/>
          <w:lang w:eastAsia="en-US"/>
        </w:rPr>
        <w:t xml:space="preserve">Существенный рост активов </w:t>
      </w:r>
      <w:r w:rsidRPr="003F3ACE">
        <w:rPr>
          <w:rFonts w:ascii="Arial" w:hAnsi="Arial" w:cs="Arial"/>
          <w:color w:val="auto"/>
          <w:lang w:val="en-US" w:eastAsia="en-US"/>
        </w:rPr>
        <w:t>IV</w:t>
      </w:r>
      <w:r w:rsidRPr="003F3ACE">
        <w:rPr>
          <w:rFonts w:ascii="Arial" w:hAnsi="Arial" w:cs="Arial"/>
          <w:color w:val="auto"/>
          <w:lang w:eastAsia="en-US"/>
        </w:rPr>
        <w:t xml:space="preserve"> категории качества по состоянию за 31.12.2018 года обусловлен реклассификацией крупной ссудной задолженности юридического лица, увеличение на 113 646 тыс. руб.</w:t>
      </w:r>
    </w:p>
    <w:p w:rsidR="003D5AC4" w:rsidRPr="003F3ACE" w:rsidRDefault="003D5AC4" w:rsidP="003D5AC4">
      <w:pPr>
        <w:pStyle w:val="HTML"/>
        <w:jc w:val="both"/>
        <w:rPr>
          <w:rFonts w:ascii="Arial" w:hAnsi="Arial" w:cs="Arial"/>
          <w:color w:val="auto"/>
          <w:lang w:eastAsia="en-US"/>
        </w:rPr>
      </w:pPr>
      <w:r w:rsidRPr="003F3ACE">
        <w:rPr>
          <w:rFonts w:ascii="Arial" w:hAnsi="Arial" w:cs="Arial"/>
          <w:color w:val="auto"/>
          <w:lang w:eastAsia="en-US"/>
        </w:rPr>
        <w:t xml:space="preserve">Активы </w:t>
      </w:r>
      <w:r w:rsidRPr="003F3ACE">
        <w:rPr>
          <w:rFonts w:ascii="Arial" w:hAnsi="Arial" w:cs="Arial"/>
          <w:color w:val="auto"/>
          <w:lang w:val="en-US" w:eastAsia="en-US"/>
        </w:rPr>
        <w:t>V</w:t>
      </w:r>
      <w:r w:rsidRPr="003F3ACE">
        <w:rPr>
          <w:rFonts w:ascii="Arial" w:hAnsi="Arial" w:cs="Arial"/>
          <w:color w:val="auto"/>
          <w:lang w:eastAsia="en-US"/>
        </w:rPr>
        <w:t xml:space="preserve"> категории качества по состоянию за 31.12.2018 года составили 965 090 тыс. руб. при объеме фактически сформированных резервов в размере 835 319 тыс. руб. Включают в себя ссудную и приравненную к ней задолженность, требования по сделкам, связанным с отчуждением активов с одновременным предоставлением контрагенту права отсрочки платежа, прочие требования. Изменение объема активов </w:t>
      </w:r>
      <w:r w:rsidRPr="003F3ACE">
        <w:rPr>
          <w:rFonts w:ascii="Arial" w:hAnsi="Arial" w:cs="Arial"/>
          <w:color w:val="auto"/>
          <w:lang w:val="en-US" w:eastAsia="en-US"/>
        </w:rPr>
        <w:t>V</w:t>
      </w:r>
      <w:r w:rsidRPr="003F3ACE">
        <w:rPr>
          <w:rFonts w:ascii="Arial" w:hAnsi="Arial" w:cs="Arial"/>
          <w:color w:val="auto"/>
          <w:lang w:eastAsia="en-US"/>
        </w:rPr>
        <w:t xml:space="preserve"> категории качества в отчетном периоде составило 265 844 тыс. руб.</w:t>
      </w:r>
    </w:p>
    <w:p w:rsidR="003D5AC4" w:rsidRPr="003F3ACE" w:rsidRDefault="003D5AC4" w:rsidP="003D5AC4">
      <w:pPr>
        <w:pStyle w:val="HTML"/>
        <w:jc w:val="both"/>
        <w:rPr>
          <w:rFonts w:ascii="Arial" w:hAnsi="Arial" w:cs="Arial"/>
          <w:color w:val="auto"/>
          <w:lang w:eastAsia="en-US"/>
        </w:rPr>
      </w:pPr>
    </w:p>
    <w:p w:rsidR="003D5AC4" w:rsidRPr="000C3A94" w:rsidRDefault="003D5AC4" w:rsidP="003D5AC4">
      <w:pPr>
        <w:pStyle w:val="HTML"/>
        <w:jc w:val="both"/>
        <w:rPr>
          <w:rFonts w:ascii="Arial" w:hAnsi="Arial" w:cs="Arial"/>
          <w:color w:val="auto"/>
          <w:lang w:eastAsia="en-US"/>
        </w:rPr>
      </w:pPr>
      <w:r w:rsidRPr="003F3ACE">
        <w:rPr>
          <w:rFonts w:ascii="Arial" w:hAnsi="Arial" w:cs="Arial"/>
          <w:color w:val="auto"/>
          <w:lang w:eastAsia="en-US"/>
        </w:rPr>
        <w:t>Отдельно представлены данные о классификации активов, сгруппированных в портфели однородных требований и ссуд по категориям качества, размерах расчетного и фактически сформированного резерва на возможные потери.</w:t>
      </w:r>
    </w:p>
    <w:p w:rsidR="003D5AC4" w:rsidRPr="000C3A94" w:rsidRDefault="003D5AC4" w:rsidP="003D5AC4">
      <w:pPr>
        <w:pStyle w:val="HTML"/>
        <w:jc w:val="both"/>
        <w:rPr>
          <w:rFonts w:ascii="Arial" w:hAnsi="Arial" w:cs="Arial"/>
          <w:color w:val="auto"/>
          <w:sz w:val="18"/>
          <w:szCs w:val="18"/>
          <w:lang w:eastAsia="en-US"/>
        </w:rPr>
      </w:pPr>
    </w:p>
    <w:p w:rsidR="003D5AC4" w:rsidRPr="000C3A94" w:rsidRDefault="003D5AC4" w:rsidP="003D5AC4">
      <w:pPr>
        <w:pStyle w:val="HTML"/>
        <w:rPr>
          <w:rFonts w:ascii="Arial" w:hAnsi="Arial" w:cs="Arial"/>
          <w:b/>
          <w:color w:val="auto"/>
        </w:rPr>
      </w:pPr>
      <w:r w:rsidRPr="000C3A94">
        <w:rPr>
          <w:rFonts w:ascii="Arial" w:hAnsi="Arial" w:cs="Arial"/>
          <w:b/>
          <w:color w:val="auto"/>
        </w:rPr>
        <w:t>Данные о классификации активов по категориям качества, сгруппированным в портфели однородных требований и ссуд:</w:t>
      </w:r>
    </w:p>
    <w:p w:rsidR="003D5AC4" w:rsidRPr="000C3A94" w:rsidRDefault="003D5AC4" w:rsidP="003D5AC4">
      <w:pPr>
        <w:pStyle w:val="HTML"/>
        <w:rPr>
          <w:rFonts w:ascii="Arial" w:hAnsi="Arial" w:cs="Arial"/>
          <w:b/>
          <w:color w:val="auto"/>
          <w:sz w:val="18"/>
          <w:szCs w:val="18"/>
        </w:rPr>
      </w:pPr>
    </w:p>
    <w:tbl>
      <w:tblPr>
        <w:tblW w:w="9444" w:type="dxa"/>
        <w:tblInd w:w="93" w:type="dxa"/>
        <w:tblLook w:val="04A0" w:firstRow="1" w:lastRow="0" w:firstColumn="1" w:lastColumn="0" w:noHBand="0" w:noVBand="1"/>
      </w:tblPr>
      <w:tblGrid>
        <w:gridCol w:w="3701"/>
        <w:gridCol w:w="1519"/>
        <w:gridCol w:w="1265"/>
        <w:gridCol w:w="1037"/>
        <w:gridCol w:w="885"/>
        <w:gridCol w:w="1037"/>
      </w:tblGrid>
      <w:tr w:rsidR="003D5AC4" w:rsidRPr="000C3A94" w:rsidTr="00B53D00">
        <w:trPr>
          <w:trHeight w:val="139"/>
          <w:tblHeader/>
        </w:trPr>
        <w:tc>
          <w:tcPr>
            <w:tcW w:w="3701"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tc>
        <w:tc>
          <w:tcPr>
            <w:tcW w:w="5743" w:type="dxa"/>
            <w:gridSpan w:val="5"/>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w:t>
            </w:r>
            <w:r>
              <w:rPr>
                <w:rFonts w:cs="Arial"/>
                <w:b/>
                <w:bCs/>
                <w:szCs w:val="18"/>
                <w:lang w:val="ru-RU" w:eastAsia="ru-RU"/>
              </w:rPr>
              <w:t>12</w:t>
            </w:r>
            <w:r w:rsidRPr="000C3A94">
              <w:rPr>
                <w:rFonts w:cs="Arial"/>
                <w:b/>
                <w:bCs/>
                <w:szCs w:val="18"/>
                <w:lang w:val="ru-RU" w:eastAsia="ru-RU"/>
              </w:rPr>
              <w:t>.2018</w:t>
            </w:r>
          </w:p>
        </w:tc>
      </w:tr>
      <w:tr w:rsidR="003D5AC4" w:rsidRPr="000C3A94" w:rsidTr="00B53D00">
        <w:trPr>
          <w:trHeight w:val="122"/>
          <w:tblHeader/>
        </w:trPr>
        <w:tc>
          <w:tcPr>
            <w:tcW w:w="3701"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Портфели требований категории качества</w:t>
            </w:r>
          </w:p>
        </w:tc>
      </w:tr>
      <w:tr w:rsidR="003D5AC4" w:rsidRPr="000C3A94" w:rsidTr="00B53D00">
        <w:trPr>
          <w:trHeight w:val="60"/>
          <w:tblHeader/>
        </w:trPr>
        <w:tc>
          <w:tcPr>
            <w:tcW w:w="3701"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519"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w:t>
            </w:r>
          </w:p>
        </w:tc>
        <w:tc>
          <w:tcPr>
            <w:tcW w:w="126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88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191"/>
        </w:trPr>
        <w:tc>
          <w:tcPr>
            <w:tcW w:w="3701"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26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037"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88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037"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r>
      <w:tr w:rsidR="003D5AC4" w:rsidRPr="000C3A94" w:rsidTr="00B53D00">
        <w:trPr>
          <w:trHeight w:val="82"/>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Задолженность</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hideMark/>
          </w:tcPr>
          <w:p w:rsidR="003D5AC4" w:rsidRPr="000C3A94" w:rsidRDefault="003D5AC4" w:rsidP="00B53D00">
            <w:pPr>
              <w:overflowPunct/>
              <w:autoSpaceDE/>
              <w:autoSpaceDN/>
              <w:adjustRightInd/>
              <w:jc w:val="center"/>
              <w:textAlignment w:val="auto"/>
              <w:rPr>
                <w:szCs w:val="18"/>
                <w:lang w:val="ru-RU"/>
              </w:rPr>
            </w:pPr>
            <w:r w:rsidRPr="000C3A94">
              <w:rPr>
                <w:szCs w:val="18"/>
                <w:lang w:val="ru-RU"/>
              </w:rPr>
              <w:t>1</w:t>
            </w:r>
            <w:r>
              <w:rPr>
                <w:szCs w:val="18"/>
                <w:lang w:val="ru-RU"/>
              </w:rPr>
              <w:t> 922 903</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202 830</w:t>
            </w:r>
          </w:p>
        </w:tc>
        <w:tc>
          <w:tcPr>
            <w:tcW w:w="88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14 203</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285 828</w:t>
            </w:r>
          </w:p>
        </w:tc>
      </w:tr>
      <w:tr w:rsidR="003D5AC4" w:rsidRPr="000C3A94" w:rsidTr="00B53D00">
        <w:trPr>
          <w:trHeight w:val="141"/>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xml:space="preserve">Расчетный резерв </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34 875</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9 999</w:t>
            </w:r>
          </w:p>
        </w:tc>
        <w:tc>
          <w:tcPr>
            <w:tcW w:w="88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7 042</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Pr>
                <w:szCs w:val="18"/>
                <w:lang w:val="ru-RU"/>
              </w:rPr>
              <w:t>282 797</w:t>
            </w:r>
          </w:p>
        </w:tc>
      </w:tr>
      <w:tr w:rsidR="003D5AC4" w:rsidRPr="000C3A94" w:rsidTr="00B53D00">
        <w:trPr>
          <w:trHeight w:val="6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lastRenderedPageBreak/>
              <w:t>Сформированный резерв</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(34 875</w:t>
            </w: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(9 999</w:t>
            </w:r>
            <w:r w:rsidRPr="000C3A94">
              <w:rPr>
                <w:rFonts w:cs="Arial"/>
                <w:szCs w:val="18"/>
                <w:lang w:val="ru-RU" w:eastAsia="ru-RU"/>
              </w:rPr>
              <w:t>)</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(7 042</w:t>
            </w: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(282 797</w:t>
            </w:r>
            <w:r w:rsidRPr="000C3A94">
              <w:rPr>
                <w:rFonts w:cs="Arial"/>
                <w:szCs w:val="18"/>
                <w:lang w:val="ru-RU" w:eastAsia="ru-RU"/>
              </w:rPr>
              <w:t>)</w:t>
            </w:r>
          </w:p>
        </w:tc>
      </w:tr>
      <w:tr w:rsidR="003D5AC4" w:rsidRPr="000C3A94" w:rsidTr="00B53D00">
        <w:trPr>
          <w:trHeight w:val="12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Прочие требования</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r>
      <w:tr w:rsidR="003D5AC4" w:rsidRPr="000C3A94" w:rsidTr="00B53D00">
        <w:trPr>
          <w:trHeight w:val="5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Задолженность</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26 386</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15 727</w:t>
            </w:r>
          </w:p>
        </w:tc>
      </w:tr>
      <w:tr w:rsidR="003D5AC4" w:rsidRPr="000C3A94" w:rsidTr="00B53D00">
        <w:trPr>
          <w:trHeight w:val="121"/>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Расчетный резерв</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265</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15 722</w:t>
            </w:r>
          </w:p>
        </w:tc>
      </w:tr>
      <w:tr w:rsidR="003D5AC4" w:rsidRPr="000C3A94" w:rsidTr="00B53D00">
        <w:trPr>
          <w:trHeight w:val="53"/>
        </w:trPr>
        <w:tc>
          <w:tcPr>
            <w:tcW w:w="3701"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Сформированный резерв</w:t>
            </w:r>
          </w:p>
        </w:tc>
        <w:tc>
          <w:tcPr>
            <w:tcW w:w="1519"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(265</w:t>
            </w:r>
            <w:r w:rsidRPr="000C3A94">
              <w:rPr>
                <w:rFonts w:cs="Arial"/>
                <w:szCs w:val="18"/>
                <w:lang w:val="ru-RU" w:eastAsia="ru-RU"/>
              </w:rPr>
              <w:t>)</w:t>
            </w:r>
          </w:p>
        </w:tc>
        <w:tc>
          <w:tcPr>
            <w:tcW w:w="1037"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Pr>
                <w:rFonts w:cs="Arial"/>
                <w:szCs w:val="18"/>
                <w:lang w:val="ru-RU" w:eastAsia="ru-RU"/>
              </w:rPr>
              <w:t>(15 722)</w:t>
            </w:r>
          </w:p>
        </w:tc>
      </w:tr>
      <w:tr w:rsidR="003D5AC4" w:rsidRPr="000C3A94" w:rsidTr="00B53D00">
        <w:trPr>
          <w:trHeight w:val="112"/>
        </w:trPr>
        <w:tc>
          <w:tcPr>
            <w:tcW w:w="3701"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w:t>
            </w:r>
          </w:p>
        </w:tc>
        <w:tc>
          <w:tcPr>
            <w:tcW w:w="126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1</w:t>
            </w:r>
            <w:r>
              <w:rPr>
                <w:rFonts w:cs="Arial"/>
                <w:b/>
                <w:bCs/>
                <w:szCs w:val="18"/>
                <w:lang w:val="ru-RU" w:eastAsia="ru-RU"/>
              </w:rPr>
              <w:t> 949 289</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202 830</w:t>
            </w:r>
          </w:p>
        </w:tc>
        <w:tc>
          <w:tcPr>
            <w:tcW w:w="88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14 203</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301 555</w:t>
            </w:r>
          </w:p>
        </w:tc>
      </w:tr>
      <w:tr w:rsidR="003D5AC4" w:rsidRPr="000C3A94" w:rsidTr="00B53D00">
        <w:trPr>
          <w:trHeight w:val="50"/>
        </w:trPr>
        <w:tc>
          <w:tcPr>
            <w:tcW w:w="3701"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РВП</w:t>
            </w:r>
          </w:p>
        </w:tc>
        <w:tc>
          <w:tcPr>
            <w:tcW w:w="1519"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w:t>
            </w:r>
          </w:p>
        </w:tc>
        <w:tc>
          <w:tcPr>
            <w:tcW w:w="126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w:t>
            </w:r>
            <w:r>
              <w:rPr>
                <w:rFonts w:cs="Arial"/>
                <w:b/>
                <w:bCs/>
                <w:szCs w:val="18"/>
                <w:lang w:val="ru-RU" w:eastAsia="ru-RU"/>
              </w:rPr>
              <w:t>35 140</w:t>
            </w:r>
            <w:r w:rsidRPr="000C3A94">
              <w:rPr>
                <w:rFonts w:cs="Arial"/>
                <w:b/>
                <w:bCs/>
                <w:szCs w:val="18"/>
                <w:lang w:val="ru-RU" w:eastAsia="ru-RU"/>
              </w:rPr>
              <w:t>)</w:t>
            </w:r>
          </w:p>
        </w:tc>
        <w:tc>
          <w:tcPr>
            <w:tcW w:w="1037"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(9 999</w:t>
            </w:r>
            <w:r w:rsidRPr="000C3A94">
              <w:rPr>
                <w:rFonts w:cs="Arial"/>
                <w:b/>
                <w:bCs/>
                <w:szCs w:val="18"/>
                <w:lang w:val="ru-RU" w:eastAsia="ru-RU"/>
              </w:rPr>
              <w:t>)</w:t>
            </w:r>
          </w:p>
        </w:tc>
        <w:tc>
          <w:tcPr>
            <w:tcW w:w="88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(7 042</w:t>
            </w:r>
            <w:r w:rsidRPr="000C3A94">
              <w:rPr>
                <w:rFonts w:cs="Arial"/>
                <w:b/>
                <w:bCs/>
                <w:szCs w:val="18"/>
                <w:lang w:val="ru-RU" w:eastAsia="ru-RU"/>
              </w:rPr>
              <w:t>)</w:t>
            </w:r>
          </w:p>
        </w:tc>
        <w:tc>
          <w:tcPr>
            <w:tcW w:w="1037"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Pr>
                <w:rFonts w:cs="Arial"/>
                <w:b/>
                <w:bCs/>
                <w:szCs w:val="18"/>
                <w:lang w:val="ru-RU" w:eastAsia="ru-RU"/>
              </w:rPr>
              <w:t>(298 519</w:t>
            </w:r>
            <w:r w:rsidRPr="000C3A94">
              <w:rPr>
                <w:rFonts w:cs="Arial"/>
                <w:b/>
                <w:bCs/>
                <w:szCs w:val="18"/>
                <w:lang w:val="ru-RU" w:eastAsia="ru-RU"/>
              </w:rPr>
              <w:t>)</w:t>
            </w:r>
          </w:p>
        </w:tc>
      </w:tr>
    </w:tbl>
    <w:p w:rsidR="003D5AC4" w:rsidRPr="000C3A94" w:rsidRDefault="003D5AC4" w:rsidP="003D5AC4">
      <w:pPr>
        <w:pStyle w:val="HTML"/>
        <w:rPr>
          <w:rFonts w:ascii="Arial" w:hAnsi="Arial" w:cs="Arial"/>
          <w:b/>
          <w:color w:val="auto"/>
          <w:sz w:val="18"/>
          <w:szCs w:val="18"/>
        </w:rPr>
      </w:pPr>
    </w:p>
    <w:tbl>
      <w:tblPr>
        <w:tblW w:w="9444" w:type="dxa"/>
        <w:tblInd w:w="93" w:type="dxa"/>
        <w:tblLook w:val="04A0" w:firstRow="1" w:lastRow="0" w:firstColumn="1" w:lastColumn="0" w:noHBand="0" w:noVBand="1"/>
      </w:tblPr>
      <w:tblGrid>
        <w:gridCol w:w="3701"/>
        <w:gridCol w:w="1519"/>
        <w:gridCol w:w="1265"/>
        <w:gridCol w:w="1037"/>
        <w:gridCol w:w="885"/>
        <w:gridCol w:w="1037"/>
      </w:tblGrid>
      <w:tr w:rsidR="003D5AC4" w:rsidRPr="000C3A94" w:rsidTr="00B53D00">
        <w:trPr>
          <w:trHeight w:val="139"/>
        </w:trPr>
        <w:tc>
          <w:tcPr>
            <w:tcW w:w="3701"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tc>
        <w:tc>
          <w:tcPr>
            <w:tcW w:w="5743" w:type="dxa"/>
            <w:gridSpan w:val="5"/>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31.12.2017</w:t>
            </w:r>
          </w:p>
        </w:tc>
      </w:tr>
      <w:tr w:rsidR="003D5AC4" w:rsidRPr="000C3A94" w:rsidTr="00B53D00">
        <w:trPr>
          <w:trHeight w:val="122"/>
        </w:trPr>
        <w:tc>
          <w:tcPr>
            <w:tcW w:w="3701" w:type="dxa"/>
            <w:vMerge w:val="restart"/>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Вид актива</w:t>
            </w:r>
          </w:p>
        </w:tc>
        <w:tc>
          <w:tcPr>
            <w:tcW w:w="5743" w:type="dxa"/>
            <w:gridSpan w:val="5"/>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Портфели требований категории качества</w:t>
            </w:r>
          </w:p>
        </w:tc>
      </w:tr>
      <w:tr w:rsidR="003D5AC4" w:rsidRPr="000C3A94" w:rsidTr="00B53D00">
        <w:trPr>
          <w:trHeight w:val="60"/>
        </w:trPr>
        <w:tc>
          <w:tcPr>
            <w:tcW w:w="3701" w:type="dxa"/>
            <w:vMerge/>
            <w:tcBorders>
              <w:bottom w:val="single" w:sz="4" w:space="0" w:color="auto"/>
            </w:tcBorders>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tc>
        <w:tc>
          <w:tcPr>
            <w:tcW w:w="1519"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w:t>
            </w:r>
          </w:p>
        </w:tc>
        <w:tc>
          <w:tcPr>
            <w:tcW w:w="126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III</w:t>
            </w:r>
          </w:p>
        </w:tc>
        <w:tc>
          <w:tcPr>
            <w:tcW w:w="88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IV</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V</w:t>
            </w:r>
          </w:p>
        </w:tc>
      </w:tr>
      <w:tr w:rsidR="003D5AC4" w:rsidRPr="000C3A94" w:rsidTr="00B53D00">
        <w:trPr>
          <w:trHeight w:val="191"/>
        </w:trPr>
        <w:tc>
          <w:tcPr>
            <w:tcW w:w="3701"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Кредиты (займы) предоставленные</w:t>
            </w:r>
          </w:p>
        </w:tc>
        <w:tc>
          <w:tcPr>
            <w:tcW w:w="1519"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26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037"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885"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c>
          <w:tcPr>
            <w:tcW w:w="1037" w:type="dxa"/>
            <w:tcBorders>
              <w:top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w:t>
            </w:r>
          </w:p>
        </w:tc>
      </w:tr>
      <w:tr w:rsidR="003D5AC4" w:rsidRPr="000C3A94" w:rsidTr="00B53D00">
        <w:trPr>
          <w:trHeight w:val="82"/>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Задолженность</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hideMark/>
          </w:tcPr>
          <w:p w:rsidR="003D5AC4" w:rsidRPr="000C3A94" w:rsidRDefault="003D5AC4" w:rsidP="00B53D00">
            <w:pPr>
              <w:overflowPunct/>
              <w:autoSpaceDE/>
              <w:autoSpaceDN/>
              <w:adjustRightInd/>
              <w:jc w:val="center"/>
              <w:textAlignment w:val="auto"/>
              <w:rPr>
                <w:szCs w:val="18"/>
                <w:lang w:val="ru-RU"/>
              </w:rPr>
            </w:pPr>
            <w:r w:rsidRPr="000C3A94">
              <w:rPr>
                <w:szCs w:val="18"/>
                <w:lang w:val="ru-RU"/>
              </w:rPr>
              <w:t>988 579</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37 559</w:t>
            </w:r>
          </w:p>
        </w:tc>
        <w:tc>
          <w:tcPr>
            <w:tcW w:w="88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8 090</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305 921</w:t>
            </w:r>
          </w:p>
        </w:tc>
      </w:tr>
      <w:tr w:rsidR="003D5AC4" w:rsidRPr="000C3A94" w:rsidTr="00B53D00">
        <w:trPr>
          <w:trHeight w:val="141"/>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 xml:space="preserve">Расчетный резерв </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22 564</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4 242</w:t>
            </w:r>
          </w:p>
        </w:tc>
        <w:tc>
          <w:tcPr>
            <w:tcW w:w="885"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4 045</w:t>
            </w:r>
          </w:p>
        </w:tc>
        <w:tc>
          <w:tcPr>
            <w:tcW w:w="1037" w:type="dxa"/>
            <w:shd w:val="clear" w:color="auto" w:fill="auto"/>
            <w:noWrap/>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szCs w:val="18"/>
                <w:lang w:val="ru-RU"/>
              </w:rPr>
              <w:t>300 071</w:t>
            </w:r>
          </w:p>
        </w:tc>
      </w:tr>
      <w:tr w:rsidR="003D5AC4" w:rsidRPr="000C3A94" w:rsidTr="00B53D00">
        <w:trPr>
          <w:trHeight w:val="6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Сформированный резерв</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(22 564)</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(4 242)</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(4 045)</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(300 071)</w:t>
            </w:r>
          </w:p>
        </w:tc>
      </w:tr>
      <w:tr w:rsidR="003D5AC4" w:rsidRPr="000C3A94" w:rsidTr="00B53D00">
        <w:trPr>
          <w:trHeight w:val="12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Прочие требования</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p>
        </w:tc>
      </w:tr>
      <w:tr w:rsidR="003D5AC4" w:rsidRPr="000C3A94" w:rsidTr="00B53D00">
        <w:trPr>
          <w:trHeight w:val="50"/>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Задолженность</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16 764</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20 133</w:t>
            </w:r>
          </w:p>
        </w:tc>
      </w:tr>
      <w:tr w:rsidR="003D5AC4" w:rsidRPr="000C3A94" w:rsidTr="00B53D00">
        <w:trPr>
          <w:trHeight w:val="121"/>
        </w:trPr>
        <w:tc>
          <w:tcPr>
            <w:tcW w:w="3701" w:type="dxa"/>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Расчетный резерв</w:t>
            </w:r>
          </w:p>
        </w:tc>
        <w:tc>
          <w:tcPr>
            <w:tcW w:w="1519"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172</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20 133</w:t>
            </w:r>
          </w:p>
        </w:tc>
      </w:tr>
      <w:tr w:rsidR="003D5AC4" w:rsidRPr="000C3A94" w:rsidTr="00B53D00">
        <w:trPr>
          <w:trHeight w:val="53"/>
        </w:trPr>
        <w:tc>
          <w:tcPr>
            <w:tcW w:w="3701"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Сформированный резерв</w:t>
            </w:r>
          </w:p>
        </w:tc>
        <w:tc>
          <w:tcPr>
            <w:tcW w:w="1519"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26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(172)</w:t>
            </w:r>
          </w:p>
        </w:tc>
        <w:tc>
          <w:tcPr>
            <w:tcW w:w="1037"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885"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w:t>
            </w:r>
          </w:p>
        </w:tc>
        <w:tc>
          <w:tcPr>
            <w:tcW w:w="1037" w:type="dxa"/>
            <w:tcBorders>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(20 133)</w:t>
            </w:r>
          </w:p>
        </w:tc>
      </w:tr>
      <w:tr w:rsidR="003D5AC4" w:rsidRPr="000C3A94" w:rsidTr="00B53D00">
        <w:trPr>
          <w:trHeight w:val="112"/>
        </w:trPr>
        <w:tc>
          <w:tcPr>
            <w:tcW w:w="3701"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задолженность</w:t>
            </w:r>
          </w:p>
        </w:tc>
        <w:tc>
          <w:tcPr>
            <w:tcW w:w="1519"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w:t>
            </w:r>
          </w:p>
        </w:tc>
        <w:tc>
          <w:tcPr>
            <w:tcW w:w="126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1 005 343</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37 559</w:t>
            </w:r>
          </w:p>
        </w:tc>
        <w:tc>
          <w:tcPr>
            <w:tcW w:w="885"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8 090</w:t>
            </w:r>
          </w:p>
        </w:tc>
        <w:tc>
          <w:tcPr>
            <w:tcW w:w="1037"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326 054</w:t>
            </w:r>
          </w:p>
        </w:tc>
      </w:tr>
      <w:tr w:rsidR="003D5AC4" w:rsidRPr="000C3A94" w:rsidTr="00B53D00">
        <w:trPr>
          <w:trHeight w:val="50"/>
        </w:trPr>
        <w:tc>
          <w:tcPr>
            <w:tcW w:w="3701"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szCs w:val="18"/>
                <w:lang w:val="ru-RU" w:eastAsia="ru-RU"/>
              </w:rPr>
            </w:pPr>
          </w:p>
          <w:p w:rsidR="003D5AC4" w:rsidRPr="000C3A94" w:rsidRDefault="003D5AC4" w:rsidP="00B53D00">
            <w:pPr>
              <w:overflowPunct/>
              <w:autoSpaceDE/>
              <w:autoSpaceDN/>
              <w:adjustRightInd/>
              <w:textAlignment w:val="auto"/>
              <w:rPr>
                <w:rFonts w:cs="Arial"/>
                <w:b/>
                <w:bCs/>
                <w:szCs w:val="18"/>
                <w:lang w:val="ru-RU" w:eastAsia="ru-RU"/>
              </w:rPr>
            </w:pPr>
            <w:r w:rsidRPr="000C3A94">
              <w:rPr>
                <w:rFonts w:cs="Arial"/>
                <w:b/>
                <w:bCs/>
                <w:szCs w:val="18"/>
                <w:lang w:val="ru-RU" w:eastAsia="ru-RU"/>
              </w:rPr>
              <w:t>Итого РВП</w:t>
            </w:r>
          </w:p>
        </w:tc>
        <w:tc>
          <w:tcPr>
            <w:tcW w:w="1519"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w:t>
            </w:r>
          </w:p>
        </w:tc>
        <w:tc>
          <w:tcPr>
            <w:tcW w:w="126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(22 736)</w:t>
            </w:r>
          </w:p>
        </w:tc>
        <w:tc>
          <w:tcPr>
            <w:tcW w:w="1037"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(4 242)</w:t>
            </w:r>
          </w:p>
        </w:tc>
        <w:tc>
          <w:tcPr>
            <w:tcW w:w="885"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(4 045)</w:t>
            </w:r>
          </w:p>
        </w:tc>
        <w:tc>
          <w:tcPr>
            <w:tcW w:w="1037" w:type="dxa"/>
            <w:tcBorders>
              <w:top w:val="single" w:sz="4" w:space="0" w:color="auto"/>
              <w:bottom w:val="doub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(320 204)</w:t>
            </w:r>
          </w:p>
        </w:tc>
      </w:tr>
    </w:tbl>
    <w:p w:rsidR="003D5AC4" w:rsidRPr="000C3A94" w:rsidRDefault="003D5AC4" w:rsidP="003D5AC4">
      <w:pPr>
        <w:pStyle w:val="HTML"/>
        <w:rPr>
          <w:rFonts w:ascii="Arial" w:hAnsi="Arial" w:cs="Arial"/>
          <w:b/>
          <w:color w:val="auto"/>
          <w:sz w:val="18"/>
          <w:szCs w:val="18"/>
        </w:rPr>
      </w:pPr>
    </w:p>
    <w:p w:rsidR="003D5AC4" w:rsidRPr="000C3A94" w:rsidRDefault="003D5AC4" w:rsidP="003D5AC4">
      <w:pPr>
        <w:pStyle w:val="HTML"/>
        <w:jc w:val="both"/>
        <w:rPr>
          <w:rFonts w:ascii="Arial" w:hAnsi="Arial" w:cs="Arial"/>
          <w:color w:val="auto"/>
        </w:rPr>
      </w:pPr>
      <w:r w:rsidRPr="000C3A94">
        <w:rPr>
          <w:rFonts w:ascii="Arial" w:hAnsi="Arial" w:cs="Arial"/>
          <w:color w:val="auto"/>
        </w:rPr>
        <w:t>Основными факторами обесценения активов являются снижение платежеспособности контрагента, затруднения в исполнении контрагентом своих обязательств, нарушения сроков исполнения обязательств, иных существенных факторов (целевого использования средств в рамках ссудной задолженности,  предоставление ссуды на льготных условия, экономическая взаимосвязь контрагентов, характеризующаяся тем, что ухудшение финансового положения одного из них может явиться причиной неисполнения другим обязательств перед Банком, существенное ухудшение экономического положения страны, резидентом которой является контрагент, выявление признаков, свидетельствующих о не осуществлении реальной деятельности контрагентом, либо осуществлении такой деятельности в незначительных объемах и др.).</w:t>
      </w:r>
    </w:p>
    <w:p w:rsidR="003D5AC4" w:rsidRPr="000C3A94" w:rsidRDefault="003D5AC4" w:rsidP="003D5AC4">
      <w:pPr>
        <w:pStyle w:val="HTML"/>
        <w:jc w:val="both"/>
        <w:rPr>
          <w:rFonts w:ascii="Arial" w:hAnsi="Arial" w:cs="Arial"/>
          <w:color w:val="auto"/>
        </w:rPr>
      </w:pPr>
    </w:p>
    <w:p w:rsidR="003D5AC4" w:rsidRPr="006816E0" w:rsidRDefault="003D5AC4" w:rsidP="003D5AC4">
      <w:pPr>
        <w:pStyle w:val="HTML"/>
        <w:jc w:val="both"/>
        <w:rPr>
          <w:rFonts w:ascii="Arial" w:hAnsi="Arial" w:cs="Arial"/>
          <w:color w:val="auto"/>
        </w:rPr>
      </w:pPr>
      <w:r w:rsidRPr="006816E0">
        <w:rPr>
          <w:rFonts w:ascii="Arial" w:hAnsi="Arial" w:cs="Arial"/>
          <w:color w:val="auto"/>
        </w:rPr>
        <w:t xml:space="preserve">Если у должника есть имущество, обязательства могут быть погашены путем предоставления в собственность данного имущества. Банк использует отступное, если с должником по кредитному обязательству можно достигнуть договоренности о передаче имущества в счет погашения кредита. По соглашению сторон обязательство может быть прекращено предоставлением отступного - уплатой денежных средств или передачей имущества. Результатом данного соглашения является прекращение первоначального обязательства. Отступным прекращается, как все первоначальное обязательство, так и его часть, что учитывается в соглашении об отступном. </w:t>
      </w:r>
    </w:p>
    <w:p w:rsidR="003D5AC4" w:rsidRPr="006816E0" w:rsidRDefault="003D5AC4" w:rsidP="003D5AC4">
      <w:pPr>
        <w:pStyle w:val="HTML"/>
        <w:jc w:val="both"/>
        <w:rPr>
          <w:rFonts w:ascii="Arial" w:hAnsi="Arial" w:cs="Arial"/>
          <w:color w:val="auto"/>
        </w:rPr>
      </w:pPr>
      <w:r w:rsidRPr="006816E0">
        <w:rPr>
          <w:rFonts w:ascii="Arial" w:hAnsi="Arial" w:cs="Arial"/>
          <w:color w:val="auto"/>
        </w:rPr>
        <w:t>По состоянию за 31.12.2018 года балансовая стоимость имущества,</w:t>
      </w:r>
      <w:r w:rsidRPr="006816E0">
        <w:t xml:space="preserve"> </w:t>
      </w:r>
      <w:r w:rsidRPr="006816E0">
        <w:rPr>
          <w:rFonts w:ascii="Arial" w:hAnsi="Arial" w:cs="Arial"/>
          <w:color w:val="auto"/>
        </w:rPr>
        <w:t>полученного Банком по договорам отступного составила 320 169 тыс. руб. По итогам отчетного периода Банком было принято на баланс по соглашению об отступном недвижимое имущество стоимостью 88 863 тыс. руб.</w:t>
      </w:r>
    </w:p>
    <w:p w:rsidR="003D5AC4" w:rsidRPr="000C3A94" w:rsidRDefault="003D5AC4" w:rsidP="003D5AC4">
      <w:pPr>
        <w:pStyle w:val="HTML"/>
        <w:jc w:val="both"/>
        <w:rPr>
          <w:rFonts w:ascii="Arial" w:hAnsi="Arial" w:cs="Arial"/>
          <w:color w:val="auto"/>
        </w:rPr>
      </w:pPr>
      <w:r w:rsidRPr="006816E0">
        <w:rPr>
          <w:rFonts w:ascii="Arial" w:hAnsi="Arial" w:cs="Arial"/>
          <w:color w:val="auto"/>
        </w:rPr>
        <w:t>Процедуры в части принятия имущества в качестве отступного и решении вопроса о возможности последующей продажи данного имущества, осуществляются в соответствии с требованиями нормативных актов.</w:t>
      </w:r>
    </w:p>
    <w:p w:rsidR="003D5AC4" w:rsidRPr="000C3A94" w:rsidRDefault="003D5AC4" w:rsidP="003D5AC4">
      <w:pPr>
        <w:pStyle w:val="HTML"/>
        <w:rPr>
          <w:rFonts w:ascii="Arial" w:hAnsi="Arial" w:cs="Arial"/>
          <w:b/>
          <w:color w:val="auto"/>
        </w:rPr>
      </w:pPr>
    </w:p>
    <w:p w:rsidR="003D5AC4" w:rsidRPr="000C3A94" w:rsidRDefault="003D5AC4" w:rsidP="003D5AC4">
      <w:pPr>
        <w:pStyle w:val="HTML"/>
        <w:rPr>
          <w:rFonts w:ascii="Arial" w:hAnsi="Arial" w:cs="Arial"/>
          <w:b/>
          <w:color w:val="auto"/>
        </w:rPr>
      </w:pPr>
      <w:r w:rsidRPr="000C3A94">
        <w:rPr>
          <w:rFonts w:ascii="Arial" w:hAnsi="Arial" w:cs="Arial"/>
          <w:b/>
          <w:color w:val="auto"/>
        </w:rPr>
        <w:t>7.2. По рыночному риску:</w:t>
      </w:r>
    </w:p>
    <w:p w:rsidR="003D5AC4" w:rsidRPr="000C3A94" w:rsidRDefault="003D5AC4" w:rsidP="003D5AC4">
      <w:pPr>
        <w:pStyle w:val="HTML"/>
        <w:rPr>
          <w:rFonts w:ascii="Arial" w:hAnsi="Arial" w:cs="Arial"/>
          <w:b/>
          <w:color w:val="auto"/>
        </w:rPr>
      </w:pPr>
    </w:p>
    <w:p w:rsidR="003D5AC4" w:rsidRDefault="003D5AC4" w:rsidP="003D5AC4">
      <w:pPr>
        <w:pStyle w:val="HTML"/>
        <w:jc w:val="both"/>
        <w:rPr>
          <w:rFonts w:ascii="Arial" w:hAnsi="Arial" w:cs="Arial"/>
          <w:color w:val="auto"/>
        </w:rPr>
      </w:pPr>
      <w:r w:rsidRPr="000C3A94">
        <w:rPr>
          <w:rFonts w:ascii="Arial" w:hAnsi="Arial" w:cs="Arial"/>
          <w:color w:val="auto"/>
        </w:rPr>
        <w:t xml:space="preserve">Рыночный риск  представляет собой риск возникновения у Банка финансовых потерь (убытков) вследствие изменения рыночной стоимости финансовых инструментов торгового портфеля, а </w:t>
      </w:r>
      <w:r w:rsidRPr="000C3A94">
        <w:rPr>
          <w:rFonts w:ascii="Arial" w:hAnsi="Arial" w:cs="Arial"/>
          <w:color w:val="auto"/>
        </w:rPr>
        <w:lastRenderedPageBreak/>
        <w:t>также курсов иностранных валют. Составными частями рыночного риска являются процентный, фондовый, валютный и товарные риски.</w:t>
      </w:r>
    </w:p>
    <w:p w:rsidR="00BE27CD" w:rsidRDefault="00BE27CD" w:rsidP="003D5AC4">
      <w:pPr>
        <w:pStyle w:val="HTML"/>
        <w:jc w:val="both"/>
        <w:rPr>
          <w:rFonts w:ascii="Arial" w:hAnsi="Arial" w:cs="Arial"/>
          <w:color w:val="auto"/>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Оценка чувствительности к процентному риску</w:t>
      </w:r>
    </w:p>
    <w:p w:rsidR="003D5AC4" w:rsidRPr="000C3A94" w:rsidRDefault="003D5AC4" w:rsidP="003D5AC4">
      <w:pPr>
        <w:pStyle w:val="HTML"/>
        <w:jc w:val="both"/>
        <w:rPr>
          <w:rFonts w:ascii="Arial" w:hAnsi="Arial" w:cs="Arial"/>
          <w:color w:val="auto"/>
        </w:rPr>
      </w:pPr>
      <w:r w:rsidRPr="000C3A94">
        <w:rPr>
          <w:rFonts w:ascii="Arial" w:hAnsi="Arial" w:cs="Arial"/>
          <w:color w:val="auto"/>
        </w:rPr>
        <w:t xml:space="preserve">Процентный риск -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Банка. </w:t>
      </w:r>
    </w:p>
    <w:p w:rsidR="003D5AC4" w:rsidRPr="000C3A94" w:rsidRDefault="003D5AC4" w:rsidP="003D5AC4">
      <w:pPr>
        <w:pStyle w:val="HTML"/>
        <w:jc w:val="both"/>
        <w:rPr>
          <w:rFonts w:ascii="Arial" w:hAnsi="Arial" w:cs="Arial"/>
          <w:color w:val="auto"/>
        </w:rPr>
      </w:pPr>
      <w:r w:rsidRPr="000C3A94">
        <w:rPr>
          <w:rFonts w:ascii="Arial" w:hAnsi="Arial" w:cs="Arial"/>
          <w:color w:val="auto"/>
        </w:rPr>
        <w:t>Высокий уровень процентного риска может представлять серьезную угрозу для прибыльности и чистой стоимости Банка. Влияние изменения процентных ставок на прибыльность происходит в результате изменения чистого процентного дохода, а также величины прочих доходов, зависящих от процентной ставки, и операционных расходов. Изменение процентных ставок также влияет на текущую стоимость активов, обязательств и внебалансовых позиций Банка, поскольку текущая (справедливая) стоимость будущих денежных потоков (а в некоторых случаях и величина будущих денежных потоков) зависит от изменения процентных ставок.</w:t>
      </w:r>
    </w:p>
    <w:p w:rsidR="003D5AC4" w:rsidRPr="004E23FB" w:rsidRDefault="003D5AC4" w:rsidP="003D5AC4">
      <w:pPr>
        <w:pStyle w:val="HTML"/>
        <w:jc w:val="both"/>
        <w:rPr>
          <w:rFonts w:ascii="Arial" w:hAnsi="Arial" w:cs="Arial"/>
          <w:color w:val="auto"/>
        </w:rPr>
      </w:pPr>
      <w:r w:rsidRPr="000C3A94">
        <w:rPr>
          <w:rFonts w:ascii="Arial" w:hAnsi="Arial" w:cs="Arial"/>
          <w:color w:val="auto"/>
        </w:rPr>
        <w:t xml:space="preserve">Гэп-анализ является одним из распространенных способов измерения процентного риска. Гэп (разрыв) - это разность между суммой длинных и суммой коротких позиций по финансовым инструментам, чувствительным к изменению процентных ставок, определенных для каждого временного интервала. Величина абсолютного гэпа, которая может быть как положительной, так и отрицательной, позволяет провести анализ возможного изменения чистого процентного дохода Банка в результате колебаний процентных ставок. Чем больше величина гэпа, тем в большей степени Банк подвержен риску потерь от изменения процентных ставок. При этом положительный гэп (активы, чувствительные к изменению процентных ставок (длинная позиция), превышают обязательства, чувствительные к изменению процентных ставок (короткая позиция)) означает, что чистый процентный доход будет увеличиваться при повышении процентных ставок и уменьшаться при снижении процентных ставок. Отрицательный гэп (активы, чувствительные к изменению процентных ставок, меньше обязательств, чувствительных к изменению процентных ставок) означает, что чистый процентный доход будет увеличиваться при падении процентных ставок и уменьшаться - при росте процентных ставок. В рамках гэп-анализа рассчитывается также величина совокупного (за определенный период) гэпа. Совокупный гэп, как правило, </w:t>
      </w:r>
      <w:r w:rsidRPr="004E23FB">
        <w:rPr>
          <w:rFonts w:ascii="Arial" w:hAnsi="Arial" w:cs="Arial"/>
          <w:color w:val="auto"/>
        </w:rPr>
        <w:t>рассчитывается в пределах одного года.</w:t>
      </w:r>
    </w:p>
    <w:p w:rsidR="003D5AC4" w:rsidRPr="000C3A94" w:rsidRDefault="003D5AC4" w:rsidP="003D5AC4">
      <w:pPr>
        <w:pStyle w:val="HTML"/>
        <w:jc w:val="both"/>
        <w:rPr>
          <w:rFonts w:ascii="Arial" w:hAnsi="Arial" w:cs="Arial"/>
          <w:color w:val="auto"/>
        </w:rPr>
      </w:pPr>
      <w:r w:rsidRPr="004E23FB">
        <w:rPr>
          <w:rFonts w:ascii="Arial" w:hAnsi="Arial" w:cs="Arial"/>
          <w:color w:val="auto"/>
        </w:rPr>
        <w:t>Расчет возможного изменения чистого процентного дохода в случае увеличения изменения ставки на 200 базисных пунктов представлен в таблицах.</w:t>
      </w:r>
    </w:p>
    <w:p w:rsidR="003D5AC4" w:rsidRDefault="003D5AC4" w:rsidP="003D5AC4">
      <w:pPr>
        <w:pStyle w:val="HTML"/>
        <w:jc w:val="both"/>
        <w:rPr>
          <w:rFonts w:ascii="Arial" w:hAnsi="Arial" w:cs="Arial"/>
          <w:b/>
          <w:color w:val="auto"/>
        </w:rPr>
      </w:pPr>
    </w:p>
    <w:p w:rsidR="003D5AC4" w:rsidRDefault="003D5AC4" w:rsidP="003D5AC4">
      <w:pPr>
        <w:pStyle w:val="HTML"/>
        <w:jc w:val="both"/>
        <w:rPr>
          <w:rFonts w:ascii="Arial" w:hAnsi="Arial" w:cs="Arial"/>
          <w:b/>
          <w:color w:val="auto"/>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Расчет уровня процентного риска по состоянию за 31.</w:t>
      </w:r>
      <w:r>
        <w:rPr>
          <w:rFonts w:ascii="Arial" w:hAnsi="Arial" w:cs="Arial"/>
          <w:b/>
          <w:color w:val="auto"/>
        </w:rPr>
        <w:t>12</w:t>
      </w:r>
      <w:r w:rsidRPr="000C3A94">
        <w:rPr>
          <w:rFonts w:ascii="Arial" w:hAnsi="Arial" w:cs="Arial"/>
          <w:b/>
          <w:color w:val="auto"/>
        </w:rPr>
        <w:t>.2018 года по видам валют:</w:t>
      </w:r>
    </w:p>
    <w:p w:rsidR="003D5AC4" w:rsidRPr="000C3A94" w:rsidRDefault="003D5AC4" w:rsidP="003D5AC4">
      <w:pPr>
        <w:pStyle w:val="HTML"/>
        <w:jc w:val="right"/>
        <w:rPr>
          <w:rFonts w:ascii="Arial" w:hAnsi="Arial" w:cs="Arial"/>
          <w:color w:val="auto"/>
          <w:sz w:val="18"/>
          <w:szCs w:val="18"/>
        </w:rPr>
      </w:pPr>
      <w:r w:rsidRPr="000C3A94">
        <w:rPr>
          <w:rFonts w:ascii="Arial" w:hAnsi="Arial" w:cs="Arial"/>
          <w:color w:val="auto"/>
          <w:sz w:val="18"/>
          <w:szCs w:val="18"/>
        </w:rPr>
        <w:t>тыс. руб.</w:t>
      </w:r>
    </w:p>
    <w:tbl>
      <w:tblPr>
        <w:tblW w:w="9782" w:type="dxa"/>
        <w:tblInd w:w="-318" w:type="dxa"/>
        <w:tblLayout w:type="fixed"/>
        <w:tblLook w:val="04A0" w:firstRow="1" w:lastRow="0" w:firstColumn="1" w:lastColumn="0" w:noHBand="0" w:noVBand="1"/>
      </w:tblPr>
      <w:tblGrid>
        <w:gridCol w:w="329"/>
        <w:gridCol w:w="2649"/>
        <w:gridCol w:w="992"/>
        <w:gridCol w:w="941"/>
        <w:gridCol w:w="902"/>
        <w:gridCol w:w="992"/>
        <w:gridCol w:w="851"/>
        <w:gridCol w:w="992"/>
        <w:gridCol w:w="1134"/>
      </w:tblGrid>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Рубли</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Временные интервалы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Нечувств. к изменению проц. ставки</w:t>
            </w:r>
          </w:p>
        </w:tc>
      </w:tr>
      <w:tr w:rsidR="003D5AC4" w:rsidRPr="00AE296D" w:rsidTr="00B53D00">
        <w:trPr>
          <w:trHeight w:val="75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до 30 дней</w:t>
            </w:r>
          </w:p>
        </w:tc>
        <w:tc>
          <w:tcPr>
            <w:tcW w:w="94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31 до 90 дней</w:t>
            </w:r>
          </w:p>
        </w:tc>
        <w:tc>
          <w:tcPr>
            <w:tcW w:w="90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181 дня до 1 года</w:t>
            </w:r>
          </w:p>
        </w:tc>
        <w:tc>
          <w:tcPr>
            <w:tcW w:w="85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 года до 5 лет</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свыше 5 лет</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488 510</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313 945</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1 671 320</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900 363</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689 935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1 414 248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2 177 615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497 522</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en-US" w:eastAsia="ru-RU"/>
              </w:rPr>
            </w:pPr>
            <w:r w:rsidRPr="006C0DB6">
              <w:rPr>
                <w:rFonts w:cs="Arial"/>
                <w:color w:val="000000"/>
                <w:sz w:val="14"/>
                <w:szCs w:val="14"/>
                <w:lang w:val="en-US" w:eastAsia="ru-RU"/>
              </w:rPr>
              <w:t>291 544</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5 140 870</w:t>
            </w:r>
          </w:p>
        </w:tc>
      </w:tr>
      <w:tr w:rsidR="003D5AC4" w:rsidRPr="006C0DB6"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534 517</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1 130 279</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1 671 320</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900 363</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689 935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1 414 248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2 177 615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ru-RU" w:eastAsia="ru-RU"/>
              </w:rPr>
            </w:pPr>
            <w:r w:rsidRPr="006C0DB6">
              <w:rPr>
                <w:rFonts w:cs="Arial"/>
                <w:b/>
                <w:bCs/>
                <w:color w:val="000000"/>
                <w:sz w:val="14"/>
                <w:szCs w:val="14"/>
                <w:lang w:val="ru-RU" w:eastAsia="ru-RU"/>
              </w:rPr>
              <w:t>497 522</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b/>
                <w:bCs/>
                <w:color w:val="000000"/>
                <w:sz w:val="14"/>
                <w:szCs w:val="14"/>
                <w:lang w:val="en-US" w:eastAsia="ru-RU"/>
              </w:rPr>
            </w:pPr>
            <w:r w:rsidRPr="006C0DB6">
              <w:rPr>
                <w:rFonts w:cs="Arial"/>
                <w:b/>
                <w:bCs/>
                <w:color w:val="000000"/>
                <w:sz w:val="14"/>
                <w:szCs w:val="14"/>
                <w:lang w:val="ru-RU" w:eastAsia="ru-RU"/>
              </w:rPr>
              <w:t>7 </w:t>
            </w:r>
            <w:r w:rsidRPr="006C0DB6">
              <w:rPr>
                <w:rFonts w:cs="Arial"/>
                <w:b/>
                <w:bCs/>
                <w:color w:val="000000"/>
                <w:sz w:val="14"/>
                <w:szCs w:val="14"/>
                <w:lang w:val="en-US" w:eastAsia="ru-RU"/>
              </w:rPr>
              <w:t>899 665</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4</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1 356 813</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1 954 792</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1 998 094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2 992 806</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312 828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6C0DB6" w:rsidRDefault="003D5AC4" w:rsidP="00B53D00">
            <w:pPr>
              <w:overflowPunct/>
              <w:autoSpaceDE/>
              <w:autoSpaceDN/>
              <w:adjustRightInd/>
              <w:jc w:val="right"/>
              <w:textAlignment w:val="auto"/>
              <w:rPr>
                <w:rFonts w:cs="Arial"/>
                <w:color w:val="000000"/>
                <w:sz w:val="14"/>
                <w:szCs w:val="14"/>
                <w:lang w:val="ru-RU" w:eastAsia="ru-RU"/>
              </w:rPr>
            </w:pPr>
            <w:r w:rsidRPr="006C0DB6">
              <w:rPr>
                <w:rFonts w:cs="Arial"/>
                <w:color w:val="000000"/>
                <w:sz w:val="14"/>
                <w:szCs w:val="14"/>
                <w:lang w:val="ru-RU" w:eastAsia="ru-RU"/>
              </w:rPr>
              <w:t>3 610 747</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170 989</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2 051 803</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1 356 813</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1 954 792</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1 998 094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2 992 806</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312 828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5 833 543</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314 507</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-1 054 429</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-1 308 159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-1 578 558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1 864 787</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497 522</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b/>
                <w:bCs/>
                <w:color w:val="000000"/>
                <w:sz w:val="14"/>
                <w:szCs w:val="14"/>
                <w:lang w:val="ru-RU" w:eastAsia="ru-RU"/>
              </w:rPr>
            </w:pPr>
            <w:r w:rsidRPr="00285F82">
              <w:rPr>
                <w:rFonts w:cs="Arial"/>
                <w:b/>
                <w:bCs/>
                <w:color w:val="000000"/>
                <w:sz w:val="14"/>
                <w:szCs w:val="14"/>
                <w:lang w:val="ru-RU" w:eastAsia="ru-RU"/>
              </w:rPr>
              <w:t>Х</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6 027,84</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-17 573,11</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-16 351,99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-7 892,79</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-6 027,84</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17 573,11</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16 351,99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7 882,79</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285F82" w:rsidRDefault="003D5AC4" w:rsidP="00B53D00">
            <w:pPr>
              <w:overflowPunct/>
              <w:autoSpaceDE/>
              <w:autoSpaceDN/>
              <w:adjustRightInd/>
              <w:jc w:val="right"/>
              <w:textAlignment w:val="auto"/>
              <w:rPr>
                <w:rFonts w:cs="Arial"/>
                <w:color w:val="000000"/>
                <w:sz w:val="14"/>
                <w:szCs w:val="14"/>
                <w:lang w:val="ru-RU" w:eastAsia="ru-RU"/>
              </w:rPr>
            </w:pPr>
            <w:r w:rsidRPr="00285F82">
              <w:rPr>
                <w:rFonts w:cs="Arial"/>
                <w:color w:val="000000"/>
                <w:sz w:val="14"/>
                <w:szCs w:val="14"/>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0,9583</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0,8333</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0,2500</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p>
        </w:tc>
        <w:tc>
          <w:tcPr>
            <w:tcW w:w="2649" w:type="dxa"/>
            <w:tcBorders>
              <w:top w:val="nil"/>
              <w:left w:val="nil"/>
              <w:bottom w:val="nil"/>
              <w:right w:val="nil"/>
            </w:tcBorders>
            <w:shd w:val="clear" w:color="auto" w:fill="auto"/>
            <w:noWrap/>
            <w:vAlign w:val="bottom"/>
            <w:hideMark/>
          </w:tcPr>
          <w:p w:rsidR="00285F82" w:rsidRDefault="00285F82" w:rsidP="00B53D00">
            <w:pPr>
              <w:overflowPunct/>
              <w:autoSpaceDE/>
              <w:autoSpaceDN/>
              <w:adjustRightInd/>
              <w:textAlignment w:val="auto"/>
              <w:rPr>
                <w:rFonts w:ascii="Times New Roman" w:hAnsi="Times New Roman" w:cs="Times New Roman"/>
                <w:sz w:val="24"/>
                <w:lang w:val="en-US" w:eastAsia="ru-RU"/>
              </w:rPr>
            </w:pPr>
          </w:p>
          <w:p w:rsidR="0077067C" w:rsidRPr="0077067C" w:rsidRDefault="0077067C" w:rsidP="00B53D00">
            <w:pPr>
              <w:overflowPunct/>
              <w:autoSpaceDE/>
              <w:autoSpaceDN/>
              <w:adjustRightInd/>
              <w:textAlignment w:val="auto"/>
              <w:rPr>
                <w:rFonts w:ascii="Times New Roman" w:hAnsi="Times New Roman" w:cs="Times New Roman"/>
                <w:sz w:val="24"/>
                <w:lang w:val="en-US" w:eastAsia="ru-RU"/>
              </w:rPr>
            </w:pPr>
          </w:p>
        </w:tc>
        <w:tc>
          <w:tcPr>
            <w:tcW w:w="99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941" w:type="dxa"/>
            <w:tcBorders>
              <w:top w:val="nil"/>
              <w:left w:val="nil"/>
              <w:bottom w:val="nil"/>
              <w:right w:val="nil"/>
            </w:tcBorders>
            <w:shd w:val="clear" w:color="auto" w:fill="auto"/>
            <w:noWrap/>
            <w:vAlign w:val="bottom"/>
            <w:hideMark/>
          </w:tcPr>
          <w:p w:rsidR="003D5AC4" w:rsidRDefault="003D5AC4" w:rsidP="00B53D00">
            <w:pPr>
              <w:overflowPunct/>
              <w:autoSpaceDE/>
              <w:autoSpaceDN/>
              <w:adjustRightInd/>
              <w:textAlignment w:val="auto"/>
              <w:rPr>
                <w:rFonts w:ascii="Times New Roman" w:hAnsi="Times New Roman" w:cs="Times New Roman"/>
                <w:sz w:val="20"/>
                <w:szCs w:val="20"/>
                <w:lang w:val="en-US" w:eastAsia="ru-RU"/>
              </w:rPr>
            </w:pPr>
          </w:p>
          <w:p w:rsidR="00285F82" w:rsidRPr="00285F82" w:rsidRDefault="00285F82" w:rsidP="00B53D00">
            <w:pPr>
              <w:overflowPunct/>
              <w:autoSpaceDE/>
              <w:autoSpaceDN/>
              <w:adjustRightInd/>
              <w:textAlignment w:val="auto"/>
              <w:rPr>
                <w:rFonts w:ascii="Times New Roman" w:hAnsi="Times New Roman" w:cs="Times New Roman"/>
                <w:sz w:val="20"/>
                <w:szCs w:val="20"/>
                <w:lang w:val="en-US" w:eastAsia="ru-RU"/>
              </w:rPr>
            </w:pPr>
          </w:p>
        </w:tc>
        <w:tc>
          <w:tcPr>
            <w:tcW w:w="90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99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851"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99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r>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Доллары</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Временные интервалы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Нечувств. к изменению проц. ставки</w:t>
            </w:r>
          </w:p>
        </w:tc>
      </w:tr>
      <w:tr w:rsidR="003D5AC4" w:rsidRPr="00AE296D" w:rsidTr="00B53D00">
        <w:trPr>
          <w:trHeight w:val="72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до 30 дней</w:t>
            </w:r>
          </w:p>
        </w:tc>
        <w:tc>
          <w:tcPr>
            <w:tcW w:w="94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31 до 90 дней</w:t>
            </w:r>
          </w:p>
        </w:tc>
        <w:tc>
          <w:tcPr>
            <w:tcW w:w="90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181 дня до 1 года</w:t>
            </w:r>
          </w:p>
        </w:tc>
        <w:tc>
          <w:tcPr>
            <w:tcW w:w="85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 года до 5 лет</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свыше 5 лет</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100 136</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97 100</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695</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6C0DB6"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8 706</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206 637</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6 584</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12 929</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11 735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3 376</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51 189</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1 414</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6 584</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12 929</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11 735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3 376</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52 604</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-6 584</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-12 929</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-11 735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-3 376</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Х</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-126,19</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-215,47</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-146,69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-16,88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126,19</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215,47</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146,69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16,88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0,9583</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0,8333</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0,2500</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p>
        </w:tc>
        <w:tc>
          <w:tcPr>
            <w:tcW w:w="2649" w:type="dxa"/>
            <w:tcBorders>
              <w:top w:val="nil"/>
              <w:left w:val="nil"/>
              <w:bottom w:val="nil"/>
              <w:right w:val="nil"/>
            </w:tcBorders>
            <w:shd w:val="clear" w:color="auto" w:fill="auto"/>
            <w:noWrap/>
            <w:vAlign w:val="bottom"/>
            <w:hideMark/>
          </w:tcPr>
          <w:p w:rsidR="003D5AC4" w:rsidRPr="0077067C" w:rsidRDefault="003D5AC4" w:rsidP="00B53D00">
            <w:pPr>
              <w:overflowPunct/>
              <w:autoSpaceDE/>
              <w:autoSpaceDN/>
              <w:adjustRightInd/>
              <w:textAlignment w:val="auto"/>
              <w:rPr>
                <w:rFonts w:ascii="Times New Roman" w:hAnsi="Times New Roman" w:cs="Times New Roman"/>
                <w:sz w:val="36"/>
                <w:szCs w:val="36"/>
                <w:lang w:val="en-US" w:eastAsia="ru-RU"/>
              </w:rPr>
            </w:pPr>
          </w:p>
        </w:tc>
        <w:tc>
          <w:tcPr>
            <w:tcW w:w="992" w:type="dxa"/>
            <w:tcBorders>
              <w:top w:val="nil"/>
              <w:left w:val="nil"/>
              <w:bottom w:val="nil"/>
              <w:right w:val="nil"/>
            </w:tcBorders>
            <w:shd w:val="clear" w:color="auto" w:fill="auto"/>
            <w:noWrap/>
            <w:vAlign w:val="bottom"/>
            <w:hideMark/>
          </w:tcPr>
          <w:p w:rsidR="003D5AC4" w:rsidRDefault="003D5AC4" w:rsidP="00B53D00">
            <w:pPr>
              <w:overflowPunct/>
              <w:autoSpaceDE/>
              <w:autoSpaceDN/>
              <w:adjustRightInd/>
              <w:textAlignment w:val="auto"/>
              <w:rPr>
                <w:rFonts w:ascii="Times New Roman" w:hAnsi="Times New Roman" w:cs="Times New Roman"/>
                <w:sz w:val="24"/>
                <w:lang w:val="en-US" w:eastAsia="ru-RU"/>
              </w:rPr>
            </w:pPr>
          </w:p>
          <w:p w:rsidR="00285F82" w:rsidRPr="00285F82" w:rsidRDefault="00285F82" w:rsidP="00B53D00">
            <w:pPr>
              <w:overflowPunct/>
              <w:autoSpaceDE/>
              <w:autoSpaceDN/>
              <w:adjustRightInd/>
              <w:textAlignment w:val="auto"/>
              <w:rPr>
                <w:rFonts w:ascii="Times New Roman" w:hAnsi="Times New Roman" w:cs="Times New Roman"/>
                <w:sz w:val="24"/>
                <w:lang w:val="en-US" w:eastAsia="ru-RU"/>
              </w:rPr>
            </w:pPr>
          </w:p>
        </w:tc>
        <w:tc>
          <w:tcPr>
            <w:tcW w:w="941" w:type="dxa"/>
            <w:tcBorders>
              <w:top w:val="nil"/>
              <w:left w:val="nil"/>
              <w:bottom w:val="nil"/>
              <w:right w:val="nil"/>
            </w:tcBorders>
            <w:shd w:val="clear" w:color="auto" w:fill="auto"/>
            <w:noWrap/>
            <w:vAlign w:val="bottom"/>
            <w:hideMark/>
          </w:tcPr>
          <w:p w:rsidR="003D5AC4" w:rsidRDefault="003D5AC4" w:rsidP="00B53D00">
            <w:pPr>
              <w:overflowPunct/>
              <w:autoSpaceDE/>
              <w:autoSpaceDN/>
              <w:adjustRightInd/>
              <w:textAlignment w:val="auto"/>
              <w:rPr>
                <w:rFonts w:ascii="Times New Roman" w:hAnsi="Times New Roman" w:cs="Times New Roman"/>
                <w:sz w:val="20"/>
                <w:szCs w:val="20"/>
                <w:lang w:val="en-US" w:eastAsia="ru-RU"/>
              </w:rPr>
            </w:pPr>
          </w:p>
          <w:p w:rsidR="00285F82" w:rsidRPr="00285F82" w:rsidRDefault="00285F82" w:rsidP="00B53D00">
            <w:pPr>
              <w:overflowPunct/>
              <w:autoSpaceDE/>
              <w:autoSpaceDN/>
              <w:adjustRightInd/>
              <w:textAlignment w:val="auto"/>
              <w:rPr>
                <w:rFonts w:ascii="Times New Roman" w:hAnsi="Times New Roman" w:cs="Times New Roman"/>
                <w:sz w:val="20"/>
                <w:szCs w:val="20"/>
                <w:lang w:val="en-US" w:eastAsia="ru-RU"/>
              </w:rPr>
            </w:pPr>
          </w:p>
        </w:tc>
        <w:tc>
          <w:tcPr>
            <w:tcW w:w="90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99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851"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992"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c>
          <w:tcPr>
            <w:tcW w:w="1134" w:type="dxa"/>
            <w:tcBorders>
              <w:top w:val="nil"/>
              <w:left w:val="nil"/>
              <w:bottom w:val="nil"/>
              <w:right w:val="nil"/>
            </w:tcBorders>
            <w:shd w:val="clear" w:color="auto" w:fill="auto"/>
            <w:noWrap/>
            <w:vAlign w:val="bottom"/>
            <w:hideMark/>
          </w:tcPr>
          <w:p w:rsidR="003D5AC4" w:rsidRPr="00AE296D" w:rsidRDefault="003D5AC4" w:rsidP="00B53D00">
            <w:pPr>
              <w:overflowPunct/>
              <w:autoSpaceDE/>
              <w:autoSpaceDN/>
              <w:adjustRightInd/>
              <w:textAlignment w:val="auto"/>
              <w:rPr>
                <w:rFonts w:ascii="Times New Roman" w:hAnsi="Times New Roman" w:cs="Times New Roman"/>
                <w:sz w:val="20"/>
                <w:szCs w:val="20"/>
                <w:lang w:val="ru-RU" w:eastAsia="ru-RU"/>
              </w:rPr>
            </w:pPr>
          </w:p>
        </w:tc>
      </w:tr>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Евро</w:t>
            </w:r>
          </w:p>
        </w:tc>
        <w:tc>
          <w:tcPr>
            <w:tcW w:w="5670"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Временные интервалы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Нечувств. к изменению проц. ставки</w:t>
            </w:r>
          </w:p>
        </w:tc>
      </w:tr>
      <w:tr w:rsidR="003D5AC4" w:rsidRPr="00AE296D" w:rsidTr="00B53D00">
        <w:trPr>
          <w:trHeight w:val="72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до 30 дней</w:t>
            </w:r>
          </w:p>
        </w:tc>
        <w:tc>
          <w:tcPr>
            <w:tcW w:w="94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31 до 90 дней</w:t>
            </w:r>
          </w:p>
        </w:tc>
        <w:tc>
          <w:tcPr>
            <w:tcW w:w="90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181 дня до 1 года</w:t>
            </w:r>
          </w:p>
        </w:tc>
        <w:tc>
          <w:tcPr>
            <w:tcW w:w="851"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от 1 года до 5 лет</w:t>
            </w:r>
          </w:p>
        </w:tc>
        <w:tc>
          <w:tcPr>
            <w:tcW w:w="992"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jc w:val="center"/>
              <w:textAlignment w:val="auto"/>
              <w:rPr>
                <w:rFonts w:cs="Arial"/>
                <w:b/>
                <w:bCs/>
                <w:color w:val="000000"/>
                <w:szCs w:val="18"/>
                <w:lang w:val="ru-RU" w:eastAsia="ru-RU"/>
              </w:rPr>
            </w:pPr>
            <w:r w:rsidRPr="00AE296D">
              <w:rPr>
                <w:rFonts w:cs="Arial"/>
                <w:b/>
                <w:bCs/>
                <w:color w:val="000000"/>
                <w:szCs w:val="18"/>
                <w:lang w:val="ru-RU" w:eastAsia="ru-RU"/>
              </w:rPr>
              <w:t>свыше 5 лет</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center"/>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80 552</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3 265</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225</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279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393</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1134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397</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6C0DB6"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225</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279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393</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1134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84 214</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2 389</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7 010</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3 038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4 328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53 377</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151</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2 389</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7 010</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3 038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4 328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53 530</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-2 388</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-6 785</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-2 759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-3 935</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1 134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b/>
                <w:bCs/>
                <w:color w:val="000000"/>
                <w:szCs w:val="18"/>
                <w:lang w:val="ru-RU" w:eastAsia="ru-RU"/>
              </w:rPr>
            </w:pPr>
            <w:r w:rsidRPr="00AE296D">
              <w:rPr>
                <w:rFonts w:cs="Arial"/>
                <w:b/>
                <w:bCs/>
                <w:color w:val="000000"/>
                <w:szCs w:val="18"/>
                <w:lang w:val="ru-RU" w:eastAsia="ru-RU"/>
              </w:rPr>
              <w:t>Х</w:t>
            </w:r>
          </w:p>
        </w:tc>
      </w:tr>
      <w:tr w:rsidR="003D5AC4" w:rsidRPr="00AE296D"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b/>
                <w:bCs/>
                <w:color w:val="000000"/>
                <w:szCs w:val="18"/>
                <w:lang w:val="ru-RU" w:eastAsia="ru-RU"/>
              </w:rPr>
            </w:pPr>
            <w:r w:rsidRPr="00AE296D">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w:t>
            </w: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-45,77</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-113,08</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-34,49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-19,68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45,77</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113,08</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34,49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19,68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r w:rsidR="003D5AC4" w:rsidRPr="00AE296D" w:rsidTr="00B53D00">
        <w:trPr>
          <w:trHeight w:val="300"/>
        </w:trPr>
        <w:tc>
          <w:tcPr>
            <w:tcW w:w="329" w:type="dxa"/>
            <w:vMerge/>
            <w:tcBorders>
              <w:top w:val="nil"/>
              <w:left w:val="single" w:sz="4" w:space="0" w:color="auto"/>
              <w:bottom w:val="single" w:sz="4" w:space="0" w:color="auto"/>
              <w:right w:val="single" w:sz="4" w:space="0" w:color="auto"/>
            </w:tcBorders>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p>
        </w:tc>
        <w:tc>
          <w:tcPr>
            <w:tcW w:w="2649" w:type="dxa"/>
            <w:tcBorders>
              <w:top w:val="nil"/>
              <w:left w:val="nil"/>
              <w:bottom w:val="single" w:sz="4" w:space="0" w:color="auto"/>
              <w:right w:val="single" w:sz="4" w:space="0" w:color="auto"/>
            </w:tcBorders>
            <w:shd w:val="clear" w:color="auto" w:fill="auto"/>
            <w:vAlign w:val="center"/>
            <w:hideMark/>
          </w:tcPr>
          <w:p w:rsidR="003D5AC4" w:rsidRPr="00AE296D" w:rsidRDefault="003D5AC4" w:rsidP="00B53D00">
            <w:pPr>
              <w:overflowPunct/>
              <w:autoSpaceDE/>
              <w:autoSpaceDN/>
              <w:adjustRightInd/>
              <w:textAlignment w:val="auto"/>
              <w:rPr>
                <w:rFonts w:cs="Arial"/>
                <w:color w:val="000000"/>
                <w:szCs w:val="18"/>
                <w:lang w:val="ru-RU" w:eastAsia="ru-RU"/>
              </w:rPr>
            </w:pPr>
            <w:r w:rsidRPr="00AE296D">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0,9583</w:t>
            </w:r>
          </w:p>
        </w:tc>
        <w:tc>
          <w:tcPr>
            <w:tcW w:w="94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0,8333</w:t>
            </w:r>
          </w:p>
        </w:tc>
        <w:tc>
          <w:tcPr>
            <w:tcW w:w="90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0,2500</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3D5AC4" w:rsidRPr="00AE296D" w:rsidRDefault="003D5AC4" w:rsidP="00B53D00">
            <w:pPr>
              <w:overflowPunct/>
              <w:autoSpaceDE/>
              <w:autoSpaceDN/>
              <w:adjustRightInd/>
              <w:jc w:val="right"/>
              <w:textAlignment w:val="auto"/>
              <w:rPr>
                <w:rFonts w:cs="Arial"/>
                <w:color w:val="000000"/>
                <w:szCs w:val="18"/>
                <w:lang w:val="ru-RU" w:eastAsia="ru-RU"/>
              </w:rPr>
            </w:pPr>
            <w:r w:rsidRPr="00AE296D">
              <w:rPr>
                <w:rFonts w:cs="Arial"/>
                <w:color w:val="000000"/>
                <w:szCs w:val="18"/>
                <w:lang w:val="ru-RU" w:eastAsia="ru-RU"/>
              </w:rPr>
              <w:t>Х</w:t>
            </w:r>
          </w:p>
        </w:tc>
      </w:tr>
    </w:tbl>
    <w:p w:rsidR="003D5AC4" w:rsidRDefault="003D5AC4" w:rsidP="003D5AC4">
      <w:pPr>
        <w:pStyle w:val="HTML"/>
        <w:jc w:val="both"/>
        <w:rPr>
          <w:rFonts w:ascii="Arial" w:hAnsi="Arial" w:cs="Arial"/>
          <w:color w:val="auto"/>
          <w:lang w:val="en-US"/>
        </w:rPr>
      </w:pPr>
    </w:p>
    <w:p w:rsidR="004B5A80" w:rsidRPr="004B5A80" w:rsidRDefault="004B5A80" w:rsidP="003D5AC4">
      <w:pPr>
        <w:pStyle w:val="HTML"/>
        <w:jc w:val="both"/>
        <w:rPr>
          <w:rFonts w:ascii="Arial" w:hAnsi="Arial" w:cs="Arial"/>
          <w:color w:val="auto"/>
          <w:lang w:val="en-US"/>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Расчет уровня процентного риска по состоянию за 31.12.2017 года по видам валют:</w:t>
      </w:r>
    </w:p>
    <w:p w:rsidR="003D5AC4" w:rsidRPr="000C3A94" w:rsidRDefault="003D5AC4" w:rsidP="003D5AC4">
      <w:pPr>
        <w:pStyle w:val="HTML"/>
        <w:jc w:val="right"/>
        <w:rPr>
          <w:rFonts w:ascii="Arial" w:hAnsi="Arial" w:cs="Arial"/>
          <w:color w:val="auto"/>
          <w:sz w:val="18"/>
          <w:szCs w:val="18"/>
        </w:rPr>
      </w:pPr>
      <w:r w:rsidRPr="000C3A94">
        <w:rPr>
          <w:rFonts w:ascii="Arial" w:hAnsi="Arial" w:cs="Arial"/>
          <w:color w:val="auto"/>
          <w:sz w:val="18"/>
          <w:szCs w:val="18"/>
        </w:rPr>
        <w:t>тыс. руб.</w:t>
      </w:r>
    </w:p>
    <w:tbl>
      <w:tblPr>
        <w:tblW w:w="9782" w:type="dxa"/>
        <w:tblInd w:w="-318" w:type="dxa"/>
        <w:tblLayout w:type="fixed"/>
        <w:tblLook w:val="04A0" w:firstRow="1" w:lastRow="0" w:firstColumn="1" w:lastColumn="0" w:noHBand="0" w:noVBand="1"/>
      </w:tblPr>
      <w:tblGrid>
        <w:gridCol w:w="710"/>
        <w:gridCol w:w="2268"/>
        <w:gridCol w:w="992"/>
        <w:gridCol w:w="992"/>
        <w:gridCol w:w="993"/>
        <w:gridCol w:w="992"/>
        <w:gridCol w:w="992"/>
        <w:gridCol w:w="851"/>
        <w:gridCol w:w="992"/>
      </w:tblGrid>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Рубли</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Временные интервалы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Нечувств. к изменению проц. ставки</w:t>
            </w:r>
          </w:p>
        </w:tc>
      </w:tr>
      <w:tr w:rsidR="003D5AC4" w:rsidRPr="000C3A94" w:rsidTr="00B53D00">
        <w:trPr>
          <w:trHeight w:val="75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до 30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31 до 90 дней</w:t>
            </w:r>
          </w:p>
        </w:tc>
        <w:tc>
          <w:tcPr>
            <w:tcW w:w="993"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181 дня до 1 года</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 года до 5 лет</w:t>
            </w:r>
          </w:p>
        </w:tc>
        <w:tc>
          <w:tcPr>
            <w:tcW w:w="851"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свыше 5 лет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372 078</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100 196 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295 814</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1 102 730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764 287</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920 971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1 208 005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1 920 799</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22 640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146 074</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4 781 602</w:t>
            </w:r>
          </w:p>
        </w:tc>
      </w:tr>
      <w:tr w:rsidR="003D5AC4" w:rsidRPr="006C0DB6"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100 303 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520 123</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bCs/>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1 110 426</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1 303 229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764 287</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920 971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1 208 005</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1 920 799</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22 640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7 226 117</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en-US" w:eastAsia="ru-RU"/>
              </w:rPr>
              <w:t>18</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1 525 770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2 405 295</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2 372 610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2 178 057</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64 875</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3 108 744</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153 450</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color w:val="000000"/>
                <w:sz w:val="16"/>
                <w:szCs w:val="16"/>
                <w:lang w:val="ru-RU" w:eastAsia="ru-RU"/>
              </w:rPr>
            </w:pPr>
            <w:r w:rsidRPr="0077067C">
              <w:rPr>
                <w:rFonts w:cs="Arial"/>
                <w:color w:val="000000"/>
                <w:sz w:val="16"/>
                <w:szCs w:val="16"/>
                <w:lang w:val="ru-RU" w:eastAsia="ru-RU"/>
              </w:rPr>
              <w:t>2 429 665</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1 525 770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2 405 295</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2 372 610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2 178 057</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64 875</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textAlignment w:val="auto"/>
              <w:rPr>
                <w:rFonts w:cs="Arial"/>
                <w:color w:val="000000"/>
                <w:sz w:val="16"/>
                <w:szCs w:val="16"/>
                <w:lang w:val="ru-RU" w:eastAsia="ru-RU"/>
              </w:rPr>
            </w:pPr>
            <w:r w:rsidRPr="0077067C">
              <w:rPr>
                <w:rFonts w:cs="Arial"/>
                <w:color w:val="000000"/>
                <w:sz w:val="16"/>
                <w:szCs w:val="16"/>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77067C" w:rsidRDefault="003D5AC4" w:rsidP="00B53D00">
            <w:pPr>
              <w:overflowPunct/>
              <w:autoSpaceDE/>
              <w:autoSpaceDN/>
              <w:adjustRightInd/>
              <w:jc w:val="right"/>
              <w:textAlignment w:val="auto"/>
              <w:rPr>
                <w:rFonts w:cs="Arial"/>
                <w:b/>
                <w:bCs/>
                <w:color w:val="000000"/>
                <w:sz w:val="16"/>
                <w:szCs w:val="16"/>
                <w:lang w:val="ru-RU" w:eastAsia="ru-RU"/>
              </w:rPr>
            </w:pPr>
            <w:r w:rsidRPr="0077067C">
              <w:rPr>
                <w:rFonts w:cs="Arial"/>
                <w:b/>
                <w:bCs/>
                <w:color w:val="000000"/>
                <w:sz w:val="16"/>
                <w:szCs w:val="16"/>
                <w:lang w:val="ru-RU" w:eastAsia="ru-RU"/>
              </w:rPr>
              <w:t>5 691 877</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lastRenderedPageBreak/>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-222 541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-1 641 008</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-1 451 639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-970 052</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1 855 924</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22 640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Х</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-4 265,22</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-27 349,04</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-18 145,49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-4 850,26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4 265,22</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27 349,04</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18 145,49</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4 850,26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0,9583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0,8333</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0,2500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2268" w:type="dxa"/>
            <w:tcBorders>
              <w:top w:val="nil"/>
              <w:left w:val="nil"/>
              <w:bottom w:val="nil"/>
              <w:right w:val="nil"/>
            </w:tcBorders>
            <w:shd w:val="clear" w:color="auto" w:fill="auto"/>
            <w:noWrap/>
            <w:vAlign w:val="bottom"/>
            <w:hideMark/>
          </w:tcPr>
          <w:p w:rsidR="003D5AC4" w:rsidRDefault="003D5AC4" w:rsidP="00B53D00">
            <w:pPr>
              <w:overflowPunct/>
              <w:autoSpaceDE/>
              <w:autoSpaceDN/>
              <w:adjustRightInd/>
              <w:textAlignment w:val="auto"/>
              <w:rPr>
                <w:rFonts w:ascii="Calibri" w:hAnsi="Calibri" w:cs="Calibri"/>
                <w:color w:val="000000"/>
                <w:sz w:val="22"/>
                <w:szCs w:val="22"/>
                <w:lang w:val="en-US" w:eastAsia="ru-RU"/>
              </w:rPr>
            </w:pPr>
          </w:p>
          <w:p w:rsidR="003B5D8D" w:rsidRPr="003B5D8D" w:rsidRDefault="003B5D8D" w:rsidP="00B53D00">
            <w:pPr>
              <w:overflowPunct/>
              <w:autoSpaceDE/>
              <w:autoSpaceDN/>
              <w:adjustRightInd/>
              <w:textAlignment w:val="auto"/>
              <w:rPr>
                <w:rFonts w:ascii="Calibri" w:hAnsi="Calibri" w:cs="Calibri"/>
                <w:color w:val="000000"/>
                <w:sz w:val="22"/>
                <w:szCs w:val="22"/>
                <w:lang w:val="en-US"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851"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r>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Доллары</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Временные интервалы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Нечувств. к изменению проц. ставки</w:t>
            </w:r>
          </w:p>
        </w:tc>
      </w:tr>
      <w:tr w:rsidR="003D5AC4" w:rsidRPr="000C3A94" w:rsidTr="00B53D00">
        <w:trPr>
          <w:trHeight w:val="72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до 30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31 до 90 дней</w:t>
            </w:r>
          </w:p>
        </w:tc>
        <w:tc>
          <w:tcPr>
            <w:tcW w:w="993"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181 дня до 1 года</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 года до 5 лет</w:t>
            </w:r>
          </w:p>
        </w:tc>
        <w:tc>
          <w:tcPr>
            <w:tcW w:w="851"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свыше 5 лет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31 915</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81 891</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576</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color w:val="000000"/>
                <w:sz w:val="16"/>
                <w:szCs w:val="16"/>
                <w:lang w:val="ru-RU" w:eastAsia="ru-RU"/>
              </w:rPr>
            </w:pPr>
            <w:r w:rsidRPr="003B5D8D">
              <w:rPr>
                <w:rFonts w:cs="Arial"/>
                <w:color w:val="000000"/>
                <w:sz w:val="16"/>
                <w:szCs w:val="16"/>
                <w:lang w:val="ru-RU" w:eastAsia="ru-RU"/>
              </w:rPr>
              <w:t>1 438 772 </w:t>
            </w:r>
          </w:p>
        </w:tc>
      </w:tr>
      <w:tr w:rsidR="003D5AC4" w:rsidRPr="006C0DB6"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6 922</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bCs/>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3B5D8D" w:rsidRDefault="003D5AC4" w:rsidP="00B53D00">
            <w:pPr>
              <w:overflowPunct/>
              <w:autoSpaceDE/>
              <w:autoSpaceDN/>
              <w:adjustRightInd/>
              <w:jc w:val="right"/>
              <w:textAlignment w:val="auto"/>
              <w:rPr>
                <w:rFonts w:cs="Arial"/>
                <w:b/>
                <w:bCs/>
                <w:color w:val="000000"/>
                <w:sz w:val="16"/>
                <w:szCs w:val="16"/>
                <w:lang w:val="ru-RU" w:eastAsia="ru-RU"/>
              </w:rPr>
            </w:pPr>
            <w:r w:rsidRPr="003B5D8D">
              <w:rPr>
                <w:rFonts w:cs="Arial"/>
                <w:b/>
                <w:bCs/>
                <w:color w:val="000000"/>
                <w:sz w:val="16"/>
                <w:szCs w:val="16"/>
                <w:lang w:val="ru-RU" w:eastAsia="ru-RU"/>
              </w:rPr>
              <w:t>1 560 076</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28 800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7 461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12 832</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12 366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4 926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162 072</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1 354</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36 261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12 832</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12 366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4 926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163 427</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-36 261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-12 832</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-12 366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-4 926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Х</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-694,98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-213,86</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-154,58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-24,63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694,98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213,86</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154,58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24,63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0,9583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0,8333</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0,2500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2268" w:type="dxa"/>
            <w:tcBorders>
              <w:top w:val="nil"/>
              <w:left w:val="nil"/>
              <w:bottom w:val="nil"/>
              <w:right w:val="nil"/>
            </w:tcBorders>
            <w:shd w:val="clear" w:color="auto" w:fill="auto"/>
            <w:noWrap/>
            <w:vAlign w:val="bottom"/>
            <w:hideMark/>
          </w:tcPr>
          <w:p w:rsidR="003D5AC4" w:rsidRDefault="003D5AC4" w:rsidP="00B53D00">
            <w:pPr>
              <w:overflowPunct/>
              <w:autoSpaceDE/>
              <w:autoSpaceDN/>
              <w:adjustRightInd/>
              <w:textAlignment w:val="auto"/>
              <w:rPr>
                <w:rFonts w:ascii="Calibri" w:hAnsi="Calibri" w:cs="Calibri"/>
                <w:color w:val="000000"/>
                <w:sz w:val="22"/>
                <w:szCs w:val="22"/>
                <w:lang w:val="en-US" w:eastAsia="ru-RU"/>
              </w:rPr>
            </w:pPr>
          </w:p>
          <w:p w:rsidR="003B5D8D" w:rsidRPr="003B5D8D" w:rsidRDefault="003B5D8D" w:rsidP="00B53D00">
            <w:pPr>
              <w:overflowPunct/>
              <w:autoSpaceDE/>
              <w:autoSpaceDN/>
              <w:adjustRightInd/>
              <w:textAlignment w:val="auto"/>
              <w:rPr>
                <w:rFonts w:ascii="Calibri" w:hAnsi="Calibri" w:cs="Calibri"/>
                <w:color w:val="000000"/>
                <w:sz w:val="22"/>
                <w:szCs w:val="22"/>
                <w:lang w:val="en-US"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3"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851"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c>
          <w:tcPr>
            <w:tcW w:w="992" w:type="dxa"/>
            <w:tcBorders>
              <w:top w:val="nil"/>
              <w:left w:val="nil"/>
              <w:bottom w:val="nil"/>
              <w:right w:val="nil"/>
            </w:tcBorders>
            <w:shd w:val="clear" w:color="auto" w:fill="auto"/>
            <w:noWrap/>
            <w:vAlign w:val="bottom"/>
            <w:hideMark/>
          </w:tcPr>
          <w:p w:rsidR="003D5AC4" w:rsidRPr="000C3A94" w:rsidRDefault="003D5AC4" w:rsidP="00B53D00">
            <w:pPr>
              <w:overflowPunct/>
              <w:autoSpaceDE/>
              <w:autoSpaceDN/>
              <w:adjustRightInd/>
              <w:textAlignment w:val="auto"/>
              <w:rPr>
                <w:rFonts w:ascii="Calibri" w:hAnsi="Calibri" w:cs="Calibri"/>
                <w:color w:val="000000"/>
                <w:sz w:val="22"/>
                <w:szCs w:val="22"/>
                <w:lang w:val="ru-RU" w:eastAsia="ru-RU"/>
              </w:rPr>
            </w:pPr>
          </w:p>
        </w:tc>
      </w:tr>
      <w:tr w:rsidR="003D5AC4" w:rsidRPr="006C0DB6" w:rsidTr="00B53D00">
        <w:trPr>
          <w:trHeight w:val="30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Евро</w:t>
            </w:r>
          </w:p>
        </w:tc>
        <w:tc>
          <w:tcPr>
            <w:tcW w:w="5812" w:type="dxa"/>
            <w:gridSpan w:val="6"/>
            <w:tcBorders>
              <w:top w:val="single" w:sz="4" w:space="0" w:color="auto"/>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Временные интервалы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Нечувств. к изменению проц. ставки</w:t>
            </w:r>
          </w:p>
        </w:tc>
      </w:tr>
      <w:tr w:rsidR="003D5AC4" w:rsidRPr="000C3A94" w:rsidTr="00B53D00">
        <w:trPr>
          <w:trHeight w:val="720"/>
        </w:trPr>
        <w:tc>
          <w:tcPr>
            <w:tcW w:w="297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Наименование показателя</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до 30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31 до 90 дней</w:t>
            </w:r>
          </w:p>
        </w:tc>
        <w:tc>
          <w:tcPr>
            <w:tcW w:w="993"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91 до 180 дней</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181 дня до 1 года</w:t>
            </w:r>
          </w:p>
        </w:tc>
        <w:tc>
          <w:tcPr>
            <w:tcW w:w="992"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от 1 года до 5 лет</w:t>
            </w:r>
          </w:p>
        </w:tc>
        <w:tc>
          <w:tcPr>
            <w:tcW w:w="851"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bCs/>
                <w:color w:val="000000"/>
                <w:szCs w:val="18"/>
                <w:lang w:val="ru-RU" w:eastAsia="ru-RU"/>
              </w:rPr>
            </w:pPr>
            <w:r w:rsidRPr="000C3A94">
              <w:rPr>
                <w:rFonts w:cs="Arial"/>
                <w:b/>
                <w:bCs/>
                <w:color w:val="000000"/>
                <w:szCs w:val="18"/>
                <w:lang w:val="ru-RU" w:eastAsia="ru-RU"/>
              </w:rPr>
              <w:t>свыше 5 лет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АКТИВЫ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Денежные средства и их эквиваленты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28 049</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на корр. счетах в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21 453</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Ссудная задолженность</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28</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38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64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228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344</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6C0DB6"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Вложения в долевые ценные бумаги</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активы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105 731</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bCs/>
                <w:color w:val="000000"/>
                <w:szCs w:val="18"/>
                <w:lang w:val="ru-RU" w:eastAsia="ru-RU"/>
              </w:rPr>
              <w:t>Основные средства и НМА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активов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28</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38</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64</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228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155 577</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БАЛАНСОВЫЕ ПАССИВЫ</w:t>
            </w:r>
          </w:p>
        </w:tc>
        <w:tc>
          <w:tcPr>
            <w:tcW w:w="6804" w:type="dxa"/>
            <w:gridSpan w:val="7"/>
            <w:tcBorders>
              <w:top w:val="single" w:sz="4" w:space="0" w:color="auto"/>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кредитных организаций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22 726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Средства клиентов, не являющихся кред. орг.</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950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4 835</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2 351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2 056 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98 939</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Выпущенные долговые обязательства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Прочие пассивы</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1 022</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Источники собственных средств (капитала)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Итого балансовых пассивов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23 676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4 835</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2 351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2 056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99 963</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Совокупный ГЭП</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-23 676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-4 807</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-2 313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-1 992</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228</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b/>
                <w:bCs/>
                <w:color w:val="000000"/>
                <w:szCs w:val="18"/>
                <w:lang w:val="ru-RU" w:eastAsia="ru-RU"/>
              </w:rPr>
            </w:pPr>
            <w:r w:rsidRPr="000C3A94">
              <w:rPr>
                <w:rFonts w:cs="Arial"/>
                <w:b/>
                <w:bCs/>
                <w:color w:val="000000"/>
                <w:szCs w:val="18"/>
                <w:lang w:val="ru-RU" w:eastAsia="ru-RU"/>
              </w:rPr>
              <w:t>Х</w:t>
            </w:r>
          </w:p>
        </w:tc>
      </w:tr>
      <w:tr w:rsidR="003D5AC4" w:rsidRPr="000C3A94" w:rsidTr="00B53D00">
        <w:trPr>
          <w:trHeight w:val="300"/>
        </w:trPr>
        <w:tc>
          <w:tcPr>
            <w:tcW w:w="29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b/>
                <w:bCs/>
                <w:color w:val="000000"/>
                <w:szCs w:val="18"/>
                <w:lang w:val="ru-RU" w:eastAsia="ru-RU"/>
              </w:rPr>
            </w:pPr>
            <w:r w:rsidRPr="000C3A94">
              <w:rPr>
                <w:rFonts w:cs="Arial"/>
                <w:b/>
                <w:bCs/>
                <w:color w:val="000000"/>
                <w:szCs w:val="18"/>
                <w:lang w:val="ru-RU" w:eastAsia="ru-RU"/>
              </w:rPr>
              <w:t>Изменение чистого процентного дохода: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val="restart"/>
            <w:tcBorders>
              <w:top w:val="nil"/>
              <w:left w:val="single" w:sz="4" w:space="0" w:color="auto"/>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-453,77</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-80,11</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-28,91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-9,96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 xml:space="preserve"> - 200 базисных пунктов</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453,77</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80,11</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28,91</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9,96</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r w:rsidR="003D5AC4" w:rsidRPr="000C3A94" w:rsidTr="00B53D00">
        <w:trPr>
          <w:trHeight w:val="300"/>
        </w:trPr>
        <w:tc>
          <w:tcPr>
            <w:tcW w:w="710" w:type="dxa"/>
            <w:vMerge/>
            <w:tcBorders>
              <w:top w:val="nil"/>
              <w:left w:val="single" w:sz="4" w:space="0" w:color="auto"/>
              <w:bottom w:val="single" w:sz="4" w:space="0" w:color="auto"/>
              <w:right w:val="single" w:sz="4" w:space="0" w:color="auto"/>
            </w:tcBorders>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p>
        </w:tc>
        <w:tc>
          <w:tcPr>
            <w:tcW w:w="2268" w:type="dxa"/>
            <w:tcBorders>
              <w:top w:val="nil"/>
              <w:left w:val="nil"/>
              <w:bottom w:val="single" w:sz="4" w:space="0" w:color="auto"/>
              <w:right w:val="single" w:sz="4" w:space="0" w:color="auto"/>
            </w:tcBorders>
            <w:shd w:val="clear" w:color="auto" w:fill="auto"/>
            <w:vAlign w:val="center"/>
            <w:hideMark/>
          </w:tcPr>
          <w:p w:rsidR="003D5AC4" w:rsidRPr="000C3A94" w:rsidRDefault="003D5AC4" w:rsidP="00B53D00">
            <w:pPr>
              <w:overflowPunct/>
              <w:autoSpaceDE/>
              <w:autoSpaceDN/>
              <w:adjustRightInd/>
              <w:textAlignment w:val="auto"/>
              <w:rPr>
                <w:rFonts w:cs="Arial"/>
                <w:color w:val="000000"/>
                <w:szCs w:val="18"/>
                <w:lang w:val="ru-RU" w:eastAsia="ru-RU"/>
              </w:rPr>
            </w:pPr>
            <w:r w:rsidRPr="000C3A94">
              <w:rPr>
                <w:rFonts w:cs="Arial"/>
                <w:color w:val="000000"/>
                <w:szCs w:val="18"/>
                <w:lang w:val="ru-RU" w:eastAsia="ru-RU"/>
              </w:rPr>
              <w:t>временной коэффициент</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0,9583</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0,8333</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0,6250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0,2500</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c>
          <w:tcPr>
            <w:tcW w:w="851"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0C3A94" w:rsidRDefault="003D5AC4" w:rsidP="00B53D00">
            <w:pPr>
              <w:overflowPunct/>
              <w:autoSpaceDE/>
              <w:autoSpaceDN/>
              <w:adjustRightInd/>
              <w:jc w:val="right"/>
              <w:textAlignment w:val="auto"/>
              <w:rPr>
                <w:rFonts w:cs="Arial"/>
                <w:color w:val="000000"/>
                <w:szCs w:val="18"/>
                <w:lang w:val="ru-RU" w:eastAsia="ru-RU"/>
              </w:rPr>
            </w:pPr>
            <w:r w:rsidRPr="000C3A94">
              <w:rPr>
                <w:rFonts w:cs="Arial"/>
                <w:color w:val="000000"/>
                <w:szCs w:val="18"/>
                <w:lang w:val="ru-RU" w:eastAsia="ru-RU"/>
              </w:rPr>
              <w:t>Х</w:t>
            </w:r>
          </w:p>
        </w:tc>
      </w:tr>
    </w:tbl>
    <w:p w:rsidR="003D5AC4" w:rsidRPr="000C3A94" w:rsidRDefault="003D5AC4" w:rsidP="003D5AC4">
      <w:pPr>
        <w:pStyle w:val="HTML"/>
        <w:jc w:val="both"/>
        <w:rPr>
          <w:rFonts w:ascii="Arial" w:hAnsi="Arial" w:cs="Arial"/>
          <w:color w:val="auto"/>
        </w:rPr>
      </w:pPr>
    </w:p>
    <w:p w:rsidR="003D5AC4" w:rsidRPr="000C3A94" w:rsidRDefault="003D5AC4" w:rsidP="003D5AC4">
      <w:pPr>
        <w:pStyle w:val="HTML"/>
        <w:jc w:val="both"/>
        <w:rPr>
          <w:rFonts w:ascii="Arial" w:hAnsi="Arial" w:cs="Arial"/>
          <w:color w:val="auto"/>
        </w:rPr>
      </w:pPr>
      <w:r w:rsidRPr="000C3A94">
        <w:rPr>
          <w:rFonts w:ascii="Arial" w:hAnsi="Arial" w:cs="Arial"/>
          <w:color w:val="auto"/>
        </w:rPr>
        <w:t xml:space="preserve">Таким образом, ожидаемый чистый денежный поток в случае общего сдвига процентных ставок по активам и обязательствам, чувствительным к изменению процентных ставок, на 200 б. п. вверх при имеющейся структуре баланса снизится на </w:t>
      </w:r>
      <w:r w:rsidR="00E462CF">
        <w:rPr>
          <w:rFonts w:ascii="Arial" w:hAnsi="Arial" w:cs="Arial"/>
          <w:color w:val="auto"/>
        </w:rPr>
        <w:t xml:space="preserve">35 </w:t>
      </w:r>
      <w:r>
        <w:rPr>
          <w:rFonts w:ascii="Arial" w:hAnsi="Arial" w:cs="Arial"/>
          <w:color w:val="auto"/>
        </w:rPr>
        <w:t>790</w:t>
      </w:r>
      <w:r w:rsidRPr="000C3A94">
        <w:rPr>
          <w:rFonts w:ascii="Arial" w:hAnsi="Arial" w:cs="Arial"/>
          <w:color w:val="auto"/>
        </w:rPr>
        <w:t xml:space="preserve"> тыс. руб. по активам и пассивам, номинированным в рублях, на </w:t>
      </w:r>
      <w:r>
        <w:rPr>
          <w:rFonts w:ascii="Arial" w:hAnsi="Arial" w:cs="Arial"/>
          <w:color w:val="auto"/>
        </w:rPr>
        <w:t>505</w:t>
      </w:r>
      <w:r w:rsidRPr="000C3A94">
        <w:rPr>
          <w:rFonts w:ascii="Arial" w:hAnsi="Arial" w:cs="Arial"/>
          <w:color w:val="auto"/>
        </w:rPr>
        <w:t xml:space="preserve"> тыс. руб. в долларах, на </w:t>
      </w:r>
      <w:r>
        <w:rPr>
          <w:rFonts w:ascii="Arial" w:hAnsi="Arial" w:cs="Arial"/>
          <w:color w:val="auto"/>
        </w:rPr>
        <w:t>213</w:t>
      </w:r>
      <w:r w:rsidRPr="000C3A94">
        <w:rPr>
          <w:rFonts w:ascii="Arial" w:hAnsi="Arial" w:cs="Arial"/>
          <w:color w:val="auto"/>
        </w:rPr>
        <w:t xml:space="preserve"> тыс. руб. в евро (по состоянию за 31.12.2017 года на 54 610 тыс. руб. по активам и пассивам, номинированным в рублях, на 1 088 тыс. руб. в долларах, на 573 тыс. руб. в евро соответственно).</w:t>
      </w:r>
    </w:p>
    <w:p w:rsidR="003D5AC4" w:rsidRPr="000C3A94" w:rsidRDefault="003D5AC4" w:rsidP="003D5AC4">
      <w:pPr>
        <w:pStyle w:val="HTML"/>
        <w:jc w:val="both"/>
        <w:rPr>
          <w:rFonts w:ascii="Arial" w:hAnsi="Arial" w:cs="Arial"/>
          <w:color w:val="auto"/>
        </w:rPr>
      </w:pPr>
    </w:p>
    <w:p w:rsidR="003D5AC4" w:rsidRPr="000C3A94" w:rsidRDefault="003D5AC4" w:rsidP="003D5AC4">
      <w:pPr>
        <w:pStyle w:val="HTML"/>
        <w:jc w:val="both"/>
        <w:rPr>
          <w:rFonts w:ascii="Arial" w:hAnsi="Arial" w:cs="Arial"/>
          <w:color w:val="auto"/>
          <w:lang w:eastAsia="en-US"/>
        </w:rPr>
      </w:pPr>
      <w:r w:rsidRPr="000C3A94">
        <w:rPr>
          <w:rFonts w:ascii="Arial" w:hAnsi="Arial" w:cs="Arial"/>
          <w:color w:val="auto"/>
          <w:lang w:eastAsia="en-US"/>
        </w:rPr>
        <w:t>Банк ведет взвешенную политику в части размещения денежных средств в долговые ценные бумаги (облигации) крупнейших российских эмитентов финансового и корпоративного сектора и их дочерних компаний, руководствуясь принципом оптимизации соотношения принимаемых рисков и ожидаемой доходности. В структуре портфеля, процентному риску (в рамках определения процентного риска, данного в нормативных документах ЦБ РФ) за 31.</w:t>
      </w:r>
      <w:r>
        <w:rPr>
          <w:rFonts w:ascii="Arial" w:hAnsi="Arial" w:cs="Arial"/>
          <w:color w:val="auto"/>
          <w:lang w:eastAsia="en-US"/>
        </w:rPr>
        <w:t>12</w:t>
      </w:r>
      <w:r w:rsidRPr="000C3A94">
        <w:rPr>
          <w:rFonts w:ascii="Arial" w:hAnsi="Arial" w:cs="Arial"/>
          <w:color w:val="auto"/>
          <w:lang w:eastAsia="en-US"/>
        </w:rPr>
        <w:t xml:space="preserve">.2018 года, подвержены облигации. Долговые ценные бумаги, входящие в торговый портфель Банка, оцениваются по справедливой стоимости. Банк </w:t>
      </w:r>
      <w:r>
        <w:rPr>
          <w:rFonts w:ascii="Arial" w:hAnsi="Arial" w:cs="Arial"/>
          <w:color w:val="auto"/>
          <w:lang w:eastAsia="en-US"/>
        </w:rPr>
        <w:t>в отчетном периоде не формировал</w:t>
      </w:r>
      <w:r w:rsidRPr="000C3A94">
        <w:rPr>
          <w:rFonts w:ascii="Arial" w:hAnsi="Arial" w:cs="Arial"/>
          <w:color w:val="auto"/>
          <w:lang w:eastAsia="en-US"/>
        </w:rPr>
        <w:t xml:space="preserve"> портфели финансовых активов, предназначенных для продажи и / или удерживаемых до погашения.</w:t>
      </w:r>
    </w:p>
    <w:p w:rsidR="003D5AC4" w:rsidRPr="000C3A94" w:rsidRDefault="003D5AC4" w:rsidP="003D5AC4">
      <w:pPr>
        <w:pStyle w:val="HTML"/>
        <w:jc w:val="both"/>
        <w:rPr>
          <w:rFonts w:ascii="Arial" w:hAnsi="Arial" w:cs="Arial"/>
          <w:color w:val="auto"/>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Объем активов, подверженных (в соответствии с требованиями ЦБ РФ) процентным рыночным рискам:</w:t>
      </w:r>
    </w:p>
    <w:p w:rsidR="003D5AC4" w:rsidRPr="000C3A94" w:rsidRDefault="003D5AC4" w:rsidP="003D5AC4">
      <w:pPr>
        <w:pStyle w:val="HTML"/>
        <w:jc w:val="both"/>
        <w:rPr>
          <w:rFonts w:ascii="Arial" w:hAnsi="Arial" w:cs="Arial"/>
          <w:b/>
          <w:color w:val="auto"/>
        </w:rPr>
      </w:pPr>
    </w:p>
    <w:tbl>
      <w:tblPr>
        <w:tblW w:w="9446" w:type="dxa"/>
        <w:jc w:val="center"/>
        <w:tblLook w:val="04A0" w:firstRow="1" w:lastRow="0" w:firstColumn="1" w:lastColumn="0" w:noHBand="0" w:noVBand="1"/>
      </w:tblPr>
      <w:tblGrid>
        <w:gridCol w:w="2999"/>
        <w:gridCol w:w="1911"/>
        <w:gridCol w:w="1701"/>
        <w:gridCol w:w="2835"/>
      </w:tblGrid>
      <w:tr w:rsidR="003D5AC4" w:rsidRPr="006C0DB6" w:rsidTr="00B53D00">
        <w:trPr>
          <w:trHeight w:val="57"/>
          <w:jc w:val="center"/>
        </w:trPr>
        <w:tc>
          <w:tcPr>
            <w:tcW w:w="2999"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textAlignment w:val="auto"/>
              <w:rPr>
                <w:rFonts w:cs="Arial"/>
                <w:b/>
                <w:szCs w:val="18"/>
                <w:lang w:val="ru-RU" w:eastAsia="ru-RU"/>
              </w:rPr>
            </w:pPr>
            <w:r w:rsidRPr="000C3A94">
              <w:rPr>
                <w:rFonts w:cs="Arial"/>
                <w:b/>
                <w:szCs w:val="18"/>
                <w:lang w:val="ru-RU" w:eastAsia="ru-RU"/>
              </w:rPr>
              <w:t>Процентный риск</w:t>
            </w:r>
          </w:p>
        </w:tc>
        <w:tc>
          <w:tcPr>
            <w:tcW w:w="1911"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r w:rsidRPr="000C3A94">
              <w:rPr>
                <w:rFonts w:cs="Arial"/>
                <w:b/>
                <w:szCs w:val="18"/>
                <w:lang w:val="ru-RU" w:eastAsia="ru-RU"/>
              </w:rPr>
              <w:t>Объем требований</w:t>
            </w:r>
          </w:p>
        </w:tc>
        <w:tc>
          <w:tcPr>
            <w:tcW w:w="1701" w:type="dxa"/>
            <w:tcBorders>
              <w:top w:val="single" w:sz="4" w:space="0" w:color="auto"/>
              <w:bottom w:val="single" w:sz="4" w:space="0" w:color="auto"/>
            </w:tcBorders>
            <w:shd w:val="clear" w:color="auto" w:fill="auto"/>
            <w:noWrap/>
            <w:vAlign w:val="center"/>
            <w:hideMark/>
          </w:tcPr>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r w:rsidRPr="000C3A94">
              <w:rPr>
                <w:rFonts w:cs="Arial"/>
                <w:b/>
                <w:szCs w:val="18"/>
                <w:lang w:val="ru-RU" w:eastAsia="ru-RU"/>
              </w:rPr>
              <w:t>Уровень риска</w:t>
            </w:r>
          </w:p>
        </w:tc>
        <w:tc>
          <w:tcPr>
            <w:tcW w:w="2835" w:type="dxa"/>
            <w:tcBorders>
              <w:top w:val="single" w:sz="4" w:space="0" w:color="auto"/>
              <w:bottom w:val="single" w:sz="4" w:space="0" w:color="auto"/>
            </w:tcBorders>
            <w:shd w:val="clear" w:color="auto" w:fill="auto"/>
            <w:vAlign w:val="center"/>
            <w:hideMark/>
          </w:tcPr>
          <w:p w:rsidR="003D5AC4" w:rsidRPr="000C3A94" w:rsidRDefault="003D5AC4" w:rsidP="00B53D00">
            <w:pPr>
              <w:overflowPunct/>
              <w:autoSpaceDE/>
              <w:autoSpaceDN/>
              <w:adjustRightInd/>
              <w:jc w:val="center"/>
              <w:textAlignment w:val="auto"/>
              <w:rPr>
                <w:rFonts w:cs="Arial"/>
                <w:b/>
                <w:szCs w:val="18"/>
                <w:lang w:val="ru-RU" w:eastAsia="ru-RU"/>
              </w:rPr>
            </w:pPr>
            <w:r w:rsidRPr="000C3A94">
              <w:rPr>
                <w:rFonts w:cs="Arial"/>
                <w:b/>
                <w:szCs w:val="18"/>
                <w:lang w:val="ru-RU" w:eastAsia="ru-RU"/>
              </w:rPr>
              <w:t>Требования к капиталу (после применения повышающих коэффициентов)</w:t>
            </w:r>
          </w:p>
        </w:tc>
      </w:tr>
      <w:tr w:rsidR="003D5AC4" w:rsidRPr="007844F5" w:rsidTr="00B53D00">
        <w:trPr>
          <w:trHeight w:val="57"/>
          <w:jc w:val="center"/>
        </w:trPr>
        <w:tc>
          <w:tcPr>
            <w:tcW w:w="2999" w:type="dxa"/>
            <w:shd w:val="clear" w:color="auto" w:fill="auto"/>
            <w:noWrap/>
            <w:vAlign w:val="center"/>
          </w:tcPr>
          <w:p w:rsidR="003D5AC4" w:rsidRPr="000C3A94" w:rsidRDefault="003D5AC4" w:rsidP="00B53D00">
            <w:pPr>
              <w:overflowPunct/>
              <w:autoSpaceDE/>
              <w:autoSpaceDN/>
              <w:adjustRightInd/>
              <w:jc w:val="center"/>
              <w:textAlignment w:val="auto"/>
              <w:rPr>
                <w:rFonts w:cs="Arial"/>
                <w:b/>
                <w:szCs w:val="18"/>
                <w:lang w:val="ru-RU" w:eastAsia="ru-RU"/>
              </w:rPr>
            </w:pPr>
          </w:p>
        </w:tc>
        <w:tc>
          <w:tcPr>
            <w:tcW w:w="6447" w:type="dxa"/>
            <w:gridSpan w:val="3"/>
            <w:tcBorders>
              <w:bottom w:val="single" w:sz="4" w:space="0" w:color="auto"/>
            </w:tcBorders>
            <w:shd w:val="clear" w:color="auto" w:fill="auto"/>
            <w:vAlign w:val="center"/>
          </w:tcPr>
          <w:p w:rsidR="003D5AC4" w:rsidRPr="000C3A94" w:rsidRDefault="003D5AC4" w:rsidP="00B53D00">
            <w:pPr>
              <w:overflowPunct/>
              <w:autoSpaceDE/>
              <w:autoSpaceDN/>
              <w:adjustRightInd/>
              <w:jc w:val="center"/>
              <w:textAlignment w:val="auto"/>
              <w:rPr>
                <w:rFonts w:cs="Arial"/>
                <w:b/>
                <w:szCs w:val="18"/>
                <w:lang w:val="ru-RU" w:eastAsia="ru-RU"/>
              </w:rPr>
            </w:pPr>
          </w:p>
          <w:p w:rsidR="003D5AC4" w:rsidRPr="000C3A94" w:rsidRDefault="003D5AC4" w:rsidP="00B53D00">
            <w:pPr>
              <w:overflowPunct/>
              <w:autoSpaceDE/>
              <w:autoSpaceDN/>
              <w:adjustRightInd/>
              <w:jc w:val="center"/>
              <w:textAlignment w:val="auto"/>
              <w:rPr>
                <w:rFonts w:cs="Arial"/>
                <w:b/>
                <w:szCs w:val="18"/>
                <w:lang w:val="ru-RU" w:eastAsia="ru-RU"/>
              </w:rPr>
            </w:pPr>
            <w:r>
              <w:rPr>
                <w:rFonts w:cs="Arial"/>
                <w:b/>
                <w:bCs/>
                <w:szCs w:val="18"/>
                <w:lang w:val="ru-RU" w:eastAsia="ru-RU"/>
              </w:rPr>
              <w:t xml:space="preserve">    31.12</w:t>
            </w:r>
            <w:r w:rsidRPr="000C3A94">
              <w:rPr>
                <w:rFonts w:cs="Arial"/>
                <w:b/>
                <w:bCs/>
                <w:szCs w:val="18"/>
                <w:lang w:val="ru-RU" w:eastAsia="ru-RU"/>
              </w:rPr>
              <w:t>.2018</w:t>
            </w:r>
          </w:p>
        </w:tc>
      </w:tr>
      <w:tr w:rsidR="003D5AC4" w:rsidRPr="007844F5" w:rsidTr="00B53D00">
        <w:trPr>
          <w:trHeight w:val="347"/>
          <w:jc w:val="center"/>
        </w:trPr>
        <w:tc>
          <w:tcPr>
            <w:tcW w:w="2999" w:type="dxa"/>
            <w:shd w:val="clear" w:color="auto" w:fill="auto"/>
            <w:noWrap/>
            <w:vAlign w:val="center"/>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долговые ценные бумаги (по текущей (справедливой) стоимости)</w:t>
            </w:r>
          </w:p>
        </w:tc>
        <w:tc>
          <w:tcPr>
            <w:tcW w:w="1911" w:type="dxa"/>
            <w:tcBorders>
              <w:top w:val="single" w:sz="4" w:space="0" w:color="auto"/>
            </w:tcBorders>
            <w:shd w:val="clear" w:color="auto" w:fill="auto"/>
            <w:noWrap/>
            <w:vAlign w:val="center"/>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Pr>
                <w:rFonts w:cs="Arial"/>
                <w:szCs w:val="18"/>
                <w:lang w:val="ru-RU"/>
              </w:rPr>
              <w:t>5 140 870</w:t>
            </w:r>
          </w:p>
        </w:tc>
        <w:tc>
          <w:tcPr>
            <w:tcW w:w="1701" w:type="dxa"/>
            <w:tcBorders>
              <w:top w:val="single" w:sz="4" w:space="0" w:color="auto"/>
            </w:tcBorders>
            <w:shd w:val="clear" w:color="auto" w:fill="auto"/>
            <w:noWrap/>
            <w:vAlign w:val="center"/>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Pr>
                <w:rFonts w:cs="Arial"/>
                <w:szCs w:val="18"/>
                <w:lang w:val="ru-RU"/>
              </w:rPr>
              <w:t>289 635</w:t>
            </w:r>
          </w:p>
        </w:tc>
        <w:tc>
          <w:tcPr>
            <w:tcW w:w="2835" w:type="dxa"/>
            <w:tcBorders>
              <w:top w:val="single" w:sz="4" w:space="0" w:color="auto"/>
            </w:tcBorders>
            <w:shd w:val="clear" w:color="auto" w:fill="auto"/>
            <w:noWrap/>
            <w:vAlign w:val="center"/>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Pr>
                <w:rFonts w:cs="Arial"/>
                <w:szCs w:val="18"/>
                <w:lang w:val="ru-RU"/>
              </w:rPr>
              <w:t>3 620 439</w:t>
            </w:r>
          </w:p>
        </w:tc>
      </w:tr>
      <w:tr w:rsidR="003D5AC4" w:rsidRPr="007844F5" w:rsidTr="00B53D00">
        <w:trPr>
          <w:trHeight w:val="57"/>
          <w:jc w:val="center"/>
        </w:trPr>
        <w:tc>
          <w:tcPr>
            <w:tcW w:w="2999" w:type="dxa"/>
            <w:tcBorders>
              <w:top w:val="single" w:sz="4" w:space="0" w:color="auto"/>
            </w:tcBorders>
            <w:shd w:val="clear" w:color="auto" w:fill="auto"/>
            <w:noWrap/>
            <w:vAlign w:val="center"/>
          </w:tcPr>
          <w:p w:rsidR="003D5AC4" w:rsidRPr="000C3A94" w:rsidRDefault="003D5AC4" w:rsidP="00B53D00">
            <w:pPr>
              <w:overflowPunct/>
              <w:autoSpaceDE/>
              <w:autoSpaceDN/>
              <w:adjustRightInd/>
              <w:jc w:val="center"/>
              <w:textAlignment w:val="auto"/>
              <w:rPr>
                <w:rFonts w:cs="Arial"/>
                <w:b/>
                <w:szCs w:val="18"/>
                <w:lang w:val="ru-RU" w:eastAsia="ru-RU"/>
              </w:rPr>
            </w:pPr>
          </w:p>
        </w:tc>
        <w:tc>
          <w:tcPr>
            <w:tcW w:w="6447" w:type="dxa"/>
            <w:gridSpan w:val="3"/>
            <w:tcBorders>
              <w:top w:val="single" w:sz="4" w:space="0" w:color="auto"/>
              <w:bottom w:val="single" w:sz="4" w:space="0" w:color="auto"/>
            </w:tcBorders>
            <w:shd w:val="clear" w:color="auto" w:fill="auto"/>
            <w:vAlign w:val="center"/>
          </w:tcPr>
          <w:p w:rsidR="003D5AC4" w:rsidRPr="000C3A94" w:rsidRDefault="003D5AC4" w:rsidP="00B53D00">
            <w:pPr>
              <w:overflowPunct/>
              <w:autoSpaceDE/>
              <w:autoSpaceDN/>
              <w:adjustRightInd/>
              <w:ind w:firstLineChars="100" w:firstLine="181"/>
              <w:jc w:val="center"/>
              <w:textAlignment w:val="auto"/>
              <w:rPr>
                <w:rFonts w:cs="Arial"/>
                <w:b/>
                <w:szCs w:val="18"/>
                <w:lang w:val="ru-RU" w:eastAsia="ru-RU"/>
              </w:rPr>
            </w:pPr>
          </w:p>
          <w:p w:rsidR="003D5AC4" w:rsidRPr="000C3A94" w:rsidRDefault="003D5AC4" w:rsidP="00B53D00">
            <w:pPr>
              <w:overflowPunct/>
              <w:autoSpaceDE/>
              <w:autoSpaceDN/>
              <w:adjustRightInd/>
              <w:ind w:firstLineChars="100" w:firstLine="181"/>
              <w:jc w:val="center"/>
              <w:textAlignment w:val="auto"/>
              <w:rPr>
                <w:rFonts w:cs="Arial"/>
                <w:b/>
                <w:szCs w:val="18"/>
                <w:lang w:val="ru-RU" w:eastAsia="ru-RU"/>
              </w:rPr>
            </w:pPr>
            <w:r w:rsidRPr="000C3A94">
              <w:rPr>
                <w:rFonts w:cs="Arial"/>
                <w:b/>
                <w:bCs/>
                <w:szCs w:val="18"/>
                <w:lang w:val="ru-RU" w:eastAsia="ru-RU"/>
              </w:rPr>
              <w:t>31.12.2017</w:t>
            </w:r>
          </w:p>
        </w:tc>
      </w:tr>
      <w:tr w:rsidR="003D5AC4" w:rsidRPr="000C3A94" w:rsidTr="00B53D00">
        <w:trPr>
          <w:trHeight w:val="57"/>
          <w:jc w:val="center"/>
        </w:trPr>
        <w:tc>
          <w:tcPr>
            <w:tcW w:w="2999" w:type="dxa"/>
            <w:tcBorders>
              <w:bottom w:val="double" w:sz="4" w:space="0" w:color="auto"/>
            </w:tcBorders>
            <w:shd w:val="clear" w:color="auto" w:fill="auto"/>
            <w:noWrap/>
            <w:vAlign w:val="center"/>
            <w:hideMark/>
          </w:tcPr>
          <w:p w:rsidR="003D5AC4" w:rsidRPr="000C3A94" w:rsidRDefault="003D5AC4" w:rsidP="00B53D00">
            <w:pPr>
              <w:overflowPunct/>
              <w:autoSpaceDE/>
              <w:autoSpaceDN/>
              <w:adjustRightInd/>
              <w:textAlignment w:val="auto"/>
              <w:rPr>
                <w:rFonts w:cs="Arial"/>
                <w:szCs w:val="18"/>
                <w:lang w:val="ru-RU" w:eastAsia="ru-RU"/>
              </w:rPr>
            </w:pPr>
            <w:r w:rsidRPr="000C3A94">
              <w:rPr>
                <w:rFonts w:cs="Arial"/>
                <w:szCs w:val="18"/>
                <w:lang w:val="ru-RU" w:eastAsia="ru-RU"/>
              </w:rPr>
              <w:t>долговые ценные бумаги (по текущей (справедливой) стоимости)</w:t>
            </w:r>
          </w:p>
        </w:tc>
        <w:tc>
          <w:tcPr>
            <w:tcW w:w="1911" w:type="dxa"/>
            <w:tcBorders>
              <w:top w:val="single" w:sz="4" w:space="0" w:color="auto"/>
              <w:bottom w:val="double" w:sz="4" w:space="0" w:color="auto"/>
            </w:tcBorders>
            <w:shd w:val="clear" w:color="auto" w:fill="auto"/>
            <w:noWrap/>
            <w:vAlign w:val="center"/>
            <w:hideMark/>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sidRPr="000C3A94">
              <w:rPr>
                <w:rFonts w:cs="Arial"/>
                <w:szCs w:val="18"/>
                <w:lang w:val="ru-RU"/>
              </w:rPr>
              <w:t>6 220 374</w:t>
            </w:r>
          </w:p>
        </w:tc>
        <w:tc>
          <w:tcPr>
            <w:tcW w:w="1701" w:type="dxa"/>
            <w:tcBorders>
              <w:top w:val="single" w:sz="4" w:space="0" w:color="auto"/>
              <w:bottom w:val="double" w:sz="4" w:space="0" w:color="auto"/>
            </w:tcBorders>
            <w:shd w:val="clear" w:color="auto" w:fill="auto"/>
            <w:noWrap/>
            <w:vAlign w:val="center"/>
            <w:hideMark/>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sidRPr="000C3A94">
              <w:rPr>
                <w:rFonts w:cs="Arial"/>
                <w:szCs w:val="18"/>
                <w:lang w:val="ru-RU"/>
              </w:rPr>
              <w:t>556 969</w:t>
            </w:r>
          </w:p>
        </w:tc>
        <w:tc>
          <w:tcPr>
            <w:tcW w:w="2835" w:type="dxa"/>
            <w:tcBorders>
              <w:top w:val="single" w:sz="4" w:space="0" w:color="auto"/>
              <w:bottom w:val="double" w:sz="4" w:space="0" w:color="auto"/>
            </w:tcBorders>
            <w:shd w:val="clear" w:color="auto" w:fill="auto"/>
            <w:noWrap/>
            <w:vAlign w:val="center"/>
            <w:hideMark/>
          </w:tcPr>
          <w:p w:rsidR="003D5AC4" w:rsidRPr="000C3A94" w:rsidRDefault="003D5AC4" w:rsidP="00B53D00">
            <w:pPr>
              <w:ind w:firstLineChars="100" w:firstLine="180"/>
              <w:jc w:val="center"/>
              <w:rPr>
                <w:rFonts w:cs="Arial"/>
                <w:szCs w:val="18"/>
                <w:lang w:val="ru-RU"/>
              </w:rPr>
            </w:pPr>
          </w:p>
          <w:p w:rsidR="003D5AC4" w:rsidRPr="000C3A94" w:rsidRDefault="003D5AC4" w:rsidP="00B53D00">
            <w:pPr>
              <w:ind w:firstLineChars="100" w:firstLine="180"/>
              <w:jc w:val="center"/>
              <w:rPr>
                <w:rFonts w:cs="Arial"/>
                <w:szCs w:val="18"/>
                <w:lang w:val="ru-RU"/>
              </w:rPr>
            </w:pPr>
            <w:r w:rsidRPr="000C3A94">
              <w:rPr>
                <w:rFonts w:cs="Arial"/>
                <w:szCs w:val="18"/>
                <w:lang w:val="ru-RU"/>
              </w:rPr>
              <w:t>6 962 113</w:t>
            </w:r>
          </w:p>
        </w:tc>
      </w:tr>
    </w:tbl>
    <w:p w:rsidR="003D5AC4" w:rsidRPr="000C3A94" w:rsidRDefault="003D5AC4" w:rsidP="003D5AC4">
      <w:pPr>
        <w:pStyle w:val="HTML"/>
        <w:jc w:val="both"/>
        <w:rPr>
          <w:rFonts w:ascii="Arial" w:hAnsi="Arial" w:cs="Arial"/>
          <w:b/>
          <w:color w:val="auto"/>
        </w:rPr>
      </w:pPr>
    </w:p>
    <w:p w:rsidR="003D5AC4" w:rsidRPr="000C3A94" w:rsidRDefault="003D5AC4" w:rsidP="003D5AC4">
      <w:pPr>
        <w:pStyle w:val="HTML"/>
        <w:jc w:val="both"/>
        <w:rPr>
          <w:rFonts w:ascii="Arial" w:hAnsi="Arial" w:cs="Arial"/>
          <w:color w:val="auto"/>
        </w:rPr>
      </w:pPr>
      <w:r w:rsidRPr="000C3A94">
        <w:rPr>
          <w:rFonts w:ascii="Arial" w:hAnsi="Arial" w:cs="Arial"/>
          <w:color w:val="auto"/>
          <w:lang w:eastAsia="en-US"/>
        </w:rPr>
        <w:t xml:space="preserve">Портфель долговых ценных бумаг по состоянию за 31.12.2017 года представлен: ОФЗ с долей в общем объеме 0,28%, облигациями Банка России, доля которых 12,93%,  облигациями кредитных </w:t>
      </w:r>
      <w:r w:rsidRPr="000C3A94">
        <w:rPr>
          <w:rFonts w:ascii="Arial" w:hAnsi="Arial" w:cs="Arial"/>
          <w:color w:val="auto"/>
          <w:lang w:eastAsia="en-US"/>
        </w:rPr>
        <w:lastRenderedPageBreak/>
        <w:t xml:space="preserve">организаций с долей в общем объеме 9,78%, облигациями корпоративных эмитентов с долей 53,23% и еврооблигациями, доля которых составила 23,78%. </w:t>
      </w:r>
      <w:r w:rsidRPr="000C3A94">
        <w:rPr>
          <w:rFonts w:ascii="Arial" w:hAnsi="Arial" w:cs="Arial"/>
          <w:color w:val="auto"/>
        </w:rPr>
        <w:t>Величина средневзвешенной модифицированной дюрации по портфелю облигаций за 31.12.2017 года составляла 1,42, поэтому рост рыночной процентной ставки на 100 б.п. может обуславливать снижение стоимости портфеля на 88 841 тыс.руб.</w:t>
      </w:r>
    </w:p>
    <w:p w:rsidR="003D5AC4" w:rsidRPr="000C3A94" w:rsidRDefault="003D5AC4" w:rsidP="003D5AC4">
      <w:pPr>
        <w:pStyle w:val="HTML"/>
        <w:jc w:val="both"/>
        <w:rPr>
          <w:rFonts w:ascii="Arial" w:hAnsi="Arial" w:cs="Arial"/>
          <w:color w:val="auto"/>
        </w:rPr>
      </w:pPr>
      <w:r w:rsidRPr="001F2E10">
        <w:rPr>
          <w:rFonts w:ascii="Arial" w:hAnsi="Arial" w:cs="Arial"/>
          <w:color w:val="auto"/>
          <w:lang w:eastAsia="en-US"/>
        </w:rPr>
        <w:t xml:space="preserve">Портфель долговых ценных бумаг по состоянию за 31.12.2018 года представлен: облигациями Банка России, доля которых 15,94%, облигациями, эмитированные Правительством РФ и субъектами РФ, доля составила 9,48%, облигациями кредитных организаций с долей в общем объеме 7,36%, облигациями </w:t>
      </w:r>
      <w:r w:rsidRPr="00436597">
        <w:rPr>
          <w:rFonts w:ascii="Arial" w:hAnsi="Arial" w:cs="Arial"/>
          <w:color w:val="auto"/>
          <w:lang w:eastAsia="en-US"/>
        </w:rPr>
        <w:t>корпоративных эмитентов с долей 67,22%. Величина средневзвешенной модифицированной дюрации по портфелю облигаций за 31.12.2018 года составляла 1,52, поэтому рост рыночной процентной ставки на 100 б.п. может обуславливать снижение стоимости портфеля на 78 154 тыс. руб.</w:t>
      </w:r>
    </w:p>
    <w:p w:rsidR="003D5AC4" w:rsidRPr="000C3A94" w:rsidRDefault="003D5AC4" w:rsidP="003D5AC4">
      <w:pPr>
        <w:pStyle w:val="HTML"/>
        <w:jc w:val="both"/>
        <w:rPr>
          <w:rFonts w:ascii="Arial" w:hAnsi="Arial" w:cs="Arial"/>
          <w:color w:val="auto"/>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Оценка чувствительности к фондовому риску</w:t>
      </w:r>
    </w:p>
    <w:p w:rsidR="003D5AC4" w:rsidRPr="000C3A94" w:rsidRDefault="003D5AC4" w:rsidP="003D5AC4">
      <w:pPr>
        <w:pStyle w:val="HTML"/>
        <w:jc w:val="both"/>
        <w:rPr>
          <w:rFonts w:ascii="Arial" w:hAnsi="Arial" w:cs="Arial"/>
          <w:color w:val="auto"/>
        </w:rPr>
      </w:pPr>
      <w:r w:rsidRPr="000C3A94">
        <w:rPr>
          <w:rFonts w:ascii="Arial" w:hAnsi="Arial" w:cs="Arial"/>
          <w:color w:val="auto"/>
        </w:rPr>
        <w:t>В соответствии с требованиями Положением ЦБ РФ №511-П к финансовым инструментам, подверженным фондовому риску относятся обыкновенные акции, депозитарные расписки, конвертируемые ценные бумаги (облигации и привилегированные акции), удовлетворяющих условиям конверсии в обыкновенные акции, и производные финансовые инструменты, базисным (базовым) активом которых являются ценные бумаги, указанные выше, а также фондовые индексы.</w:t>
      </w:r>
    </w:p>
    <w:p w:rsidR="003D5AC4" w:rsidRPr="000C3A94" w:rsidRDefault="003D5AC4" w:rsidP="003D5AC4">
      <w:pPr>
        <w:pStyle w:val="HTML"/>
        <w:jc w:val="both"/>
        <w:rPr>
          <w:rFonts w:ascii="Arial" w:hAnsi="Arial" w:cs="Arial"/>
          <w:color w:val="auto"/>
        </w:rPr>
      </w:pPr>
      <w:r w:rsidRPr="000C3A94">
        <w:rPr>
          <w:rFonts w:ascii="Arial" w:hAnsi="Arial" w:cs="Arial"/>
          <w:color w:val="auto"/>
        </w:rPr>
        <w:t>В течение анализируемого периода Банк не осуществлял операций с перечисленными инструментами, и по состоянию за</w:t>
      </w:r>
      <w:r>
        <w:rPr>
          <w:rFonts w:ascii="Arial" w:hAnsi="Arial" w:cs="Arial"/>
          <w:color w:val="auto"/>
        </w:rPr>
        <w:t xml:space="preserve"> 31.12</w:t>
      </w:r>
      <w:r w:rsidRPr="000C3A94">
        <w:rPr>
          <w:rFonts w:ascii="Arial" w:hAnsi="Arial" w:cs="Arial"/>
          <w:color w:val="auto"/>
        </w:rPr>
        <w:t xml:space="preserve">.2018 года отсутствовали активы, подверженные фондовому риску. </w:t>
      </w:r>
    </w:p>
    <w:p w:rsidR="003D5AC4" w:rsidRPr="000C3A94" w:rsidRDefault="003D5AC4" w:rsidP="003D5AC4">
      <w:pPr>
        <w:pStyle w:val="HTML"/>
        <w:jc w:val="both"/>
        <w:rPr>
          <w:rFonts w:ascii="Arial" w:hAnsi="Arial" w:cs="Arial"/>
          <w:color w:val="auto"/>
        </w:rPr>
      </w:pPr>
      <w:r w:rsidRPr="000C3A94">
        <w:rPr>
          <w:rFonts w:ascii="Arial" w:hAnsi="Arial" w:cs="Arial"/>
          <w:color w:val="auto"/>
        </w:rPr>
        <w:t xml:space="preserve">Объем фондового риска для деятельности Банка признается не способным оказать влияния на показатели деятельности, финансовую устойчивость (в том числе и с точки зрения рисков концентрации). </w:t>
      </w:r>
    </w:p>
    <w:p w:rsidR="003D5AC4" w:rsidRPr="000C3A94" w:rsidRDefault="003D5AC4" w:rsidP="003D5AC4">
      <w:pPr>
        <w:pStyle w:val="HTML"/>
        <w:jc w:val="both"/>
        <w:rPr>
          <w:rFonts w:ascii="Arial" w:hAnsi="Arial" w:cs="Arial"/>
          <w:color w:val="auto"/>
        </w:rPr>
      </w:pPr>
      <w:r w:rsidRPr="000C3A94">
        <w:rPr>
          <w:rFonts w:ascii="Arial" w:hAnsi="Arial" w:cs="Arial"/>
          <w:color w:val="auto"/>
        </w:rPr>
        <w:t>Оценка фондового риска по акциям и аналогичным балансовым активам в случае существенности портфеля данных бумаг производится в разрезе инструментов с использованием методики VaR, позволяющей оценить ожидаемые (наиболее вероятные) и неожидаемые (допустимые с определенной степенью достоверности) стоимости инструментов на окончание прогнозируемого периода и, соответственно, убытки вследствие реализации фондового риска.</w:t>
      </w:r>
    </w:p>
    <w:p w:rsidR="003D5AC4" w:rsidRPr="000C3A94" w:rsidRDefault="003D5AC4" w:rsidP="003D5AC4">
      <w:pPr>
        <w:pStyle w:val="HTML"/>
        <w:jc w:val="both"/>
        <w:rPr>
          <w:rFonts w:ascii="Arial" w:hAnsi="Arial" w:cs="Arial"/>
          <w:color w:val="auto"/>
        </w:rPr>
      </w:pPr>
      <w:r w:rsidRPr="000C3A94">
        <w:rPr>
          <w:rFonts w:ascii="Arial" w:hAnsi="Arial" w:cs="Arial"/>
          <w:color w:val="auto"/>
        </w:rPr>
        <w:t xml:space="preserve"> </w:t>
      </w: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Оценка чувствительности к валютному риску</w:t>
      </w:r>
    </w:p>
    <w:p w:rsidR="003D5AC4" w:rsidRPr="00F61380" w:rsidRDefault="003D5AC4" w:rsidP="003D5AC4">
      <w:pPr>
        <w:pStyle w:val="HTML"/>
        <w:jc w:val="both"/>
        <w:rPr>
          <w:rFonts w:ascii="Arial" w:hAnsi="Arial" w:cs="Arial"/>
          <w:color w:val="auto"/>
        </w:rPr>
      </w:pPr>
      <w:r w:rsidRPr="00F61380">
        <w:rPr>
          <w:rFonts w:ascii="Arial" w:hAnsi="Arial" w:cs="Arial"/>
          <w:color w:val="auto"/>
        </w:rPr>
        <w:t xml:space="preserve">За 31.12.2018 года Банк осуществляет операции со следующими видами иностранных валют: евро (EUR), доллары США (USD), фунты стерлингов (GBP), швейцарские франки (CHF), китайские юани (CNY). </w:t>
      </w:r>
    </w:p>
    <w:p w:rsidR="003D5AC4" w:rsidRPr="00F61380" w:rsidRDefault="003D5AC4" w:rsidP="003D5AC4">
      <w:pPr>
        <w:pStyle w:val="HTML"/>
        <w:jc w:val="both"/>
        <w:rPr>
          <w:rFonts w:ascii="Arial" w:hAnsi="Arial" w:cs="Arial"/>
          <w:color w:val="auto"/>
        </w:rPr>
      </w:pPr>
      <w:r w:rsidRPr="00F61380">
        <w:rPr>
          <w:rFonts w:ascii="Arial" w:hAnsi="Arial" w:cs="Arial"/>
          <w:color w:val="auto"/>
        </w:rPr>
        <w:t xml:space="preserve">Открытая валютная позиция создает для Банка риск потерь в результате изменения курса иностранной валюты к национальной. Поэтому Банк определяет и контролирует ежедневное значение валютной позиции, соблюдая установленные лимит открытой валютной позиции (количественное ограничение соотношений открытых позиций в отдельных валютах, установленное ЦБ РФ). Детальная информация о структуре позиции приведена на диаграмме. </w:t>
      </w:r>
    </w:p>
    <w:p w:rsidR="003D5AC4" w:rsidRPr="00F61380" w:rsidRDefault="003D5AC4" w:rsidP="003D5AC4">
      <w:pPr>
        <w:pStyle w:val="HTML"/>
        <w:jc w:val="center"/>
        <w:rPr>
          <w:rFonts w:ascii="Arial" w:hAnsi="Arial" w:cs="Arial"/>
          <w:color w:val="auto"/>
        </w:rPr>
      </w:pPr>
    </w:p>
    <w:p w:rsidR="003D5AC4" w:rsidRPr="00F61380" w:rsidRDefault="003D5AC4" w:rsidP="003D5AC4">
      <w:pPr>
        <w:pStyle w:val="HTML"/>
        <w:jc w:val="center"/>
        <w:rPr>
          <w:rFonts w:ascii="Arial" w:hAnsi="Arial" w:cs="Arial"/>
          <w:color w:val="auto"/>
        </w:rPr>
      </w:pPr>
      <w:r w:rsidRPr="00F61380">
        <w:rPr>
          <w:rFonts w:ascii="Arial" w:hAnsi="Arial" w:cs="Arial"/>
          <w:noProof/>
          <w:color w:val="auto"/>
        </w:rPr>
        <w:drawing>
          <wp:inline distT="0" distB="0" distL="0" distR="0" wp14:anchorId="0956DF1D" wp14:editId="64BA11DB">
            <wp:extent cx="4545385" cy="23241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0593" cy="2326763"/>
                    </a:xfrm>
                    <a:prstGeom prst="rect">
                      <a:avLst/>
                    </a:prstGeom>
                    <a:noFill/>
                  </pic:spPr>
                </pic:pic>
              </a:graphicData>
            </a:graphic>
          </wp:inline>
        </w:drawing>
      </w:r>
    </w:p>
    <w:p w:rsidR="003D5AC4" w:rsidRPr="00F61380" w:rsidRDefault="003D5AC4" w:rsidP="003D5AC4">
      <w:pPr>
        <w:pStyle w:val="HTML"/>
        <w:jc w:val="center"/>
        <w:rPr>
          <w:rFonts w:ascii="Arial" w:hAnsi="Arial" w:cs="Arial"/>
          <w:color w:val="auto"/>
        </w:rPr>
      </w:pPr>
    </w:p>
    <w:p w:rsidR="003D5AC4" w:rsidRPr="00F61380" w:rsidRDefault="003D5AC4" w:rsidP="003D5AC4">
      <w:pPr>
        <w:jc w:val="both"/>
        <w:rPr>
          <w:sz w:val="20"/>
          <w:szCs w:val="20"/>
          <w:lang w:val="ru-RU"/>
        </w:rPr>
      </w:pPr>
      <w:r w:rsidRPr="00F61380">
        <w:rPr>
          <w:sz w:val="20"/>
          <w:szCs w:val="20"/>
          <w:lang w:val="ru-RU"/>
        </w:rPr>
        <w:t xml:space="preserve">В целях оценки потенциального воздействия на финансовое состояние Банка фактора реализации валютных рисков используется волатильность курсов иностранных валют в течение проанализированных периодов (кризисных). С учетом знака открытых валютных позиций в разрезе иностранных валют итоговый сценарий предполагает укрепление рубля относительно доллара США на 28,69%, относительно евро – на 32,85% (историческое минимальное квартальное </w:t>
      </w:r>
      <w:r w:rsidRPr="00F61380">
        <w:rPr>
          <w:sz w:val="20"/>
          <w:szCs w:val="20"/>
          <w:lang w:val="ru-RU"/>
        </w:rPr>
        <w:lastRenderedPageBreak/>
        <w:t xml:space="preserve">снижение курсов доллара США и евро в ходе валютного кризиса России 2014 – 2015 годов). Для прочих валют, в отношении которых имеются открытые валютные позиции, используется базовый сценарий укрепления / обесценения рубля (на 20%). </w:t>
      </w:r>
    </w:p>
    <w:p w:rsidR="003D5AC4" w:rsidRPr="00C60D0A" w:rsidRDefault="003D5AC4" w:rsidP="003D5AC4">
      <w:pPr>
        <w:jc w:val="both"/>
        <w:rPr>
          <w:sz w:val="20"/>
          <w:szCs w:val="20"/>
          <w:highlight w:val="yellow"/>
          <w:lang w:val="ru-RU"/>
        </w:rPr>
      </w:pPr>
    </w:p>
    <w:p w:rsidR="003D5AC4" w:rsidRPr="00104B82" w:rsidRDefault="003D5AC4" w:rsidP="003D5AC4">
      <w:pPr>
        <w:jc w:val="both"/>
        <w:rPr>
          <w:b/>
          <w:sz w:val="20"/>
          <w:szCs w:val="20"/>
          <w:lang w:val="ru-RU"/>
        </w:rPr>
      </w:pPr>
      <w:r w:rsidRPr="00104B82">
        <w:rPr>
          <w:b/>
          <w:sz w:val="20"/>
          <w:szCs w:val="20"/>
          <w:lang w:val="ru-RU"/>
        </w:rPr>
        <w:t>Влияние на финансовый результат Банка в рамках ОВП за 31.12.2018 года</w:t>
      </w:r>
    </w:p>
    <w:tbl>
      <w:tblPr>
        <w:tblW w:w="8931" w:type="dxa"/>
        <w:tblInd w:w="108" w:type="dxa"/>
        <w:tblLook w:val="04A0" w:firstRow="1" w:lastRow="0" w:firstColumn="1" w:lastColumn="0" w:noHBand="0" w:noVBand="1"/>
      </w:tblPr>
      <w:tblGrid>
        <w:gridCol w:w="1843"/>
        <w:gridCol w:w="2410"/>
        <w:gridCol w:w="2268"/>
        <w:gridCol w:w="2410"/>
      </w:tblGrid>
      <w:tr w:rsidR="003D5AC4" w:rsidRPr="006C0DB6" w:rsidTr="00B53D00">
        <w:trPr>
          <w:trHeight w:val="368"/>
          <w:tblHeader/>
        </w:trPr>
        <w:tc>
          <w:tcPr>
            <w:tcW w:w="1843" w:type="dxa"/>
            <w:tcBorders>
              <w:top w:val="single" w:sz="4" w:space="0" w:color="auto"/>
              <w:left w:val="nil"/>
              <w:bottom w:val="single" w:sz="8" w:space="0" w:color="auto"/>
              <w:right w:val="nil"/>
            </w:tcBorders>
            <w:shd w:val="clear" w:color="auto" w:fill="auto"/>
            <w:noWrap/>
            <w:vAlign w:val="bottom"/>
            <w:hideMark/>
          </w:tcPr>
          <w:p w:rsidR="003D5AC4" w:rsidRPr="00104B82" w:rsidRDefault="003D5AC4" w:rsidP="00B53D00">
            <w:pPr>
              <w:overflowPunct/>
              <w:autoSpaceDE/>
              <w:autoSpaceDN/>
              <w:adjustRightInd/>
              <w:textAlignment w:val="auto"/>
              <w:rPr>
                <w:rFonts w:cs="Arial"/>
                <w:b/>
                <w:bCs/>
                <w:szCs w:val="18"/>
                <w:lang w:val="ru-RU" w:eastAsia="ru-RU"/>
              </w:rPr>
            </w:pPr>
            <w:r w:rsidRPr="00104B82">
              <w:rPr>
                <w:sz w:val="20"/>
                <w:szCs w:val="20"/>
                <w:lang w:val="ru-RU"/>
              </w:rPr>
              <w:t xml:space="preserve"> </w:t>
            </w:r>
          </w:p>
          <w:p w:rsidR="003D5AC4" w:rsidRPr="00104B82" w:rsidRDefault="003D5AC4" w:rsidP="00B53D00">
            <w:pPr>
              <w:overflowPunct/>
              <w:autoSpaceDE/>
              <w:autoSpaceDN/>
              <w:adjustRightInd/>
              <w:jc w:val="center"/>
              <w:textAlignment w:val="auto"/>
              <w:rPr>
                <w:rFonts w:cs="Arial"/>
                <w:b/>
                <w:bCs/>
                <w:szCs w:val="18"/>
                <w:lang w:val="ru-RU" w:eastAsia="ru-RU"/>
              </w:rPr>
            </w:pPr>
            <w:r w:rsidRPr="00104B82">
              <w:rPr>
                <w:rFonts w:cs="Arial"/>
                <w:b/>
                <w:bCs/>
                <w:szCs w:val="18"/>
                <w:lang w:val="ru-RU" w:eastAsia="ru-RU"/>
              </w:rPr>
              <w:t>Валюта</w:t>
            </w:r>
          </w:p>
        </w:tc>
        <w:tc>
          <w:tcPr>
            <w:tcW w:w="2410" w:type="dxa"/>
            <w:tcBorders>
              <w:top w:val="single" w:sz="4" w:space="0" w:color="auto"/>
              <w:left w:val="nil"/>
              <w:bottom w:val="single" w:sz="8" w:space="0" w:color="auto"/>
              <w:right w:val="nil"/>
            </w:tcBorders>
            <w:vAlign w:val="bottom"/>
          </w:tcPr>
          <w:p w:rsidR="003D5AC4" w:rsidRPr="00104B82" w:rsidRDefault="003D5AC4" w:rsidP="00B53D00">
            <w:pPr>
              <w:overflowPunct/>
              <w:autoSpaceDE/>
              <w:autoSpaceDN/>
              <w:adjustRightInd/>
              <w:jc w:val="center"/>
              <w:textAlignment w:val="auto"/>
              <w:rPr>
                <w:rFonts w:cs="Arial"/>
                <w:b/>
                <w:bCs/>
                <w:szCs w:val="18"/>
                <w:lang w:val="ru-RU" w:eastAsia="ru-RU"/>
              </w:rPr>
            </w:pPr>
            <w:r w:rsidRPr="00104B82">
              <w:rPr>
                <w:rFonts w:cs="Arial"/>
                <w:b/>
                <w:bCs/>
                <w:szCs w:val="18"/>
                <w:lang w:val="ru-RU" w:eastAsia="ru-RU"/>
              </w:rPr>
              <w:t>Размер открытой валютной позиции, тыс. ед.</w:t>
            </w:r>
          </w:p>
        </w:tc>
        <w:tc>
          <w:tcPr>
            <w:tcW w:w="2268" w:type="dxa"/>
            <w:tcBorders>
              <w:top w:val="single" w:sz="4" w:space="0" w:color="auto"/>
              <w:left w:val="nil"/>
              <w:bottom w:val="single" w:sz="8" w:space="0" w:color="auto"/>
              <w:right w:val="nil"/>
            </w:tcBorders>
            <w:shd w:val="clear" w:color="auto" w:fill="auto"/>
            <w:noWrap/>
            <w:vAlign w:val="bottom"/>
            <w:hideMark/>
          </w:tcPr>
          <w:p w:rsidR="003D5AC4" w:rsidRPr="00104B82" w:rsidRDefault="003D5AC4" w:rsidP="00B53D00">
            <w:pPr>
              <w:overflowPunct/>
              <w:autoSpaceDE/>
              <w:autoSpaceDN/>
              <w:adjustRightInd/>
              <w:jc w:val="center"/>
              <w:textAlignment w:val="auto"/>
              <w:rPr>
                <w:rFonts w:cs="Arial"/>
                <w:b/>
                <w:bCs/>
                <w:szCs w:val="18"/>
                <w:lang w:val="ru-RU" w:eastAsia="ru-RU"/>
              </w:rPr>
            </w:pPr>
            <w:r w:rsidRPr="00104B82">
              <w:rPr>
                <w:rFonts w:cs="Arial"/>
                <w:b/>
                <w:bCs/>
                <w:szCs w:val="18"/>
                <w:lang w:val="ru-RU" w:eastAsia="ru-RU"/>
              </w:rPr>
              <w:t>Изменение курса в рамках сценария</w:t>
            </w:r>
          </w:p>
        </w:tc>
        <w:tc>
          <w:tcPr>
            <w:tcW w:w="2410" w:type="dxa"/>
            <w:tcBorders>
              <w:top w:val="single" w:sz="4" w:space="0" w:color="auto"/>
              <w:left w:val="nil"/>
              <w:bottom w:val="single" w:sz="8" w:space="0" w:color="auto"/>
              <w:right w:val="nil"/>
            </w:tcBorders>
          </w:tcPr>
          <w:p w:rsidR="003D5AC4" w:rsidRPr="00104B82" w:rsidRDefault="003D5AC4" w:rsidP="00B53D00">
            <w:pPr>
              <w:overflowPunct/>
              <w:autoSpaceDE/>
              <w:autoSpaceDN/>
              <w:adjustRightInd/>
              <w:jc w:val="center"/>
              <w:textAlignment w:val="auto"/>
              <w:rPr>
                <w:rFonts w:cs="Arial"/>
                <w:b/>
                <w:bCs/>
                <w:szCs w:val="18"/>
                <w:lang w:val="ru-RU" w:eastAsia="ru-RU"/>
              </w:rPr>
            </w:pPr>
          </w:p>
          <w:p w:rsidR="003D5AC4" w:rsidRPr="00104B82" w:rsidRDefault="003D5AC4" w:rsidP="00B53D00">
            <w:pPr>
              <w:overflowPunct/>
              <w:autoSpaceDE/>
              <w:autoSpaceDN/>
              <w:adjustRightInd/>
              <w:jc w:val="center"/>
              <w:textAlignment w:val="auto"/>
              <w:rPr>
                <w:rFonts w:cs="Arial"/>
                <w:b/>
                <w:bCs/>
                <w:szCs w:val="18"/>
                <w:lang w:val="ru-RU" w:eastAsia="ru-RU"/>
              </w:rPr>
            </w:pPr>
            <w:r w:rsidRPr="00104B82">
              <w:rPr>
                <w:rFonts w:cs="Arial"/>
                <w:b/>
                <w:bCs/>
                <w:szCs w:val="18"/>
                <w:lang w:val="ru-RU" w:eastAsia="ru-RU"/>
              </w:rPr>
              <w:t>Влияние переоценки на финансовый результат, тыс. руб.</w:t>
            </w:r>
          </w:p>
        </w:tc>
      </w:tr>
      <w:tr w:rsidR="003D5AC4" w:rsidRPr="00104B82" w:rsidTr="00B53D00">
        <w:trPr>
          <w:trHeight w:val="368"/>
        </w:trPr>
        <w:tc>
          <w:tcPr>
            <w:tcW w:w="1843" w:type="dxa"/>
            <w:tcBorders>
              <w:top w:val="nil"/>
              <w:left w:val="nil"/>
              <w:bottom w:val="nil"/>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en-US" w:eastAsia="ru-RU"/>
              </w:rPr>
            </w:pPr>
            <w:r w:rsidRPr="00104B82">
              <w:rPr>
                <w:rFonts w:cs="Arial"/>
                <w:szCs w:val="18"/>
                <w:lang w:val="en-US" w:eastAsia="ru-RU"/>
              </w:rPr>
              <w:t>USD</w:t>
            </w:r>
          </w:p>
        </w:tc>
        <w:tc>
          <w:tcPr>
            <w:tcW w:w="2410" w:type="dxa"/>
            <w:tcBorders>
              <w:top w:val="nil"/>
              <w:left w:val="nil"/>
              <w:bottom w:val="nil"/>
              <w:right w:val="nil"/>
            </w:tcBorders>
            <w:vAlign w:val="bottom"/>
          </w:tcPr>
          <w:p w:rsidR="003D5AC4" w:rsidRPr="00104B82" w:rsidRDefault="003D5AC4" w:rsidP="00B53D00">
            <w:pPr>
              <w:overflowPunct/>
              <w:autoSpaceDE/>
              <w:autoSpaceDN/>
              <w:adjustRightInd/>
              <w:jc w:val="center"/>
              <w:textAlignment w:val="auto"/>
              <w:rPr>
                <w:rFonts w:cs="Arial"/>
                <w:szCs w:val="18"/>
                <w:lang w:val="en-US" w:eastAsia="ru-RU"/>
              </w:rPr>
            </w:pPr>
            <w:r w:rsidRPr="00104B82">
              <w:rPr>
                <w:rFonts w:cs="Arial"/>
                <w:szCs w:val="18"/>
                <w:lang w:val="en-US" w:eastAsia="ru-RU"/>
              </w:rPr>
              <w:t>55,9</w:t>
            </w:r>
          </w:p>
        </w:tc>
        <w:tc>
          <w:tcPr>
            <w:tcW w:w="2268" w:type="dxa"/>
            <w:tcBorders>
              <w:top w:val="nil"/>
              <w:left w:val="nil"/>
              <w:bottom w:val="nil"/>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en-US" w:eastAsia="ru-RU"/>
              </w:rPr>
            </w:pPr>
            <w:r w:rsidRPr="00104B82">
              <w:rPr>
                <w:rFonts w:cs="Arial"/>
                <w:szCs w:val="18"/>
                <w:lang w:val="ru-RU" w:eastAsia="ru-RU"/>
              </w:rPr>
              <w:t>-28,6</w:t>
            </w:r>
            <w:r w:rsidRPr="00104B82">
              <w:rPr>
                <w:rFonts w:cs="Arial"/>
                <w:szCs w:val="18"/>
                <w:lang w:val="en-US" w:eastAsia="ru-RU"/>
              </w:rPr>
              <w:t>9%</w:t>
            </w:r>
          </w:p>
        </w:tc>
        <w:tc>
          <w:tcPr>
            <w:tcW w:w="2410" w:type="dxa"/>
            <w:tcBorders>
              <w:top w:val="nil"/>
              <w:left w:val="nil"/>
              <w:bottom w:val="nil"/>
              <w:right w:val="nil"/>
            </w:tcBorders>
          </w:tcPr>
          <w:p w:rsidR="003D5AC4" w:rsidRPr="00104B82" w:rsidRDefault="003D5AC4" w:rsidP="00B53D00">
            <w:pPr>
              <w:overflowPunct/>
              <w:autoSpaceDE/>
              <w:autoSpaceDN/>
              <w:adjustRightInd/>
              <w:jc w:val="center"/>
              <w:textAlignment w:val="auto"/>
              <w:rPr>
                <w:rFonts w:cs="Arial"/>
                <w:szCs w:val="18"/>
                <w:lang w:val="ru-RU" w:eastAsia="ru-RU"/>
              </w:rPr>
            </w:pPr>
          </w:p>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- 1 114</w:t>
            </w:r>
          </w:p>
        </w:tc>
      </w:tr>
      <w:tr w:rsidR="003D5AC4" w:rsidRPr="00104B82" w:rsidTr="00B53D00">
        <w:trPr>
          <w:trHeight w:val="135"/>
        </w:trPr>
        <w:tc>
          <w:tcPr>
            <w:tcW w:w="1843" w:type="dxa"/>
            <w:tcBorders>
              <w:top w:val="nil"/>
              <w:left w:val="nil"/>
              <w:bottom w:val="nil"/>
              <w:right w:val="nil"/>
            </w:tcBorders>
            <w:shd w:val="clear" w:color="auto" w:fill="auto"/>
            <w:noWrap/>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en-US" w:eastAsia="ru-RU"/>
              </w:rPr>
              <w:t>EUR</w:t>
            </w:r>
          </w:p>
        </w:tc>
        <w:tc>
          <w:tcPr>
            <w:tcW w:w="2410" w:type="dxa"/>
            <w:tcBorders>
              <w:top w:val="nil"/>
              <w:left w:val="nil"/>
              <w:bottom w:val="nil"/>
              <w:right w:val="nil"/>
            </w:tcBorders>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50,2</w:t>
            </w:r>
          </w:p>
        </w:tc>
        <w:tc>
          <w:tcPr>
            <w:tcW w:w="2268" w:type="dxa"/>
            <w:tcBorders>
              <w:top w:val="nil"/>
              <w:left w:val="nil"/>
              <w:bottom w:val="nil"/>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-32,85%</w:t>
            </w:r>
          </w:p>
        </w:tc>
        <w:tc>
          <w:tcPr>
            <w:tcW w:w="2410" w:type="dxa"/>
            <w:tcBorders>
              <w:top w:val="nil"/>
              <w:left w:val="nil"/>
              <w:bottom w:val="nil"/>
              <w:right w:val="nil"/>
            </w:tcBorders>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- 1 311</w:t>
            </w:r>
          </w:p>
        </w:tc>
      </w:tr>
      <w:tr w:rsidR="003D5AC4" w:rsidRPr="00104B82" w:rsidTr="00B53D00">
        <w:trPr>
          <w:trHeight w:val="198"/>
        </w:trPr>
        <w:tc>
          <w:tcPr>
            <w:tcW w:w="1843" w:type="dxa"/>
            <w:tcBorders>
              <w:top w:val="nil"/>
              <w:left w:val="nil"/>
              <w:bottom w:val="nil"/>
              <w:right w:val="nil"/>
            </w:tcBorders>
            <w:shd w:val="clear" w:color="auto" w:fill="auto"/>
            <w:noWrap/>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en-US" w:eastAsia="ru-RU"/>
              </w:rPr>
              <w:t>GPB</w:t>
            </w:r>
          </w:p>
        </w:tc>
        <w:tc>
          <w:tcPr>
            <w:tcW w:w="2410" w:type="dxa"/>
            <w:tcBorders>
              <w:top w:val="nil"/>
              <w:left w:val="nil"/>
              <w:bottom w:val="nil"/>
              <w:right w:val="nil"/>
            </w:tcBorders>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xml:space="preserve">71,4 </w:t>
            </w:r>
          </w:p>
        </w:tc>
        <w:tc>
          <w:tcPr>
            <w:tcW w:w="2268" w:type="dxa"/>
            <w:tcBorders>
              <w:top w:val="nil"/>
              <w:left w:val="nil"/>
              <w:bottom w:val="nil"/>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-20,00%</w:t>
            </w:r>
          </w:p>
        </w:tc>
        <w:tc>
          <w:tcPr>
            <w:tcW w:w="2410" w:type="dxa"/>
            <w:tcBorders>
              <w:top w:val="nil"/>
              <w:left w:val="nil"/>
              <w:bottom w:val="nil"/>
              <w:right w:val="nil"/>
            </w:tcBorders>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- 1 260</w:t>
            </w:r>
          </w:p>
        </w:tc>
      </w:tr>
      <w:tr w:rsidR="003D5AC4" w:rsidRPr="00104B82" w:rsidTr="00B53D00">
        <w:trPr>
          <w:trHeight w:val="163"/>
        </w:trPr>
        <w:tc>
          <w:tcPr>
            <w:tcW w:w="1843" w:type="dxa"/>
            <w:tcBorders>
              <w:top w:val="nil"/>
              <w:left w:val="nil"/>
              <w:bottom w:val="nil"/>
              <w:right w:val="nil"/>
            </w:tcBorders>
            <w:shd w:val="clear" w:color="auto" w:fill="auto"/>
            <w:noWrap/>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en-US" w:eastAsia="ru-RU"/>
              </w:rPr>
              <w:t>CHF</w:t>
            </w:r>
          </w:p>
        </w:tc>
        <w:tc>
          <w:tcPr>
            <w:tcW w:w="2410" w:type="dxa"/>
            <w:tcBorders>
              <w:top w:val="nil"/>
              <w:left w:val="nil"/>
              <w:bottom w:val="nil"/>
              <w:right w:val="nil"/>
            </w:tcBorders>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20,2</w:t>
            </w:r>
          </w:p>
        </w:tc>
        <w:tc>
          <w:tcPr>
            <w:tcW w:w="2268" w:type="dxa"/>
            <w:tcBorders>
              <w:top w:val="nil"/>
              <w:left w:val="nil"/>
              <w:bottom w:val="nil"/>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-20,00%</w:t>
            </w:r>
          </w:p>
        </w:tc>
        <w:tc>
          <w:tcPr>
            <w:tcW w:w="2410" w:type="dxa"/>
            <w:tcBorders>
              <w:top w:val="nil"/>
              <w:left w:val="nil"/>
              <w:bottom w:val="nil"/>
              <w:right w:val="nil"/>
            </w:tcBorders>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- 285</w:t>
            </w:r>
          </w:p>
        </w:tc>
      </w:tr>
      <w:tr w:rsidR="003D5AC4" w:rsidRPr="000C3A94" w:rsidTr="00B53D00">
        <w:trPr>
          <w:trHeight w:val="130"/>
        </w:trPr>
        <w:tc>
          <w:tcPr>
            <w:tcW w:w="1843" w:type="dxa"/>
            <w:tcBorders>
              <w:top w:val="nil"/>
              <w:left w:val="nil"/>
              <w:bottom w:val="double" w:sz="4" w:space="0" w:color="auto"/>
              <w:right w:val="nil"/>
            </w:tcBorders>
            <w:shd w:val="clear" w:color="auto" w:fill="auto"/>
            <w:noWrap/>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en-US" w:eastAsia="ru-RU"/>
              </w:rPr>
              <w:t>CNY</w:t>
            </w:r>
          </w:p>
        </w:tc>
        <w:tc>
          <w:tcPr>
            <w:tcW w:w="2410" w:type="dxa"/>
            <w:tcBorders>
              <w:top w:val="nil"/>
              <w:left w:val="nil"/>
              <w:bottom w:val="double" w:sz="4" w:space="0" w:color="auto"/>
              <w:right w:val="nil"/>
            </w:tcBorders>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0,9</w:t>
            </w:r>
          </w:p>
        </w:tc>
        <w:tc>
          <w:tcPr>
            <w:tcW w:w="2268" w:type="dxa"/>
            <w:tcBorders>
              <w:top w:val="nil"/>
              <w:left w:val="nil"/>
              <w:bottom w:val="double" w:sz="4" w:space="0" w:color="auto"/>
              <w:right w:val="nil"/>
            </w:tcBorders>
            <w:shd w:val="clear" w:color="auto" w:fill="auto"/>
            <w:vAlign w:val="bottom"/>
          </w:tcPr>
          <w:p w:rsidR="003D5AC4" w:rsidRPr="00104B82"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-20,00%</w:t>
            </w:r>
          </w:p>
        </w:tc>
        <w:tc>
          <w:tcPr>
            <w:tcW w:w="2410" w:type="dxa"/>
            <w:tcBorders>
              <w:top w:val="nil"/>
              <w:left w:val="nil"/>
              <w:bottom w:val="double" w:sz="4" w:space="0" w:color="auto"/>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r w:rsidRPr="00104B82">
              <w:rPr>
                <w:rFonts w:cs="Arial"/>
                <w:szCs w:val="18"/>
                <w:lang w:val="ru-RU" w:eastAsia="ru-RU"/>
              </w:rPr>
              <w:t>- 2</w:t>
            </w:r>
          </w:p>
        </w:tc>
      </w:tr>
    </w:tbl>
    <w:p w:rsidR="003D5AC4" w:rsidRPr="000C3A94" w:rsidRDefault="003D5AC4" w:rsidP="003D5AC4">
      <w:pPr>
        <w:ind w:firstLine="567"/>
        <w:jc w:val="both"/>
        <w:rPr>
          <w:sz w:val="20"/>
          <w:szCs w:val="20"/>
          <w:lang w:val="ru-RU"/>
        </w:rPr>
      </w:pPr>
    </w:p>
    <w:p w:rsidR="003D5AC4" w:rsidRPr="000C3A94" w:rsidRDefault="003D5AC4" w:rsidP="003D5AC4">
      <w:pPr>
        <w:jc w:val="both"/>
        <w:rPr>
          <w:b/>
          <w:sz w:val="20"/>
          <w:szCs w:val="20"/>
          <w:lang w:val="ru-RU"/>
        </w:rPr>
      </w:pPr>
      <w:r w:rsidRPr="000C3A94">
        <w:rPr>
          <w:b/>
          <w:sz w:val="20"/>
          <w:szCs w:val="20"/>
          <w:lang w:val="ru-RU"/>
        </w:rPr>
        <w:t>Влияние на финансовый результат Банка в рамках ОВП за 31.12.2017 года</w:t>
      </w:r>
    </w:p>
    <w:tbl>
      <w:tblPr>
        <w:tblW w:w="8931" w:type="dxa"/>
        <w:tblInd w:w="108" w:type="dxa"/>
        <w:tblLook w:val="04A0" w:firstRow="1" w:lastRow="0" w:firstColumn="1" w:lastColumn="0" w:noHBand="0" w:noVBand="1"/>
      </w:tblPr>
      <w:tblGrid>
        <w:gridCol w:w="1843"/>
        <w:gridCol w:w="2410"/>
        <w:gridCol w:w="2268"/>
        <w:gridCol w:w="2410"/>
      </w:tblGrid>
      <w:tr w:rsidR="003D5AC4" w:rsidRPr="006C0DB6" w:rsidTr="00B53D00">
        <w:trPr>
          <w:trHeight w:val="368"/>
          <w:tblHeader/>
        </w:trPr>
        <w:tc>
          <w:tcPr>
            <w:tcW w:w="1843"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textAlignment w:val="auto"/>
              <w:rPr>
                <w:rFonts w:cs="Arial"/>
                <w:b/>
                <w:bCs/>
                <w:szCs w:val="18"/>
                <w:lang w:val="ru-RU" w:eastAsia="ru-RU"/>
              </w:rPr>
            </w:pPr>
            <w:r w:rsidRPr="000C3A94">
              <w:rPr>
                <w:sz w:val="20"/>
                <w:szCs w:val="20"/>
                <w:lang w:val="ru-RU"/>
              </w:rPr>
              <w:t xml:space="preserve"> </w:t>
            </w: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Валюта</w:t>
            </w:r>
          </w:p>
        </w:tc>
        <w:tc>
          <w:tcPr>
            <w:tcW w:w="2410" w:type="dxa"/>
            <w:tcBorders>
              <w:top w:val="single" w:sz="4" w:space="0" w:color="auto"/>
              <w:left w:val="nil"/>
              <w:bottom w:val="single" w:sz="8" w:space="0" w:color="auto"/>
              <w:right w:val="nil"/>
            </w:tcBorders>
            <w:vAlign w:val="bottom"/>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Размер открытой валютной позиции, тыс. ед.</w:t>
            </w:r>
          </w:p>
        </w:tc>
        <w:tc>
          <w:tcPr>
            <w:tcW w:w="2268" w:type="dxa"/>
            <w:tcBorders>
              <w:top w:val="single" w:sz="4" w:space="0" w:color="auto"/>
              <w:left w:val="nil"/>
              <w:bottom w:val="single" w:sz="8" w:space="0" w:color="auto"/>
              <w:right w:val="nil"/>
            </w:tcBorders>
            <w:shd w:val="clear" w:color="auto" w:fill="auto"/>
            <w:noWrap/>
            <w:vAlign w:val="bottom"/>
            <w:hideMark/>
          </w:tcPr>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Изменение курса в рамках сценария</w:t>
            </w:r>
          </w:p>
        </w:tc>
        <w:tc>
          <w:tcPr>
            <w:tcW w:w="2410" w:type="dxa"/>
            <w:tcBorders>
              <w:top w:val="single" w:sz="4" w:space="0" w:color="auto"/>
              <w:left w:val="nil"/>
              <w:bottom w:val="single" w:sz="8" w:space="0" w:color="auto"/>
              <w:right w:val="nil"/>
            </w:tcBorders>
          </w:tcPr>
          <w:p w:rsidR="003D5AC4" w:rsidRPr="000C3A94" w:rsidRDefault="003D5AC4" w:rsidP="00B53D00">
            <w:pPr>
              <w:overflowPunct/>
              <w:autoSpaceDE/>
              <w:autoSpaceDN/>
              <w:adjustRightInd/>
              <w:jc w:val="center"/>
              <w:textAlignment w:val="auto"/>
              <w:rPr>
                <w:rFonts w:cs="Arial"/>
                <w:b/>
                <w:bCs/>
                <w:szCs w:val="18"/>
                <w:lang w:val="ru-RU" w:eastAsia="ru-RU"/>
              </w:rPr>
            </w:pPr>
          </w:p>
          <w:p w:rsidR="003D5AC4" w:rsidRPr="000C3A94" w:rsidRDefault="003D5AC4" w:rsidP="00B53D00">
            <w:pPr>
              <w:overflowPunct/>
              <w:autoSpaceDE/>
              <w:autoSpaceDN/>
              <w:adjustRightInd/>
              <w:jc w:val="center"/>
              <w:textAlignment w:val="auto"/>
              <w:rPr>
                <w:rFonts w:cs="Arial"/>
                <w:b/>
                <w:bCs/>
                <w:szCs w:val="18"/>
                <w:lang w:val="ru-RU" w:eastAsia="ru-RU"/>
              </w:rPr>
            </w:pPr>
            <w:r w:rsidRPr="000C3A94">
              <w:rPr>
                <w:rFonts w:cs="Arial"/>
                <w:b/>
                <w:bCs/>
                <w:szCs w:val="18"/>
                <w:lang w:val="ru-RU" w:eastAsia="ru-RU"/>
              </w:rPr>
              <w:t>Влияние переоценки на финансовый результат, тыс. руб.</w:t>
            </w:r>
          </w:p>
        </w:tc>
      </w:tr>
      <w:tr w:rsidR="003D5AC4" w:rsidRPr="000C3A94" w:rsidTr="00B53D00">
        <w:trPr>
          <w:trHeight w:val="368"/>
        </w:trPr>
        <w:tc>
          <w:tcPr>
            <w:tcW w:w="1843"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en-US" w:eastAsia="ru-RU"/>
              </w:rPr>
            </w:pPr>
            <w:r w:rsidRPr="000C3A94">
              <w:rPr>
                <w:rFonts w:cs="Arial"/>
                <w:szCs w:val="18"/>
                <w:lang w:val="en-US" w:eastAsia="ru-RU"/>
              </w:rPr>
              <w:t>USD</w:t>
            </w:r>
          </w:p>
        </w:tc>
        <w:tc>
          <w:tcPr>
            <w:tcW w:w="2410" w:type="dxa"/>
            <w:tcBorders>
              <w:top w:val="nil"/>
              <w:left w:val="nil"/>
              <w:bottom w:val="nil"/>
              <w:right w:val="nil"/>
            </w:tcBorders>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en-US" w:eastAsia="ru-RU"/>
              </w:rPr>
              <w:t>1</w:t>
            </w:r>
            <w:r w:rsidRPr="000C3A94">
              <w:rPr>
                <w:rFonts w:cs="Arial"/>
                <w:szCs w:val="18"/>
                <w:lang w:val="ru-RU" w:eastAsia="ru-RU"/>
              </w:rPr>
              <w:t xml:space="preserve"> 942</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en-US" w:eastAsia="ru-RU"/>
              </w:rPr>
            </w:pPr>
            <w:r w:rsidRPr="000C3A94">
              <w:rPr>
                <w:rFonts w:cs="Arial"/>
                <w:szCs w:val="18"/>
                <w:lang w:val="ru-RU" w:eastAsia="ru-RU"/>
              </w:rPr>
              <w:t>-28,6</w:t>
            </w:r>
            <w:r w:rsidRPr="000C3A94">
              <w:rPr>
                <w:rFonts w:cs="Arial"/>
                <w:szCs w:val="18"/>
                <w:lang w:val="en-US" w:eastAsia="ru-RU"/>
              </w:rPr>
              <w:t>9%</w:t>
            </w:r>
          </w:p>
        </w:tc>
        <w:tc>
          <w:tcPr>
            <w:tcW w:w="2410" w:type="dxa"/>
            <w:tcBorders>
              <w:top w:val="nil"/>
              <w:left w:val="nil"/>
              <w:bottom w:val="nil"/>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p>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- 32 088</w:t>
            </w:r>
          </w:p>
        </w:tc>
      </w:tr>
      <w:tr w:rsidR="003D5AC4" w:rsidRPr="000C3A94" w:rsidTr="00B53D00">
        <w:trPr>
          <w:trHeight w:val="135"/>
        </w:trPr>
        <w:tc>
          <w:tcPr>
            <w:tcW w:w="1843" w:type="dxa"/>
            <w:tcBorders>
              <w:top w:val="nil"/>
              <w:left w:val="nil"/>
              <w:bottom w:val="nil"/>
              <w:right w:val="nil"/>
            </w:tcBorders>
            <w:shd w:val="clear" w:color="auto" w:fill="auto"/>
            <w:noWrap/>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en-US" w:eastAsia="ru-RU"/>
              </w:rPr>
              <w:t>EUR</w:t>
            </w:r>
          </w:p>
        </w:tc>
        <w:tc>
          <w:tcPr>
            <w:tcW w:w="2410" w:type="dxa"/>
            <w:tcBorders>
              <w:top w:val="nil"/>
              <w:left w:val="nil"/>
              <w:bottom w:val="nil"/>
              <w:right w:val="nil"/>
            </w:tcBorders>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0</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-32,85%</w:t>
            </w:r>
          </w:p>
        </w:tc>
        <w:tc>
          <w:tcPr>
            <w:tcW w:w="2410" w:type="dxa"/>
            <w:tcBorders>
              <w:top w:val="nil"/>
              <w:left w:val="nil"/>
              <w:bottom w:val="nil"/>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9</w:t>
            </w:r>
          </w:p>
        </w:tc>
      </w:tr>
      <w:tr w:rsidR="003D5AC4" w:rsidRPr="000C3A94" w:rsidTr="00B53D00">
        <w:trPr>
          <w:trHeight w:val="198"/>
        </w:trPr>
        <w:tc>
          <w:tcPr>
            <w:tcW w:w="1843" w:type="dxa"/>
            <w:tcBorders>
              <w:top w:val="nil"/>
              <w:left w:val="nil"/>
              <w:bottom w:val="nil"/>
              <w:right w:val="nil"/>
            </w:tcBorders>
            <w:shd w:val="clear" w:color="auto" w:fill="auto"/>
            <w:noWrap/>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en-US" w:eastAsia="ru-RU"/>
              </w:rPr>
              <w:t>GPB</w:t>
            </w:r>
          </w:p>
        </w:tc>
        <w:tc>
          <w:tcPr>
            <w:tcW w:w="2410" w:type="dxa"/>
            <w:tcBorders>
              <w:top w:val="nil"/>
              <w:left w:val="nil"/>
              <w:bottom w:val="nil"/>
              <w:right w:val="nil"/>
            </w:tcBorders>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38</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-20,00%</w:t>
            </w:r>
          </w:p>
        </w:tc>
        <w:tc>
          <w:tcPr>
            <w:tcW w:w="2410" w:type="dxa"/>
            <w:tcBorders>
              <w:top w:val="nil"/>
              <w:left w:val="nil"/>
              <w:bottom w:val="nil"/>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- 588</w:t>
            </w:r>
          </w:p>
        </w:tc>
      </w:tr>
      <w:tr w:rsidR="003D5AC4" w:rsidRPr="000C3A94" w:rsidTr="00B53D00">
        <w:trPr>
          <w:trHeight w:val="163"/>
        </w:trPr>
        <w:tc>
          <w:tcPr>
            <w:tcW w:w="1843" w:type="dxa"/>
            <w:tcBorders>
              <w:top w:val="nil"/>
              <w:left w:val="nil"/>
              <w:bottom w:val="nil"/>
              <w:right w:val="nil"/>
            </w:tcBorders>
            <w:shd w:val="clear" w:color="auto" w:fill="auto"/>
            <w:noWrap/>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en-US" w:eastAsia="ru-RU"/>
              </w:rPr>
              <w:t>CHF</w:t>
            </w:r>
          </w:p>
        </w:tc>
        <w:tc>
          <w:tcPr>
            <w:tcW w:w="2410" w:type="dxa"/>
            <w:tcBorders>
              <w:top w:val="nil"/>
              <w:left w:val="nil"/>
              <w:bottom w:val="nil"/>
              <w:right w:val="nil"/>
            </w:tcBorders>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34</w:t>
            </w:r>
          </w:p>
        </w:tc>
        <w:tc>
          <w:tcPr>
            <w:tcW w:w="2268" w:type="dxa"/>
            <w:tcBorders>
              <w:top w:val="nil"/>
              <w:left w:val="nil"/>
              <w:bottom w:val="nil"/>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-20,00%</w:t>
            </w:r>
          </w:p>
        </w:tc>
        <w:tc>
          <w:tcPr>
            <w:tcW w:w="2410" w:type="dxa"/>
            <w:tcBorders>
              <w:top w:val="nil"/>
              <w:left w:val="nil"/>
              <w:bottom w:val="nil"/>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- 396</w:t>
            </w:r>
          </w:p>
        </w:tc>
      </w:tr>
      <w:tr w:rsidR="003D5AC4" w:rsidRPr="000C3A94" w:rsidTr="00B53D00">
        <w:trPr>
          <w:trHeight w:val="130"/>
        </w:trPr>
        <w:tc>
          <w:tcPr>
            <w:tcW w:w="1843" w:type="dxa"/>
            <w:tcBorders>
              <w:top w:val="nil"/>
              <w:left w:val="nil"/>
              <w:bottom w:val="double" w:sz="4" w:space="0" w:color="auto"/>
              <w:right w:val="nil"/>
            </w:tcBorders>
            <w:shd w:val="clear" w:color="auto" w:fill="auto"/>
            <w:noWrap/>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en-US" w:eastAsia="ru-RU"/>
              </w:rPr>
              <w:t>CNY</w:t>
            </w:r>
          </w:p>
        </w:tc>
        <w:tc>
          <w:tcPr>
            <w:tcW w:w="2410" w:type="dxa"/>
            <w:tcBorders>
              <w:top w:val="nil"/>
              <w:left w:val="nil"/>
              <w:bottom w:val="double" w:sz="4" w:space="0" w:color="auto"/>
              <w:right w:val="nil"/>
            </w:tcBorders>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0</w:t>
            </w:r>
          </w:p>
        </w:tc>
        <w:tc>
          <w:tcPr>
            <w:tcW w:w="2268" w:type="dxa"/>
            <w:tcBorders>
              <w:top w:val="nil"/>
              <w:left w:val="nil"/>
              <w:bottom w:val="double" w:sz="4" w:space="0" w:color="auto"/>
              <w:right w:val="nil"/>
            </w:tcBorders>
            <w:shd w:val="clear" w:color="auto" w:fill="auto"/>
            <w:vAlign w:val="bottom"/>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-20,00%</w:t>
            </w:r>
          </w:p>
        </w:tc>
        <w:tc>
          <w:tcPr>
            <w:tcW w:w="2410" w:type="dxa"/>
            <w:tcBorders>
              <w:top w:val="nil"/>
              <w:left w:val="nil"/>
              <w:bottom w:val="double" w:sz="4" w:space="0" w:color="auto"/>
              <w:right w:val="nil"/>
            </w:tcBorders>
          </w:tcPr>
          <w:p w:rsidR="003D5AC4" w:rsidRPr="000C3A94" w:rsidRDefault="003D5AC4" w:rsidP="00B53D00">
            <w:pPr>
              <w:overflowPunct/>
              <w:autoSpaceDE/>
              <w:autoSpaceDN/>
              <w:adjustRightInd/>
              <w:jc w:val="center"/>
              <w:textAlignment w:val="auto"/>
              <w:rPr>
                <w:rFonts w:cs="Arial"/>
                <w:szCs w:val="18"/>
                <w:lang w:val="ru-RU" w:eastAsia="ru-RU"/>
              </w:rPr>
            </w:pPr>
            <w:r w:rsidRPr="000C3A94">
              <w:rPr>
                <w:rFonts w:cs="Arial"/>
                <w:szCs w:val="18"/>
                <w:lang w:val="ru-RU" w:eastAsia="ru-RU"/>
              </w:rPr>
              <w:t>0</w:t>
            </w:r>
          </w:p>
        </w:tc>
      </w:tr>
    </w:tbl>
    <w:p w:rsidR="003D5AC4" w:rsidRPr="000C3A94" w:rsidRDefault="003D5AC4" w:rsidP="003D5AC4">
      <w:pPr>
        <w:ind w:firstLine="567"/>
        <w:jc w:val="both"/>
        <w:rPr>
          <w:sz w:val="20"/>
          <w:szCs w:val="20"/>
          <w:lang w:val="ru-RU"/>
        </w:rPr>
      </w:pPr>
    </w:p>
    <w:p w:rsidR="003D5AC4" w:rsidRPr="000C3A94" w:rsidRDefault="003D5AC4" w:rsidP="003D5AC4">
      <w:pPr>
        <w:jc w:val="both"/>
        <w:rPr>
          <w:sz w:val="20"/>
          <w:szCs w:val="20"/>
          <w:lang w:val="ru-RU"/>
        </w:rPr>
      </w:pPr>
      <w:r w:rsidRPr="009B0AAC">
        <w:rPr>
          <w:sz w:val="20"/>
          <w:szCs w:val="20"/>
          <w:lang w:val="ru-RU"/>
        </w:rPr>
        <w:t>По состоянию за 31.12.2018 года при анализе чувствительности к валютному риску возможно учесть отражение убытка от переоценки в размере 3 972 тыс. руб. в рамках представленного сценария.</w:t>
      </w:r>
      <w:r w:rsidRPr="000C3A94">
        <w:rPr>
          <w:sz w:val="20"/>
          <w:szCs w:val="20"/>
          <w:lang w:val="ru-RU"/>
        </w:rPr>
        <w:t xml:space="preserve"> </w:t>
      </w:r>
    </w:p>
    <w:p w:rsidR="003D5AC4" w:rsidRPr="000C3A94" w:rsidRDefault="003D5AC4" w:rsidP="003D5AC4">
      <w:pPr>
        <w:pStyle w:val="HTML"/>
        <w:jc w:val="both"/>
        <w:rPr>
          <w:rFonts w:ascii="Arial" w:hAnsi="Arial" w:cs="Arial"/>
          <w:b/>
          <w:color w:val="auto"/>
        </w:rPr>
      </w:pPr>
    </w:p>
    <w:p w:rsidR="003D5AC4" w:rsidRPr="000C3A94" w:rsidRDefault="003D5AC4" w:rsidP="003D5AC4">
      <w:pPr>
        <w:pStyle w:val="HTML"/>
        <w:jc w:val="both"/>
        <w:rPr>
          <w:rFonts w:ascii="Arial" w:hAnsi="Arial" w:cs="Arial"/>
          <w:b/>
          <w:color w:val="auto"/>
        </w:rPr>
      </w:pPr>
      <w:r w:rsidRPr="000C3A94">
        <w:rPr>
          <w:rFonts w:ascii="Arial" w:hAnsi="Arial" w:cs="Arial"/>
          <w:b/>
          <w:color w:val="auto"/>
        </w:rPr>
        <w:t>Оценка чувствительности к товарному риску</w:t>
      </w:r>
    </w:p>
    <w:p w:rsidR="003D5AC4" w:rsidRPr="000C3A94" w:rsidRDefault="003D5AC4" w:rsidP="003D5AC4">
      <w:pPr>
        <w:pStyle w:val="HTML"/>
        <w:jc w:val="both"/>
        <w:rPr>
          <w:rFonts w:ascii="Arial" w:hAnsi="Arial" w:cs="Arial"/>
          <w:color w:val="auto"/>
        </w:rPr>
      </w:pPr>
      <w:r w:rsidRPr="000C3A94">
        <w:rPr>
          <w:rFonts w:ascii="Arial" w:hAnsi="Arial" w:cs="Arial"/>
          <w:color w:val="auto"/>
        </w:rPr>
        <w:t>В соответствии с требованиями Положением ЦБ РФ №511-П оценка величины товарного осуществляется Банком в отношении: балансовых активов и пассивов, номинированных в драгоценных металлах (кроме золота) или в рублях, величина которых зависит от изменения установленных Банком России учетных цен на драгоценные металлы (кроме золота), полученного в залог в виде товаров, производных финансовых инструментов, базисным (базовым) активом которых являются товары, договоров, по условиям которых соответствующие требования и (или) обязательства рассчитываются на основе цен на товары.</w:t>
      </w:r>
    </w:p>
    <w:p w:rsidR="003D5AC4" w:rsidRPr="000C3A94" w:rsidRDefault="003D5AC4" w:rsidP="003D5AC4">
      <w:pPr>
        <w:pStyle w:val="HTML"/>
        <w:jc w:val="both"/>
        <w:rPr>
          <w:rFonts w:ascii="Arial" w:hAnsi="Arial" w:cs="Arial"/>
          <w:color w:val="auto"/>
        </w:rPr>
      </w:pPr>
      <w:r w:rsidRPr="000C3A94">
        <w:rPr>
          <w:rFonts w:ascii="Arial" w:hAnsi="Arial" w:cs="Arial"/>
          <w:color w:val="auto"/>
        </w:rPr>
        <w:t>В течение анализируемого периода Банк не осуществлял операций с перечисленными инструментами, и по состоянию за</w:t>
      </w:r>
      <w:r>
        <w:rPr>
          <w:rFonts w:ascii="Arial" w:hAnsi="Arial" w:cs="Arial"/>
          <w:color w:val="auto"/>
        </w:rPr>
        <w:t xml:space="preserve"> 31.12</w:t>
      </w:r>
      <w:r w:rsidRPr="000C3A94">
        <w:rPr>
          <w:rFonts w:ascii="Arial" w:hAnsi="Arial" w:cs="Arial"/>
          <w:color w:val="auto"/>
        </w:rPr>
        <w:t xml:space="preserve">.2018 года отсутствовали активы, подверженные товарному риску. </w:t>
      </w:r>
    </w:p>
    <w:p w:rsidR="003D5AC4" w:rsidRPr="000C3A94" w:rsidRDefault="003D5AC4" w:rsidP="003D5AC4">
      <w:pPr>
        <w:pStyle w:val="HTML"/>
        <w:jc w:val="both"/>
        <w:rPr>
          <w:rFonts w:ascii="Arial" w:hAnsi="Arial" w:cs="Arial"/>
          <w:color w:val="auto"/>
        </w:rPr>
      </w:pPr>
      <w:r w:rsidRPr="000C3A94">
        <w:rPr>
          <w:rFonts w:ascii="Arial" w:hAnsi="Arial" w:cs="Arial"/>
          <w:color w:val="auto"/>
        </w:rPr>
        <w:t>Объем товарного риска для деятельности Банка признается не способным оказать влияния на показатели деятельности, финансовую устойчивость (в том числе и с точки зрения рисков концентрации).</w:t>
      </w:r>
    </w:p>
    <w:p w:rsidR="003D5AC4" w:rsidRPr="000C3A94" w:rsidRDefault="003D5AC4" w:rsidP="003D5AC4">
      <w:pPr>
        <w:pStyle w:val="HTML"/>
        <w:jc w:val="both"/>
        <w:rPr>
          <w:rFonts w:ascii="Arial" w:hAnsi="Arial" w:cs="Arial"/>
          <w:color w:val="auto"/>
        </w:rPr>
      </w:pPr>
    </w:p>
    <w:p w:rsidR="003D5AC4" w:rsidRPr="000C3A94" w:rsidRDefault="003D5AC4" w:rsidP="003D5AC4">
      <w:pPr>
        <w:pStyle w:val="HTML"/>
        <w:rPr>
          <w:rFonts w:ascii="Arial" w:hAnsi="Arial" w:cs="Arial"/>
          <w:b/>
          <w:color w:val="auto"/>
        </w:rPr>
      </w:pPr>
      <w:r w:rsidRPr="000C3A94">
        <w:rPr>
          <w:rFonts w:ascii="Arial" w:hAnsi="Arial" w:cs="Arial"/>
          <w:b/>
          <w:color w:val="auto"/>
        </w:rPr>
        <w:t xml:space="preserve">7.3. По риску ликвидности: </w:t>
      </w:r>
    </w:p>
    <w:p w:rsidR="003D5AC4" w:rsidRDefault="003D5AC4" w:rsidP="003D5AC4">
      <w:pPr>
        <w:jc w:val="both"/>
        <w:rPr>
          <w:rFonts w:cs="Arial"/>
          <w:sz w:val="20"/>
          <w:szCs w:val="20"/>
          <w:lang w:val="ru-RU" w:eastAsia="ru-RU"/>
        </w:rPr>
      </w:pP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Риск ликвидности — риск убытков вследствие неспособности банка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банка (в том числе вследствие несвоевременного исполнения финансовых обязательств одним или несколькими контрагентами кредитной организации) или возникновения непредвиденной необходимости немедленного и единовременного исполнения Банком своих финансовых обязательств.</w:t>
      </w: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Банком разработано положение «Об организации управления и контроля за ликвидностью и риском ликвидности», определяющее основные понятия, цели и методы управления, способы оценки, а также распределение обязанностей в области управления ликвидностью Банка.</w:t>
      </w: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 xml:space="preserve">Общее руководство и контроль за состоянием ликвидности банка осуществляет Правление </w:t>
      </w:r>
      <w:r w:rsidR="006839C9">
        <w:rPr>
          <w:rFonts w:cs="Arial"/>
          <w:sz w:val="20"/>
          <w:szCs w:val="20"/>
          <w:lang w:val="ru-RU" w:eastAsia="ru-RU"/>
        </w:rPr>
        <w:t>Б</w:t>
      </w:r>
      <w:r w:rsidRPr="00697C2F">
        <w:rPr>
          <w:rFonts w:cs="Arial"/>
          <w:sz w:val="20"/>
          <w:szCs w:val="20"/>
          <w:lang w:val="ru-RU" w:eastAsia="ru-RU"/>
        </w:rPr>
        <w:t xml:space="preserve">анка. Рассмотрением вопросов перспективной ликвидности, инвестиционных вопросов и выработки инвестиционных решений, исходя из оценок ликвидности, риска и доходности, осуществляет Финансово–инвестиционный комитет (в </w:t>
      </w:r>
      <w:r w:rsidR="006839C9">
        <w:rPr>
          <w:rFonts w:cs="Arial"/>
          <w:sz w:val="20"/>
          <w:szCs w:val="20"/>
          <w:lang w:val="ru-RU" w:eastAsia="ru-RU"/>
        </w:rPr>
        <w:t>дальнейшем – «ФИК») ПАО «Норвик Б</w:t>
      </w:r>
      <w:r w:rsidRPr="00697C2F">
        <w:rPr>
          <w:rFonts w:cs="Arial"/>
          <w:sz w:val="20"/>
          <w:szCs w:val="20"/>
          <w:lang w:val="ru-RU" w:eastAsia="ru-RU"/>
        </w:rPr>
        <w:t xml:space="preserve">анк». ФИК образован в соответствии с решением Правления </w:t>
      </w:r>
      <w:r w:rsidR="006839C9">
        <w:rPr>
          <w:rFonts w:cs="Arial"/>
          <w:sz w:val="20"/>
          <w:szCs w:val="20"/>
          <w:lang w:val="ru-RU" w:eastAsia="ru-RU"/>
        </w:rPr>
        <w:t>Б</w:t>
      </w:r>
      <w:r w:rsidRPr="00697C2F">
        <w:rPr>
          <w:rFonts w:cs="Arial"/>
          <w:sz w:val="20"/>
          <w:szCs w:val="20"/>
          <w:lang w:val="ru-RU" w:eastAsia="ru-RU"/>
        </w:rPr>
        <w:t xml:space="preserve">анка, не является структурным подразделением, представляет собой постоянно действующий координирующий орган. </w:t>
      </w: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 xml:space="preserve">Оперативное и текущее управление ликвидностью осуществляет Комитет по управлению ликвидностью (в дальнейшем – «КУЛ»). Образован в соответствии с решением Правления </w:t>
      </w:r>
      <w:r w:rsidR="00FF6799">
        <w:rPr>
          <w:rFonts w:cs="Arial"/>
          <w:sz w:val="20"/>
          <w:szCs w:val="20"/>
          <w:lang w:val="ru-RU" w:eastAsia="ru-RU"/>
        </w:rPr>
        <w:t>Б</w:t>
      </w:r>
      <w:r w:rsidRPr="00697C2F">
        <w:rPr>
          <w:rFonts w:cs="Arial"/>
          <w:sz w:val="20"/>
          <w:szCs w:val="20"/>
          <w:lang w:val="ru-RU" w:eastAsia="ru-RU"/>
        </w:rPr>
        <w:t xml:space="preserve">анка, </w:t>
      </w:r>
      <w:r w:rsidRPr="00697C2F">
        <w:rPr>
          <w:rFonts w:cs="Arial"/>
          <w:sz w:val="20"/>
          <w:szCs w:val="20"/>
          <w:lang w:val="ru-RU" w:eastAsia="ru-RU"/>
        </w:rPr>
        <w:lastRenderedPageBreak/>
        <w:t xml:space="preserve">не является структурным подразделением Банка и представляет собой постоянно действующий координирующий орган. КУЛ создан для оперативной оценки, быстрого реагирования на изменение состояния активов и пассивов, выработки управленческий решений, направленных на поддержание достаточного уровня ликвидности. </w:t>
      </w: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 xml:space="preserve">В своей работе КУЛ и ФИК руководствуются действующим законодательством Российской Федерации, Уставом Банка, решениями Совета и Правления Банка, другими внутрибанковскими нормативными актами и Положением «Об организации управления и контроля за ликвидностью и риском ликвидности». </w:t>
      </w:r>
    </w:p>
    <w:p w:rsidR="003D5AC4" w:rsidRPr="00697C2F" w:rsidRDefault="003D5AC4" w:rsidP="003D5AC4">
      <w:pPr>
        <w:jc w:val="both"/>
        <w:rPr>
          <w:rFonts w:cs="Arial"/>
          <w:sz w:val="20"/>
          <w:szCs w:val="20"/>
          <w:lang w:val="ru-RU" w:eastAsia="ru-RU"/>
        </w:rPr>
      </w:pPr>
      <w:r w:rsidRPr="00697C2F">
        <w:rPr>
          <w:rFonts w:cs="Arial"/>
          <w:sz w:val="20"/>
          <w:szCs w:val="20"/>
          <w:lang w:val="ru-RU" w:eastAsia="ru-RU"/>
        </w:rPr>
        <w:t>Управление ликвидностью направлено на поддержание оптимального соотношения между сроками, объемами размещения средств и привлечения ресурсов, при котором банк обеспечивает, с одной стороны, своевременное выполнение своих обязательств, соблюдая требования внешних и внутренних нормативных актов, с другой, достигает оптимизации параметров доходности и уровня риска при проведении операций.</w:t>
      </w:r>
    </w:p>
    <w:p w:rsidR="003D5AC4" w:rsidRDefault="003D5AC4" w:rsidP="003D5AC4">
      <w:pPr>
        <w:jc w:val="both"/>
        <w:rPr>
          <w:rFonts w:cs="Arial"/>
          <w:sz w:val="20"/>
          <w:szCs w:val="20"/>
          <w:lang w:val="ru-RU" w:eastAsia="ru-RU"/>
        </w:rPr>
      </w:pPr>
      <w:r w:rsidRPr="00697C2F">
        <w:rPr>
          <w:rFonts w:cs="Arial"/>
          <w:sz w:val="20"/>
          <w:szCs w:val="20"/>
          <w:lang w:val="ru-RU" w:eastAsia="ru-RU"/>
        </w:rPr>
        <w:t xml:space="preserve">Для мониторинга состояния ликвидности составляется платежный календарь, в котором отражается прогнозируемое соотношение входящих и исходящих денежных потоков по активным и пассивным операциям, распределенных по временным интервалам и отражающих контрактный / прогнозный срок приобретения/погашения активов или контрактный/прогнозный срок удержания пассивов в балансе банка. Результаты указанного анализа учитываются при принятии решений о размещении и привлечении средств. </w:t>
      </w:r>
    </w:p>
    <w:p w:rsidR="003D5AC4" w:rsidRDefault="003D5AC4" w:rsidP="003D5AC4">
      <w:pPr>
        <w:jc w:val="both"/>
        <w:rPr>
          <w:rFonts w:cs="Arial"/>
          <w:sz w:val="20"/>
          <w:szCs w:val="20"/>
          <w:lang w:val="ru-RU" w:eastAsia="ru-RU"/>
        </w:rPr>
      </w:pPr>
    </w:p>
    <w:p w:rsidR="003D5AC4" w:rsidRPr="00605FAF" w:rsidRDefault="003D5AC4" w:rsidP="003D5AC4">
      <w:pPr>
        <w:jc w:val="both"/>
        <w:rPr>
          <w:rFonts w:cs="Arial"/>
          <w:b/>
          <w:sz w:val="20"/>
          <w:szCs w:val="20"/>
          <w:lang w:val="ru-RU" w:eastAsia="ru-RU"/>
        </w:rPr>
      </w:pPr>
      <w:r w:rsidRPr="00605FAF">
        <w:rPr>
          <w:rFonts w:cs="Arial"/>
          <w:b/>
          <w:sz w:val="20"/>
          <w:szCs w:val="20"/>
          <w:lang w:val="ru-RU" w:eastAsia="ru-RU"/>
        </w:rPr>
        <w:t>Анализ сроков погашения по финансовым активам и обязательствам, включая выпущенные банковские гарантии (на основе договорных недисконтированных денежных потоков) за 31.12.2018</w:t>
      </w:r>
    </w:p>
    <w:p w:rsidR="003D5AC4" w:rsidRPr="00605FAF" w:rsidRDefault="003D5AC4" w:rsidP="003D5AC4">
      <w:pPr>
        <w:jc w:val="both"/>
        <w:rPr>
          <w:rFonts w:cs="Arial"/>
          <w:sz w:val="20"/>
          <w:szCs w:val="20"/>
          <w:lang w:val="ru-RU" w:eastAsia="ru-RU"/>
        </w:rPr>
      </w:pPr>
    </w:p>
    <w:tbl>
      <w:tblPr>
        <w:tblW w:w="10955" w:type="dxa"/>
        <w:tblInd w:w="-1026" w:type="dxa"/>
        <w:tblLook w:val="04A0" w:firstRow="1" w:lastRow="0" w:firstColumn="1" w:lastColumn="0" w:noHBand="0" w:noVBand="1"/>
      </w:tblPr>
      <w:tblGrid>
        <w:gridCol w:w="2663"/>
        <w:gridCol w:w="910"/>
        <w:gridCol w:w="1105"/>
        <w:gridCol w:w="984"/>
        <w:gridCol w:w="983"/>
        <w:gridCol w:w="1123"/>
        <w:gridCol w:w="983"/>
        <w:gridCol w:w="1211"/>
        <w:gridCol w:w="993"/>
      </w:tblGrid>
      <w:tr w:rsidR="003D5AC4" w:rsidRPr="006C0DB6" w:rsidTr="00B53D00">
        <w:trPr>
          <w:trHeight w:val="225"/>
        </w:trPr>
        <w:tc>
          <w:tcPr>
            <w:tcW w:w="2663" w:type="dxa"/>
            <w:tcBorders>
              <w:top w:val="single" w:sz="4" w:space="0" w:color="auto"/>
              <w:left w:val="single" w:sz="4" w:space="0" w:color="auto"/>
              <w:bottom w:val="nil"/>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w:t>
            </w:r>
          </w:p>
        </w:tc>
        <w:tc>
          <w:tcPr>
            <w:tcW w:w="8292"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по срокам востребования и погашения</w:t>
            </w:r>
          </w:p>
        </w:tc>
      </w:tr>
      <w:tr w:rsidR="003D5AC4" w:rsidRPr="00605FAF" w:rsidTr="00B53D00">
        <w:trPr>
          <w:trHeight w:val="450"/>
        </w:trPr>
        <w:tc>
          <w:tcPr>
            <w:tcW w:w="2663" w:type="dxa"/>
            <w:tcBorders>
              <w:top w:val="nil"/>
              <w:left w:val="single" w:sz="4" w:space="0" w:color="auto"/>
              <w:bottom w:val="single" w:sz="4" w:space="0" w:color="auto"/>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До востреб.</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до 30 дней</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31 до 90 дней</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90 до 180 дней</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180 дней до 1 года</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свыше 1 года</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Просрочен-</w:t>
            </w:r>
          </w:p>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ные</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Всего</w:t>
            </w:r>
          </w:p>
        </w:tc>
      </w:tr>
      <w:tr w:rsidR="003D5AC4" w:rsidRPr="00605FAF" w:rsidTr="00B53D00">
        <w:trPr>
          <w:trHeight w:val="255"/>
        </w:trPr>
        <w:tc>
          <w:tcPr>
            <w:tcW w:w="2663" w:type="dxa"/>
            <w:tcBorders>
              <w:top w:val="nil"/>
              <w:left w:val="single" w:sz="4" w:space="0" w:color="auto"/>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АКТИВЫ</w:t>
            </w:r>
          </w:p>
        </w:tc>
        <w:tc>
          <w:tcPr>
            <w:tcW w:w="910"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05"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4"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23"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211"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3" w:type="dxa"/>
            <w:tcBorders>
              <w:top w:val="nil"/>
              <w:left w:val="nil"/>
              <w:bottom w:val="single" w:sz="4" w:space="0" w:color="auto"/>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1. Средства в кассе (наличные активы)</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675 870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675 870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2. Корр. счет в ЦБ РФ</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281 793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281 793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3. Кор. счета - НОСТРО</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33 783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33 783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4. МБК размещенные</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1 381 679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2 592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1 384 271 </w:t>
            </w:r>
          </w:p>
        </w:tc>
      </w:tr>
      <w:tr w:rsidR="003D5AC4" w:rsidRPr="00605FAF" w:rsidTr="00B53D00">
        <w:trPr>
          <w:trHeight w:val="273"/>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5. Вложения в ценные бумаги</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304 654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942 797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722 388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366 698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2 898 746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5 235 283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6. Кредиты предприятиям и организациям</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228 468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734 985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542 723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1 091 899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1 070 792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576 535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4 245 402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7. Кредиты физическим лицам</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42 290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103 945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143 949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203 167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1 138 723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386 359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2 018 432 </w:t>
            </w:r>
          </w:p>
        </w:tc>
      </w:tr>
      <w:tr w:rsidR="003D5AC4" w:rsidRPr="00605FAF" w:rsidTr="00B53D00">
        <w:trPr>
          <w:trHeight w:val="255"/>
        </w:trPr>
        <w:tc>
          <w:tcPr>
            <w:tcW w:w="2663" w:type="dxa"/>
            <w:tcBorders>
              <w:top w:val="nil"/>
              <w:left w:val="single" w:sz="4" w:space="0" w:color="auto"/>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color w:val="000000"/>
                <w:sz w:val="16"/>
                <w:szCs w:val="16"/>
                <w:lang w:val="ru-RU" w:eastAsia="ru-RU"/>
              </w:rPr>
            </w:pPr>
            <w:r w:rsidRPr="00605FAF">
              <w:rPr>
                <w:rFonts w:ascii="Arial CYR" w:hAnsi="Arial CYR" w:cs="Arial CYR"/>
                <w:b/>
                <w:bCs/>
                <w:color w:val="000000"/>
                <w:sz w:val="16"/>
                <w:szCs w:val="16"/>
                <w:lang w:val="ru-RU" w:eastAsia="ru-RU"/>
              </w:rPr>
              <w:t>ПАССИВЫ</w:t>
            </w:r>
          </w:p>
        </w:tc>
        <w:tc>
          <w:tcPr>
            <w:tcW w:w="910"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05"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4"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23"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211"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1. Кор. счета - ЛОРО</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8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8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2. МБК привлеченные</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3. Средства юридических лиц</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121 456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395 521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31 322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3 775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1 538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1 867 058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2 420 669 </w:t>
            </w:r>
          </w:p>
        </w:tc>
      </w:tr>
      <w:tr w:rsidR="003D5AC4" w:rsidRPr="00605FAF" w:rsidTr="00B53D00">
        <w:trPr>
          <w:trHeight w:val="270"/>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4. Средства физических лиц</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151 474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974 840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1 826 066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1 969 031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2 853 505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1 852 410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9 627 326 </w:t>
            </w:r>
          </w:p>
        </w:tc>
      </w:tr>
      <w:tr w:rsidR="003D5AC4" w:rsidRPr="00605FAF" w:rsidTr="00B53D00">
        <w:trPr>
          <w:trHeight w:val="255"/>
        </w:trPr>
        <w:tc>
          <w:tcPr>
            <w:tcW w:w="2663"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color w:val="000000"/>
                <w:sz w:val="16"/>
                <w:szCs w:val="16"/>
                <w:lang w:val="ru-RU" w:eastAsia="ru-RU"/>
              </w:rPr>
            </w:pPr>
            <w:r w:rsidRPr="00605FAF">
              <w:rPr>
                <w:rFonts w:ascii="Arial CYR" w:hAnsi="Arial CYR" w:cs="Arial CYR"/>
                <w:b/>
                <w:bCs/>
                <w:color w:val="000000"/>
                <w:sz w:val="16"/>
                <w:szCs w:val="16"/>
                <w:lang w:val="ru-RU" w:eastAsia="ru-RU"/>
              </w:rPr>
              <w:t>Выпущенные банковские гарантии</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0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283 159 </w:t>
            </w:r>
          </w:p>
        </w:tc>
        <w:tc>
          <w:tcPr>
            <w:tcW w:w="98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130 365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21 071 </w:t>
            </w:r>
          </w:p>
        </w:tc>
        <w:tc>
          <w:tcPr>
            <w:tcW w:w="112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43 399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216 865 </w:t>
            </w:r>
          </w:p>
        </w:tc>
        <w:tc>
          <w:tcPr>
            <w:tcW w:w="1211"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694 860 </w:t>
            </w:r>
          </w:p>
        </w:tc>
      </w:tr>
    </w:tbl>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b/>
          <w:sz w:val="20"/>
          <w:szCs w:val="20"/>
          <w:lang w:val="ru-RU" w:eastAsia="ru-RU"/>
        </w:rPr>
      </w:pPr>
      <w:r w:rsidRPr="00605FAF">
        <w:rPr>
          <w:rFonts w:cs="Arial"/>
          <w:b/>
          <w:sz w:val="20"/>
          <w:szCs w:val="20"/>
          <w:lang w:val="ru-RU" w:eastAsia="ru-RU"/>
        </w:rPr>
        <w:t>Анализ сроков погашения по финансовым активам и обязательствам, включая выпущенные банковские гарантии (на основе договорных недисконтированных денежных потоков) за 31.12.2017</w:t>
      </w:r>
    </w:p>
    <w:p w:rsidR="003D5AC4" w:rsidRPr="00605FAF" w:rsidRDefault="003D5AC4" w:rsidP="003D5AC4">
      <w:pPr>
        <w:jc w:val="both"/>
        <w:rPr>
          <w:rFonts w:cs="Arial"/>
          <w:sz w:val="20"/>
          <w:szCs w:val="20"/>
          <w:lang w:val="ru-RU" w:eastAsia="ru-RU"/>
        </w:rPr>
      </w:pPr>
    </w:p>
    <w:tbl>
      <w:tblPr>
        <w:tblW w:w="10915" w:type="dxa"/>
        <w:tblInd w:w="-1026" w:type="dxa"/>
        <w:tblLook w:val="04A0" w:firstRow="1" w:lastRow="0" w:firstColumn="1" w:lastColumn="0" w:noHBand="0" w:noVBand="1"/>
      </w:tblPr>
      <w:tblGrid>
        <w:gridCol w:w="2694"/>
        <w:gridCol w:w="910"/>
        <w:gridCol w:w="1074"/>
        <w:gridCol w:w="992"/>
        <w:gridCol w:w="992"/>
        <w:gridCol w:w="1135"/>
        <w:gridCol w:w="992"/>
        <w:gridCol w:w="1143"/>
        <w:gridCol w:w="983"/>
      </w:tblGrid>
      <w:tr w:rsidR="003D5AC4" w:rsidRPr="006C0DB6" w:rsidTr="00B53D00">
        <w:trPr>
          <w:trHeight w:val="225"/>
        </w:trPr>
        <w:tc>
          <w:tcPr>
            <w:tcW w:w="2694" w:type="dxa"/>
            <w:tcBorders>
              <w:top w:val="single" w:sz="4" w:space="0" w:color="auto"/>
              <w:left w:val="single" w:sz="4" w:space="0" w:color="auto"/>
              <w:bottom w:val="nil"/>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w:t>
            </w:r>
          </w:p>
        </w:tc>
        <w:tc>
          <w:tcPr>
            <w:tcW w:w="8221"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по срокам востребования и погашения</w:t>
            </w:r>
          </w:p>
        </w:tc>
      </w:tr>
      <w:tr w:rsidR="003D5AC4" w:rsidRPr="00605FAF" w:rsidTr="00B53D00">
        <w:trPr>
          <w:trHeight w:val="45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До востреб.</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до 30 дней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31 до 90 дней</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90 до 180 дней</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от 180 дней до 1 года</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свыше 1 года</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Просрочен-ные</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center"/>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Всего</w:t>
            </w:r>
          </w:p>
        </w:tc>
      </w:tr>
      <w:tr w:rsidR="003D5AC4" w:rsidRPr="00605FAF" w:rsidTr="00B53D00">
        <w:trPr>
          <w:trHeight w:val="255"/>
        </w:trPr>
        <w:tc>
          <w:tcPr>
            <w:tcW w:w="2694" w:type="dxa"/>
            <w:tcBorders>
              <w:top w:val="nil"/>
              <w:left w:val="single" w:sz="4" w:space="0" w:color="auto"/>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АКТИВЫ</w:t>
            </w:r>
          </w:p>
        </w:tc>
        <w:tc>
          <w:tcPr>
            <w:tcW w:w="910"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074"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35"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43" w:type="dxa"/>
            <w:tcBorders>
              <w:top w:val="nil"/>
              <w:left w:val="nil"/>
              <w:bottom w:val="single" w:sz="4" w:space="0" w:color="auto"/>
              <w:right w:val="nil"/>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single" w:sz="4" w:space="0" w:color="auto"/>
            </w:tcBorders>
            <w:shd w:val="clear" w:color="auto" w:fill="auto"/>
            <w:noWrap/>
            <w:vAlign w:val="bottom"/>
            <w:hideMark/>
          </w:tcPr>
          <w:p w:rsidR="003D5AC4" w:rsidRPr="00605FAF" w:rsidRDefault="003D5AC4" w:rsidP="00B53D00">
            <w:pPr>
              <w:overflowPunct/>
              <w:autoSpaceDE/>
              <w:autoSpaceDN/>
              <w:adjustRightInd/>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1. Средства в кассе (наличные активы)</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436 879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436 879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2. Корр. счет в ЦБ РФ</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255 232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255 232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3. Кор. счета - НОСТРО</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256 280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256 280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4. МБК размещенные</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850 000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2 420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852 420 </w:t>
            </w:r>
          </w:p>
        </w:tc>
      </w:tr>
      <w:tr w:rsidR="003D5AC4" w:rsidRPr="00605FAF" w:rsidTr="00B53D00">
        <w:trPr>
          <w:trHeight w:val="45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5. Вложения в ценные бумаги</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315 235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1 318 394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1 170 858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747 302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2 633 063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6 184 852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6. Кредиты предприятиям и организациям</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292 207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546 705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702 253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907 365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1 326 921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344 308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4 119 759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7. Кредиты физическим лицам</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28 728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59 102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171 220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229 150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565 987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399 867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1 454 054 </w:t>
            </w:r>
          </w:p>
        </w:tc>
      </w:tr>
      <w:tr w:rsidR="003D5AC4" w:rsidRPr="00605FAF" w:rsidTr="00B53D00">
        <w:trPr>
          <w:trHeight w:val="255"/>
        </w:trPr>
        <w:tc>
          <w:tcPr>
            <w:tcW w:w="2694" w:type="dxa"/>
            <w:tcBorders>
              <w:top w:val="nil"/>
              <w:left w:val="single" w:sz="4" w:space="0" w:color="auto"/>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color w:val="000000"/>
                <w:sz w:val="16"/>
                <w:szCs w:val="16"/>
                <w:lang w:val="ru-RU" w:eastAsia="ru-RU"/>
              </w:rPr>
            </w:pPr>
            <w:r w:rsidRPr="00605FAF">
              <w:rPr>
                <w:rFonts w:ascii="Arial CYR" w:hAnsi="Arial CYR" w:cs="Arial CYR"/>
                <w:b/>
                <w:bCs/>
                <w:color w:val="000000"/>
                <w:sz w:val="16"/>
                <w:szCs w:val="16"/>
                <w:lang w:val="ru-RU" w:eastAsia="ru-RU"/>
              </w:rPr>
              <w:lastRenderedPageBreak/>
              <w:t>ПАССИВЫ</w:t>
            </w:r>
          </w:p>
        </w:tc>
        <w:tc>
          <w:tcPr>
            <w:tcW w:w="910"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074"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35"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92"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1143" w:type="dxa"/>
            <w:tcBorders>
              <w:top w:val="nil"/>
              <w:left w:val="nil"/>
              <w:bottom w:val="single" w:sz="4" w:space="0" w:color="auto"/>
              <w:right w:val="nil"/>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b/>
                <w:bCs/>
                <w:sz w:val="16"/>
                <w:szCs w:val="16"/>
                <w:lang w:val="ru-RU" w:eastAsia="ru-RU"/>
              </w:rPr>
            </w:pPr>
            <w:r w:rsidRPr="00605FAF">
              <w:rPr>
                <w:rFonts w:ascii="Arial CYR" w:hAnsi="Arial CYR" w:cs="Arial CYR"/>
                <w:b/>
                <w:bCs/>
                <w:sz w:val="16"/>
                <w:szCs w:val="16"/>
                <w:lang w:val="ru-RU" w:eastAsia="ru-RU"/>
              </w:rPr>
              <w:t>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1. Кор. счета - ЛОРО</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20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2. МБК привлеченные</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3. Средства юридических лиц</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261 691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400 403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10 960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2 575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35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1 735 887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2 411 551 </w:t>
            </w:r>
          </w:p>
        </w:tc>
      </w:tr>
      <w:tr w:rsidR="003D5AC4" w:rsidRPr="00605FAF" w:rsidTr="00B53D00">
        <w:trPr>
          <w:trHeight w:val="27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4. Средства физических лиц</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264 819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1 174 790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2 314 372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2 347 136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2 080 864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1 170 512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9 352 493 </w:t>
            </w:r>
          </w:p>
        </w:tc>
      </w:tr>
      <w:tr w:rsidR="003D5AC4" w:rsidRPr="00605FAF" w:rsidTr="00B53D00">
        <w:trPr>
          <w:trHeight w:val="25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textAlignment w:val="auto"/>
              <w:rPr>
                <w:rFonts w:ascii="Arial CYR" w:hAnsi="Arial CYR" w:cs="Arial CYR"/>
                <w:b/>
                <w:bCs/>
                <w:color w:val="000000"/>
                <w:sz w:val="16"/>
                <w:szCs w:val="16"/>
                <w:lang w:val="ru-RU" w:eastAsia="ru-RU"/>
              </w:rPr>
            </w:pPr>
            <w:r w:rsidRPr="00605FAF">
              <w:rPr>
                <w:rFonts w:ascii="Arial CYR" w:hAnsi="Arial CYR" w:cs="Arial CYR"/>
                <w:b/>
                <w:bCs/>
                <w:color w:val="000000"/>
                <w:sz w:val="16"/>
                <w:szCs w:val="16"/>
                <w:lang w:val="ru-RU" w:eastAsia="ru-RU"/>
              </w:rPr>
              <w:t>Выпущенные банковские гарантии</w:t>
            </w:r>
          </w:p>
        </w:tc>
        <w:tc>
          <w:tcPr>
            <w:tcW w:w="910"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1074"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235 778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81 197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33 943 </w:t>
            </w:r>
          </w:p>
        </w:tc>
        <w:tc>
          <w:tcPr>
            <w:tcW w:w="1135"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59 509 </w:t>
            </w:r>
          </w:p>
        </w:tc>
        <w:tc>
          <w:tcPr>
            <w:tcW w:w="992"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303 336 </w:t>
            </w:r>
          </w:p>
        </w:tc>
        <w:tc>
          <w:tcPr>
            <w:tcW w:w="114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0 </w:t>
            </w:r>
          </w:p>
        </w:tc>
        <w:tc>
          <w:tcPr>
            <w:tcW w:w="983" w:type="dxa"/>
            <w:tcBorders>
              <w:top w:val="nil"/>
              <w:left w:val="nil"/>
              <w:bottom w:val="single" w:sz="4" w:space="0" w:color="auto"/>
              <w:right w:val="single" w:sz="4" w:space="0" w:color="auto"/>
            </w:tcBorders>
            <w:shd w:val="clear" w:color="auto" w:fill="auto"/>
            <w:noWrap/>
            <w:vAlign w:val="center"/>
            <w:hideMark/>
          </w:tcPr>
          <w:p w:rsidR="003D5AC4" w:rsidRPr="00605FAF" w:rsidRDefault="003D5AC4" w:rsidP="00B53D00">
            <w:pPr>
              <w:overflowPunct/>
              <w:autoSpaceDE/>
              <w:autoSpaceDN/>
              <w:adjustRightInd/>
              <w:jc w:val="right"/>
              <w:textAlignment w:val="auto"/>
              <w:rPr>
                <w:rFonts w:ascii="Arial CYR" w:hAnsi="Arial CYR" w:cs="Arial CYR"/>
                <w:color w:val="000000"/>
                <w:sz w:val="16"/>
                <w:szCs w:val="16"/>
                <w:lang w:val="ru-RU" w:eastAsia="ru-RU"/>
              </w:rPr>
            </w:pPr>
            <w:r w:rsidRPr="00605FAF">
              <w:rPr>
                <w:rFonts w:ascii="Arial CYR" w:hAnsi="Arial CYR" w:cs="Arial CYR"/>
                <w:color w:val="000000"/>
                <w:sz w:val="16"/>
                <w:szCs w:val="16"/>
                <w:lang w:val="ru-RU" w:eastAsia="ru-RU"/>
              </w:rPr>
              <w:t xml:space="preserve">713 763 </w:t>
            </w:r>
          </w:p>
        </w:tc>
      </w:tr>
    </w:tbl>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Управление риском ликвидности осуществляется путем согласования сроков возврата размещенных активов и привлеченных банком пассивов, а также поддержания необходимого объема высоколиквидных и ликвидных средств (денежные средства в кассе, остатки на корреспондентских счетах в Банке России, счета Ностро, межбанковские кредиты, вложения в ценные бумаги ломбардного списка, которые могут быть использованы как источник фондирования по сделкам РЕПО). Так для покрытия потребности в ликвидных средствах Банк может привлечь заемные средства, обеспечив их ценными бумагами ломбардного списка на сумму 4 682 млн. руб. (на 31.12.2017 -  5 471 млн. руб.)</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В процессе управления ликвидность банка рассматривается не только по состоянию на текущую дату, но, прежде всего, и на определенных временных интервалах в будущем.</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 xml:space="preserve">Банк поддерживает уровень ликвидности, достаточный для выполнения всех требований Банка России: нормативов мгновенной, текущей и долгосрочной ликвидности, установленных Инструкцией Банка России от 28 июня 2017 года N 180-И «Об обязательных нормативах банков». Контроль выполнения данных нормативов ликвидности осуществляется на ежедневной основе. </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Эти нормативы включают:</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норматив мгновенной ликвидности банка (Н2) регулирует (ограничивает) риск потери банком ликвидности в течение одного операционного дня и определяет минимальное отношение суммы высоколиквидных активов банка к сумме обязательств (пассивов) банка по счетам до востребования, скорректированных на величину минимального совокупного остатка средств по счетам физических и юридических лиц до востребования;</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норматив текущей ликвидности банка (Н3) регулирует (ограничивает) риск потери банком ликвидности в течение ближайших к дате расчета норматива 30 календарных дней и определяет минимальное отношение суммы ликвидных активов банка к сумме обязательств (пассивов) банка по счетам до востребования и со сроком исполнения обязательств в ближайшие 30 календарных дней, скорректированных на величину минимального совокупного остатка средств по счетам физических и юридических лиц до востребования и со сроком исполнения обязательств в ближайшие 30 календарных дней;</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норматив долгосрочной ликвидности банка (Н4) регулирует (ограничивает) риск потери банком ликвидности в результате размещения средств в долгосрочные активы и определяет максимально допустимое отношение кредитных требований банка с оставшимся сроком до даты погашения свыше 365 или 366 календарных дней, к собственным средствам (капиталу) банка и обязательствам (пассивам) с оставшимся сроком до даты погашения свыше 365 или 366 календарных дней, скорректированным на величину минимального совокупного остатка средств по счетам со сроком исполнения обязательств до 365 календарных дней и счетам до востребования физических и юридических лиц.</w:t>
      </w:r>
    </w:p>
    <w:p w:rsidR="003D5AC4" w:rsidRPr="00605FAF" w:rsidRDefault="003D5AC4" w:rsidP="003D5AC4">
      <w:pPr>
        <w:jc w:val="both"/>
        <w:rPr>
          <w:rFonts w:cs="Arial"/>
          <w:sz w:val="20"/>
          <w:szCs w:val="20"/>
          <w:lang w:val="ru-RU" w:eastAsia="ru-RU"/>
        </w:rPr>
      </w:pPr>
    </w:p>
    <w:p w:rsidR="003D5AC4" w:rsidRPr="00605FAF" w:rsidRDefault="003D5AC4" w:rsidP="003D5AC4">
      <w:pPr>
        <w:pStyle w:val="2normal"/>
        <w:spacing w:line="228" w:lineRule="auto"/>
        <w:jc w:val="both"/>
        <w:rPr>
          <w:b/>
          <w:sz w:val="20"/>
          <w:szCs w:val="20"/>
          <w:lang w:val="ru-RU"/>
        </w:rPr>
      </w:pPr>
      <w:r w:rsidRPr="00605FAF">
        <w:rPr>
          <w:b/>
          <w:sz w:val="20"/>
          <w:szCs w:val="20"/>
          <w:lang w:val="ru-RU"/>
        </w:rPr>
        <w:t>Состояние ликвидности Банка – значения обязательных нормативов (по данным формы отчетности 0409813):</w:t>
      </w:r>
    </w:p>
    <w:p w:rsidR="003D5AC4" w:rsidRPr="00605FAF" w:rsidRDefault="003D5AC4" w:rsidP="003D5AC4">
      <w:pPr>
        <w:jc w:val="both"/>
        <w:rPr>
          <w:rFonts w:cs="Arial"/>
          <w:sz w:val="20"/>
          <w:szCs w:val="20"/>
          <w:lang w:val="ru-RU" w:eastAsia="ru-RU"/>
        </w:rPr>
      </w:pPr>
    </w:p>
    <w:tbl>
      <w:tblPr>
        <w:tblW w:w="9747" w:type="dxa"/>
        <w:tblLook w:val="04A0" w:firstRow="1" w:lastRow="0" w:firstColumn="1" w:lastColumn="0" w:noHBand="0" w:noVBand="1"/>
      </w:tblPr>
      <w:tblGrid>
        <w:gridCol w:w="4907"/>
        <w:gridCol w:w="1853"/>
        <w:gridCol w:w="1470"/>
        <w:gridCol w:w="1355"/>
        <w:gridCol w:w="162"/>
      </w:tblGrid>
      <w:tr w:rsidR="003D5AC4" w:rsidRPr="00605FAF" w:rsidTr="00B53D00">
        <w:trPr>
          <w:trHeight w:val="421"/>
          <w:tblHeader/>
        </w:trPr>
        <w:tc>
          <w:tcPr>
            <w:tcW w:w="4907" w:type="dxa"/>
            <w:tcBorders>
              <w:top w:val="single" w:sz="4" w:space="0" w:color="auto"/>
              <w:bottom w:val="single" w:sz="4" w:space="0" w:color="auto"/>
            </w:tcBorders>
            <w:vAlign w:val="center"/>
          </w:tcPr>
          <w:p w:rsidR="003D5AC4" w:rsidRPr="00605FAF" w:rsidRDefault="003D5AC4" w:rsidP="00B53D00">
            <w:pPr>
              <w:pStyle w:val="2normal"/>
              <w:spacing w:line="228" w:lineRule="auto"/>
              <w:jc w:val="center"/>
              <w:rPr>
                <w:szCs w:val="18"/>
                <w:lang w:val="ru-RU"/>
              </w:rPr>
            </w:pPr>
          </w:p>
        </w:tc>
        <w:tc>
          <w:tcPr>
            <w:tcW w:w="1853" w:type="dxa"/>
            <w:tcBorders>
              <w:top w:val="single" w:sz="4" w:space="0" w:color="auto"/>
              <w:bottom w:val="single" w:sz="4" w:space="0" w:color="auto"/>
            </w:tcBorders>
            <w:vAlign w:val="center"/>
          </w:tcPr>
          <w:p w:rsidR="003D5AC4" w:rsidRPr="00605FAF" w:rsidRDefault="003D5AC4" w:rsidP="00B53D00">
            <w:pPr>
              <w:pStyle w:val="2normal"/>
              <w:spacing w:line="228" w:lineRule="auto"/>
              <w:jc w:val="center"/>
              <w:rPr>
                <w:b/>
                <w:szCs w:val="18"/>
                <w:lang w:val="ru-RU"/>
              </w:rPr>
            </w:pPr>
            <w:r w:rsidRPr="00605FAF">
              <w:rPr>
                <w:b/>
                <w:szCs w:val="18"/>
                <w:lang w:val="ru-RU"/>
              </w:rPr>
              <w:t>Норматив Банка России, %</w:t>
            </w:r>
          </w:p>
        </w:tc>
        <w:tc>
          <w:tcPr>
            <w:tcW w:w="1470" w:type="dxa"/>
            <w:tcBorders>
              <w:top w:val="single" w:sz="4" w:space="0" w:color="auto"/>
              <w:bottom w:val="single" w:sz="4" w:space="0" w:color="auto"/>
            </w:tcBorders>
            <w:vAlign w:val="center"/>
            <w:hideMark/>
          </w:tcPr>
          <w:p w:rsidR="003D5AC4" w:rsidRPr="00605FAF" w:rsidRDefault="003D5AC4" w:rsidP="00B53D00">
            <w:pPr>
              <w:pStyle w:val="2normal"/>
              <w:spacing w:line="228" w:lineRule="auto"/>
              <w:jc w:val="center"/>
              <w:rPr>
                <w:b/>
                <w:szCs w:val="18"/>
                <w:lang w:val="ru-RU"/>
              </w:rPr>
            </w:pPr>
            <w:r w:rsidRPr="00605FAF">
              <w:rPr>
                <w:b/>
                <w:szCs w:val="18"/>
                <w:lang w:val="ru-RU"/>
              </w:rPr>
              <w:t>31.12.2018, %</w:t>
            </w:r>
          </w:p>
        </w:tc>
        <w:tc>
          <w:tcPr>
            <w:tcW w:w="1517" w:type="dxa"/>
            <w:gridSpan w:val="2"/>
            <w:tcBorders>
              <w:top w:val="single" w:sz="4" w:space="0" w:color="auto"/>
              <w:bottom w:val="single" w:sz="4" w:space="0" w:color="auto"/>
            </w:tcBorders>
            <w:vAlign w:val="center"/>
            <w:hideMark/>
          </w:tcPr>
          <w:p w:rsidR="003D5AC4" w:rsidRPr="00605FAF" w:rsidRDefault="003D5AC4" w:rsidP="00B53D00">
            <w:pPr>
              <w:pStyle w:val="2normal"/>
              <w:spacing w:line="228" w:lineRule="auto"/>
              <w:jc w:val="center"/>
              <w:rPr>
                <w:b/>
                <w:szCs w:val="18"/>
                <w:lang w:val="ru-RU"/>
              </w:rPr>
            </w:pPr>
            <w:r w:rsidRPr="00605FAF">
              <w:rPr>
                <w:b/>
                <w:szCs w:val="18"/>
                <w:lang w:val="ru-RU"/>
              </w:rPr>
              <w:t>31.12.2017, %</w:t>
            </w:r>
          </w:p>
        </w:tc>
      </w:tr>
      <w:tr w:rsidR="003D5AC4" w:rsidRPr="00605FAF" w:rsidTr="00B53D00">
        <w:trPr>
          <w:gridAfter w:val="1"/>
          <w:wAfter w:w="162" w:type="dxa"/>
          <w:trHeight w:val="237"/>
        </w:trPr>
        <w:tc>
          <w:tcPr>
            <w:tcW w:w="4907" w:type="dxa"/>
            <w:tcBorders>
              <w:top w:val="single" w:sz="4" w:space="0" w:color="auto"/>
            </w:tcBorders>
            <w:vAlign w:val="center"/>
          </w:tcPr>
          <w:p w:rsidR="003D5AC4" w:rsidRPr="00605FAF" w:rsidRDefault="003D5AC4" w:rsidP="00B53D00">
            <w:pPr>
              <w:pStyle w:val="2normal"/>
              <w:spacing w:line="276" w:lineRule="auto"/>
              <w:rPr>
                <w:szCs w:val="18"/>
                <w:lang w:val="ru-RU"/>
              </w:rPr>
            </w:pPr>
            <w:r w:rsidRPr="00605FAF">
              <w:rPr>
                <w:szCs w:val="18"/>
                <w:lang w:val="ru-RU"/>
              </w:rPr>
              <w:t>Н2  (норматив мгновенной ликвидности)</w:t>
            </w:r>
          </w:p>
        </w:tc>
        <w:tc>
          <w:tcPr>
            <w:tcW w:w="1853" w:type="dxa"/>
            <w:tcBorders>
              <w:top w:val="single" w:sz="4" w:space="0" w:color="auto"/>
            </w:tcBorders>
            <w:vAlign w:val="center"/>
          </w:tcPr>
          <w:p w:rsidR="003D5AC4" w:rsidRPr="00605FAF" w:rsidRDefault="003D5AC4" w:rsidP="00B53D00">
            <w:pPr>
              <w:pStyle w:val="2normal"/>
              <w:spacing w:line="228" w:lineRule="auto"/>
              <w:ind w:left="338"/>
              <w:rPr>
                <w:rFonts w:cs="Arial"/>
                <w:bCs/>
                <w:color w:val="000000"/>
                <w:szCs w:val="18"/>
                <w:lang w:val="ru-RU" w:eastAsia="ru-RU"/>
              </w:rPr>
            </w:pPr>
            <w:r w:rsidRPr="00605FAF">
              <w:rPr>
                <w:rFonts w:cs="Arial"/>
                <w:bCs/>
                <w:color w:val="000000"/>
                <w:szCs w:val="18"/>
                <w:lang w:val="ru-RU" w:eastAsia="ru-RU"/>
              </w:rPr>
              <w:t>min 15.0</w:t>
            </w:r>
          </w:p>
        </w:tc>
        <w:tc>
          <w:tcPr>
            <w:tcW w:w="1470" w:type="dxa"/>
            <w:tcBorders>
              <w:top w:val="single" w:sz="4" w:space="0" w:color="auto"/>
            </w:tcBorders>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365,2</w:t>
            </w:r>
          </w:p>
        </w:tc>
        <w:tc>
          <w:tcPr>
            <w:tcW w:w="1355" w:type="dxa"/>
            <w:tcBorders>
              <w:top w:val="single" w:sz="4" w:space="0" w:color="auto"/>
            </w:tcBorders>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150,6</w:t>
            </w:r>
          </w:p>
        </w:tc>
      </w:tr>
      <w:tr w:rsidR="003D5AC4" w:rsidRPr="00605FAF" w:rsidTr="003D5AC4">
        <w:trPr>
          <w:gridAfter w:val="1"/>
          <w:wAfter w:w="162" w:type="dxa"/>
          <w:trHeight w:val="237"/>
        </w:trPr>
        <w:tc>
          <w:tcPr>
            <w:tcW w:w="4907" w:type="dxa"/>
            <w:vAlign w:val="center"/>
          </w:tcPr>
          <w:p w:rsidR="003D5AC4" w:rsidRPr="00605FAF" w:rsidRDefault="003D5AC4" w:rsidP="00B53D00">
            <w:pPr>
              <w:pStyle w:val="2normal"/>
              <w:spacing w:line="276" w:lineRule="auto"/>
              <w:rPr>
                <w:szCs w:val="18"/>
                <w:lang w:val="ru-RU"/>
              </w:rPr>
            </w:pPr>
            <w:r w:rsidRPr="00605FAF">
              <w:rPr>
                <w:szCs w:val="18"/>
                <w:lang w:val="ru-RU"/>
              </w:rPr>
              <w:t>Н3  (норматив текущей ликвидности)</w:t>
            </w:r>
          </w:p>
        </w:tc>
        <w:tc>
          <w:tcPr>
            <w:tcW w:w="1853" w:type="dxa"/>
            <w:vAlign w:val="center"/>
          </w:tcPr>
          <w:p w:rsidR="003D5AC4" w:rsidRPr="00605FAF" w:rsidRDefault="003D5AC4" w:rsidP="00B53D00">
            <w:pPr>
              <w:pStyle w:val="2normal"/>
              <w:spacing w:line="228" w:lineRule="auto"/>
              <w:ind w:left="338"/>
              <w:rPr>
                <w:rFonts w:cs="Arial"/>
                <w:bCs/>
                <w:color w:val="000000"/>
                <w:szCs w:val="18"/>
                <w:lang w:val="ru-RU" w:eastAsia="ru-RU"/>
              </w:rPr>
            </w:pPr>
            <w:r w:rsidRPr="00605FAF">
              <w:rPr>
                <w:rFonts w:cs="Arial"/>
                <w:bCs/>
                <w:color w:val="000000"/>
                <w:szCs w:val="18"/>
                <w:lang w:val="ru-RU" w:eastAsia="ru-RU"/>
              </w:rPr>
              <w:t>min 50.0</w:t>
            </w:r>
          </w:p>
        </w:tc>
        <w:tc>
          <w:tcPr>
            <w:tcW w:w="1470" w:type="dxa"/>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888,7</w:t>
            </w:r>
          </w:p>
        </w:tc>
        <w:tc>
          <w:tcPr>
            <w:tcW w:w="1355" w:type="dxa"/>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428,4</w:t>
            </w:r>
          </w:p>
        </w:tc>
      </w:tr>
      <w:tr w:rsidR="003D5AC4" w:rsidRPr="00605FAF" w:rsidTr="003D5AC4">
        <w:trPr>
          <w:gridAfter w:val="1"/>
          <w:wAfter w:w="162" w:type="dxa"/>
          <w:trHeight w:val="237"/>
        </w:trPr>
        <w:tc>
          <w:tcPr>
            <w:tcW w:w="4907" w:type="dxa"/>
            <w:tcBorders>
              <w:bottom w:val="single" w:sz="4" w:space="0" w:color="auto"/>
            </w:tcBorders>
            <w:vAlign w:val="center"/>
          </w:tcPr>
          <w:p w:rsidR="003D5AC4" w:rsidRPr="00605FAF" w:rsidRDefault="003D5AC4" w:rsidP="00B53D00">
            <w:pPr>
              <w:pStyle w:val="2normal"/>
              <w:spacing w:line="276" w:lineRule="auto"/>
              <w:rPr>
                <w:szCs w:val="18"/>
                <w:lang w:val="ru-RU"/>
              </w:rPr>
            </w:pPr>
            <w:r w:rsidRPr="00605FAF">
              <w:rPr>
                <w:szCs w:val="18"/>
                <w:lang w:val="ru-RU"/>
              </w:rPr>
              <w:t>Н4  (норматив долгосрочной ликвидности)</w:t>
            </w:r>
          </w:p>
        </w:tc>
        <w:tc>
          <w:tcPr>
            <w:tcW w:w="1853" w:type="dxa"/>
            <w:tcBorders>
              <w:bottom w:val="single" w:sz="4" w:space="0" w:color="auto"/>
            </w:tcBorders>
            <w:vAlign w:val="center"/>
          </w:tcPr>
          <w:p w:rsidR="003D5AC4" w:rsidRPr="00605FAF" w:rsidRDefault="003D5AC4" w:rsidP="00B53D00">
            <w:pPr>
              <w:pStyle w:val="2normal"/>
              <w:spacing w:line="228" w:lineRule="auto"/>
              <w:ind w:left="338"/>
              <w:rPr>
                <w:rFonts w:cs="Arial"/>
                <w:bCs/>
                <w:color w:val="000000"/>
                <w:szCs w:val="18"/>
                <w:lang w:val="ru-RU" w:eastAsia="ru-RU"/>
              </w:rPr>
            </w:pPr>
            <w:r w:rsidRPr="00605FAF">
              <w:rPr>
                <w:rFonts w:cs="Arial"/>
                <w:bCs/>
                <w:color w:val="000000"/>
                <w:szCs w:val="18"/>
                <w:lang w:val="ru-RU" w:eastAsia="ru-RU"/>
              </w:rPr>
              <w:t>max 120.0</w:t>
            </w:r>
          </w:p>
        </w:tc>
        <w:tc>
          <w:tcPr>
            <w:tcW w:w="1470" w:type="dxa"/>
            <w:tcBorders>
              <w:bottom w:val="single" w:sz="4" w:space="0" w:color="auto"/>
            </w:tcBorders>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17,3</w:t>
            </w:r>
          </w:p>
        </w:tc>
        <w:tc>
          <w:tcPr>
            <w:tcW w:w="1355" w:type="dxa"/>
            <w:tcBorders>
              <w:bottom w:val="single" w:sz="4" w:space="0" w:color="auto"/>
            </w:tcBorders>
            <w:vAlign w:val="center"/>
          </w:tcPr>
          <w:p w:rsidR="003D5AC4" w:rsidRPr="00605FAF" w:rsidRDefault="003D5AC4" w:rsidP="00B53D00">
            <w:pPr>
              <w:pStyle w:val="2normal"/>
              <w:spacing w:line="228" w:lineRule="auto"/>
              <w:jc w:val="center"/>
              <w:rPr>
                <w:rFonts w:cs="Arial"/>
                <w:bCs/>
                <w:color w:val="000000"/>
                <w:szCs w:val="18"/>
                <w:lang w:val="ru-RU" w:eastAsia="ru-RU"/>
              </w:rPr>
            </w:pPr>
            <w:r w:rsidRPr="00605FAF">
              <w:rPr>
                <w:rFonts w:cs="Arial"/>
                <w:color w:val="000000"/>
                <w:szCs w:val="18"/>
              </w:rPr>
              <w:t>12,7</w:t>
            </w:r>
          </w:p>
        </w:tc>
      </w:tr>
    </w:tbl>
    <w:p w:rsidR="003D5AC4" w:rsidRPr="00605FAF" w:rsidRDefault="003D5AC4" w:rsidP="003D5AC4">
      <w:pPr>
        <w:jc w:val="both"/>
        <w:rPr>
          <w:rFonts w:cs="Arial"/>
          <w:sz w:val="20"/>
          <w:szCs w:val="20"/>
          <w:lang w:val="ru-RU" w:eastAsia="ru-RU"/>
        </w:rPr>
      </w:pPr>
    </w:p>
    <w:p w:rsidR="003D5AC4" w:rsidRPr="00605FAF" w:rsidRDefault="003D5AC4" w:rsidP="003D5AC4">
      <w:pPr>
        <w:pStyle w:val="2normal"/>
        <w:tabs>
          <w:tab w:val="left" w:pos="741"/>
        </w:tabs>
        <w:jc w:val="both"/>
        <w:rPr>
          <w:sz w:val="20"/>
          <w:szCs w:val="20"/>
          <w:lang w:val="ru-RU"/>
        </w:rPr>
      </w:pPr>
      <w:r w:rsidRPr="00605FAF">
        <w:rPr>
          <w:sz w:val="20"/>
          <w:szCs w:val="20"/>
          <w:lang w:val="ru-RU"/>
        </w:rPr>
        <w:t xml:space="preserve">В течение отчетного периода Банк стабильно выполнял все обязательные нормативы, установленные Центральным </w:t>
      </w:r>
      <w:r w:rsidR="00480F6E">
        <w:rPr>
          <w:sz w:val="20"/>
          <w:szCs w:val="20"/>
          <w:lang w:val="ru-RU"/>
        </w:rPr>
        <w:t>Б</w:t>
      </w:r>
      <w:r w:rsidRPr="00605FAF">
        <w:rPr>
          <w:sz w:val="20"/>
          <w:szCs w:val="20"/>
          <w:lang w:val="ru-RU"/>
        </w:rPr>
        <w:t xml:space="preserve">анком России, своевременно исполняя все финансовые обязательства перед контрагентами, в полном объеме и без потерь обеспечивал выполнение своих долговых обязательств.  В целях расчета нормативов ликвидности Н2, Н3, Н4 Банк использует подход, предусматривающий включение в расчет указанных нормативов показателей Овм*, Овт*, О*. </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 xml:space="preserve">Для оценки текущей ликвидности в Банке на ежедневной основе составляется отчет «Ликвидная позиция банка на утро текущего дня», который формируется ответственным сотрудником Финансового управления и предоставляется на заседание КУЛ, на котором анализируются итоги деятельности по регулированию текущей ликвидности за предыдущий день и принимаются </w:t>
      </w:r>
      <w:r w:rsidRPr="00605FAF">
        <w:rPr>
          <w:rFonts w:cs="Arial"/>
          <w:sz w:val="20"/>
          <w:szCs w:val="20"/>
          <w:lang w:val="ru-RU" w:eastAsia="ru-RU"/>
        </w:rPr>
        <w:lastRenderedPageBreak/>
        <w:t xml:space="preserve">необходимые решения. Решения, принятые КУЛ, являются обязательными для исполнения всеми подразделениями и должностными лицами Банка. </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 xml:space="preserve">Кроме того, специалистами Финансового управления, ежедневно в режиме реального времени в течение всего рабочего дня осуществляется контроль движения денежных средств по корреспондентскому счету банка в Банке России и ностро-счетам в коммерческих банках, для оперативной оценки способности Банка осуществлять оплату принятых к исполнению текущим операционным днем платежей клиентов и с целью своевременного принятия решений, направленных на поддержание оптимального остатка на корсчетах </w:t>
      </w:r>
      <w:r w:rsidR="00F561EE">
        <w:rPr>
          <w:rFonts w:cs="Arial"/>
          <w:sz w:val="20"/>
          <w:szCs w:val="20"/>
          <w:lang w:val="ru-RU" w:eastAsia="ru-RU"/>
        </w:rPr>
        <w:t>Б</w:t>
      </w:r>
      <w:r w:rsidRPr="00605FAF">
        <w:rPr>
          <w:rFonts w:cs="Arial"/>
          <w:sz w:val="20"/>
          <w:szCs w:val="20"/>
          <w:lang w:val="ru-RU" w:eastAsia="ru-RU"/>
        </w:rPr>
        <w:t xml:space="preserve">анка. </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 xml:space="preserve">В рамках управления текущей ликвидностью все структурные подразделения головного офиса Банка и дополнительные/операционные офисы, филиал Банка, деятельность которых влияет на состояние ликвидности Банка, обязаны в оперативном порядке информировать Финансовое управление о принятии решений по проведению сделок, информация по которым не нашла отражение в сформированной на текущий день  платежной позиции, либо об изменении условий и сроков исполнения сделок, информация по которым была включена в платежную позицию. К таким видам сделок относятся: </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сделки по предоставлению кредитов (изменение условий уже заключенных договоров, в том числе ожидаемых досрочных возвратов предоставленных кредитных ресурсов, угрозы или фактического неисполнения заемщиками обязательств в части гашения основного долга и процентов за пользование ссудами);</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сделки на рынке ценных бумаг, и условия их исполнения;</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сделки по привлечению депозитов от клиентов юридических лиц;</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сделки в иностранной валюте;</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операции по подкреплению и вывозу излишков денежной наличности операционных касс в офисах Банка.</w:t>
      </w:r>
    </w:p>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Оценка состояния краткосрочной, текущей и перспективной ликвидности осуществляется следующими методами:</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метод коэффициентов (нормативный подход, установленный Банком России);</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метод анализа разрыва в сроках погашения требований и обязательств с расчетом показателей ликвидности: избыток/дефицит ликвидности, коэффициент избытка/дефицита ликвидности. Данный метод основан на установлении банком предельных значений коэффициента дефицита ликвидности;</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метод прогнозирования потоков денежных средств. Основан на составлении платежного календаря по временным интервалам (в разбивке валют) и краткосрочного платежного календаря на ближайший месяц с разбивкой по дням. Прогнозный календарь составляется так же с использованием сценариев негативного для Банка развития событий. В этом случае принимаются во внимание состояние рынка (ценные бумаги, кредиты, депозиты, валюта), положение должников, кредиторов;</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 xml:space="preserve">метод оценки уровня коэффициента трансформации. Данный метод отражает трансформацию краткосрочных ресурсов в долгосрочные активы, выданные в превышение имеющегося ресурсного обеспечения долгосрочными пассивами. Метод предусматривает определение оптимального соотношения пропорций трансформации, контроля соотношения соответствующих балансовых статей и разработки мероприятий при отклонении от оптимального уровня. Объем вложений в портфель ценных бумаг определяется на Финансово-инвестиционном комитете исходя из текущих изменений рыночной конъюнктуры, величины баланса и ликвидной позиции Банка с учетом процентного и рыночного риска с последующим утверждением структурных лимитов на Правлении </w:t>
      </w:r>
      <w:r w:rsidR="00F561EE">
        <w:rPr>
          <w:rFonts w:cs="Arial"/>
          <w:sz w:val="20"/>
          <w:szCs w:val="20"/>
          <w:lang w:val="ru-RU" w:eastAsia="ru-RU"/>
        </w:rPr>
        <w:t>Б</w:t>
      </w:r>
      <w:r w:rsidRPr="00605FAF">
        <w:rPr>
          <w:rFonts w:cs="Arial"/>
          <w:sz w:val="20"/>
          <w:szCs w:val="20"/>
          <w:lang w:val="ru-RU" w:eastAsia="ru-RU"/>
        </w:rPr>
        <w:t>анка;</w:t>
      </w:r>
    </w:p>
    <w:p w:rsidR="003D5AC4" w:rsidRPr="00605FAF" w:rsidRDefault="003D5AC4" w:rsidP="00725B20">
      <w:pPr>
        <w:pStyle w:val="afd"/>
        <w:numPr>
          <w:ilvl w:val="0"/>
          <w:numId w:val="81"/>
        </w:numPr>
        <w:tabs>
          <w:tab w:val="left" w:pos="851"/>
        </w:tabs>
        <w:ind w:left="0" w:firstLine="567"/>
        <w:jc w:val="both"/>
        <w:rPr>
          <w:rFonts w:cs="Arial"/>
          <w:sz w:val="20"/>
          <w:szCs w:val="20"/>
          <w:lang w:val="ru-RU" w:eastAsia="ru-RU"/>
        </w:rPr>
      </w:pPr>
      <w:r w:rsidRPr="00605FAF">
        <w:rPr>
          <w:rFonts w:cs="Arial"/>
          <w:sz w:val="20"/>
          <w:szCs w:val="20"/>
          <w:lang w:val="ru-RU" w:eastAsia="ru-RU"/>
        </w:rPr>
        <w:t xml:space="preserve">метод установления лимитов на операции. Метод предусматривает ограничение на виды финансовых операций, проводимых </w:t>
      </w:r>
      <w:r w:rsidR="00A97C17">
        <w:rPr>
          <w:rFonts w:cs="Arial"/>
          <w:sz w:val="20"/>
          <w:szCs w:val="20"/>
          <w:lang w:val="ru-RU" w:eastAsia="ru-RU"/>
        </w:rPr>
        <w:t>Б</w:t>
      </w:r>
      <w:r w:rsidRPr="00605FAF">
        <w:rPr>
          <w:rFonts w:cs="Arial"/>
          <w:sz w:val="20"/>
          <w:szCs w:val="20"/>
          <w:lang w:val="ru-RU" w:eastAsia="ru-RU"/>
        </w:rPr>
        <w:t xml:space="preserve">анком.  Лимиты устанавливаются в разрезе общих позиций на те, или иные виды активов (пассивов), использование финансовых инструментов. Например, необходимо ограничить общую величину балансовых позиций по кредитам, ценным бумагам, межбанковским операциям, привлекаемым депозитам, лимиты на банки–контрагенты, на контрагентов по прочим сделкам, на эмитентов ценных бумаг. Величины лимитов определяются не только соображениями минимизации риска, но также причинами экономического характера, бюджетными ограничениями. Лимиты на проведение операций устанавливаются в рублях и иностранной валюте. Лимиты утверждаются и пересматриваются Правлением </w:t>
      </w:r>
      <w:r w:rsidR="00A97C17">
        <w:rPr>
          <w:rFonts w:cs="Arial"/>
          <w:sz w:val="20"/>
          <w:szCs w:val="20"/>
          <w:lang w:val="ru-RU" w:eastAsia="ru-RU"/>
        </w:rPr>
        <w:t>Б</w:t>
      </w:r>
      <w:r w:rsidRPr="00605FAF">
        <w:rPr>
          <w:rFonts w:cs="Arial"/>
          <w:sz w:val="20"/>
          <w:szCs w:val="20"/>
          <w:lang w:val="ru-RU" w:eastAsia="ru-RU"/>
        </w:rPr>
        <w:t xml:space="preserve">анка по предложению Финансового управления с учетом текущих изменений рыночной конъюнктуры и величины баланса Банка. </w:t>
      </w:r>
    </w:p>
    <w:p w:rsidR="003D5AC4" w:rsidRPr="00605FAF" w:rsidRDefault="003D5AC4" w:rsidP="003D5AC4">
      <w:pPr>
        <w:tabs>
          <w:tab w:val="left" w:pos="851"/>
        </w:tabs>
        <w:jc w:val="both"/>
        <w:rPr>
          <w:rFonts w:cs="Arial"/>
          <w:sz w:val="20"/>
          <w:szCs w:val="20"/>
          <w:lang w:val="ru-RU" w:eastAsia="ru-RU"/>
        </w:rPr>
      </w:pPr>
    </w:p>
    <w:p w:rsidR="003D5AC4" w:rsidRPr="00605FAF" w:rsidRDefault="003D5AC4" w:rsidP="003D5AC4">
      <w:pPr>
        <w:tabs>
          <w:tab w:val="left" w:pos="851"/>
        </w:tabs>
        <w:jc w:val="both"/>
        <w:rPr>
          <w:rFonts w:cs="Arial"/>
          <w:sz w:val="20"/>
          <w:szCs w:val="20"/>
          <w:lang w:val="ru-RU" w:eastAsia="ru-RU"/>
        </w:rPr>
      </w:pPr>
      <w:r w:rsidRPr="00605FAF">
        <w:rPr>
          <w:rFonts w:cs="Arial"/>
          <w:sz w:val="20"/>
          <w:szCs w:val="20"/>
          <w:lang w:val="ru-RU" w:eastAsia="ru-RU"/>
        </w:rPr>
        <w:t xml:space="preserve">Банк старается поддерживать устойчивую базу фондирования, состоящую преимущественно из депозитов юридических лиц, вкладов физических лиц, а также инвестировать средства в диверсифицированные портфели ликвидных активов для того, чтобы иметь возможность быстро и без затруднений выполнить непредвиденные требования по ликвидности. Так же банком проводится активная работа, связанная с повышением равномерности распределения срочных </w:t>
      </w:r>
      <w:r w:rsidRPr="00605FAF">
        <w:rPr>
          <w:rFonts w:cs="Arial"/>
          <w:sz w:val="20"/>
          <w:szCs w:val="20"/>
          <w:lang w:val="ru-RU" w:eastAsia="ru-RU"/>
        </w:rPr>
        <w:lastRenderedPageBreak/>
        <w:t>пассивов по срокам их погашения, что способствует прогнозируемости и управляемости ликвидностью Банка.</w:t>
      </w:r>
    </w:p>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В соответствии с международной практикой Финансовым управлением на основании расчета по распределению активов и обязательств, рассчитывается совокупная величина разрыва (ГЭПа) по всем срокам и рассчитывается размер возможных потерь.</w:t>
      </w: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 xml:space="preserve">Стресс-тесты по ликвидности регулярно проводятся Отделом по управлению банковскими рисками, их результаты рассматриваются Правлением </w:t>
      </w:r>
      <w:r w:rsidR="00A97C17">
        <w:rPr>
          <w:rFonts w:cs="Arial"/>
          <w:sz w:val="20"/>
          <w:szCs w:val="20"/>
          <w:lang w:val="ru-RU" w:eastAsia="ru-RU"/>
        </w:rPr>
        <w:t>Б</w:t>
      </w:r>
      <w:r w:rsidRPr="00605FAF">
        <w:rPr>
          <w:rFonts w:cs="Arial"/>
          <w:sz w:val="20"/>
          <w:szCs w:val="20"/>
          <w:lang w:val="ru-RU" w:eastAsia="ru-RU"/>
        </w:rPr>
        <w:t>анка и Советом Директоров.</w:t>
      </w:r>
    </w:p>
    <w:p w:rsidR="003D5AC4" w:rsidRPr="00605FAF" w:rsidRDefault="003D5AC4" w:rsidP="003D5AC4">
      <w:pPr>
        <w:jc w:val="both"/>
        <w:rPr>
          <w:rFonts w:cs="Arial"/>
          <w:sz w:val="20"/>
          <w:szCs w:val="20"/>
          <w:lang w:val="ru-RU" w:eastAsia="ru-RU"/>
        </w:rPr>
      </w:pPr>
    </w:p>
    <w:p w:rsidR="003D5AC4" w:rsidRPr="00605FAF" w:rsidRDefault="003D5AC4" w:rsidP="003D5AC4">
      <w:pPr>
        <w:jc w:val="both"/>
        <w:rPr>
          <w:rFonts w:cs="Arial"/>
          <w:sz w:val="20"/>
          <w:szCs w:val="20"/>
          <w:lang w:val="ru-RU" w:eastAsia="ru-RU"/>
        </w:rPr>
      </w:pPr>
      <w:r w:rsidRPr="00605FAF">
        <w:rPr>
          <w:rFonts w:cs="Arial"/>
          <w:sz w:val="20"/>
          <w:szCs w:val="20"/>
          <w:lang w:val="ru-RU" w:eastAsia="ru-RU"/>
        </w:rPr>
        <w:t>С учетом текущей экономической ситуации в стране Банком в составе положения «Об организации управления и контроля за ликвидностью и риском ликвидности» разработан план «Возможных организационных мероприятий и управленческих действий в кризисных ситуациях». Планом предусмотрены параметры, сигнализирующие об ухудшении состояния ликвидности в Банке, и действия, принятие которых может стабилизировать ситуацию. Контроль за риском ликвидности возложен на Начальника Финансового управления, который на регулярной основе информирует о состоянии ликвидности Банка Президента и Председателя ФИК.</w:t>
      </w:r>
    </w:p>
    <w:p w:rsidR="003D5AC4" w:rsidRPr="00605FAF" w:rsidRDefault="003D5AC4" w:rsidP="003D5AC4">
      <w:pPr>
        <w:pStyle w:val="HTML"/>
        <w:jc w:val="both"/>
        <w:rPr>
          <w:rFonts w:ascii="Arial" w:hAnsi="Arial" w:cs="Arial"/>
          <w:color w:val="auto"/>
        </w:rPr>
      </w:pPr>
    </w:p>
    <w:p w:rsidR="003D5AC4" w:rsidRPr="00605FAF" w:rsidRDefault="003D5AC4" w:rsidP="003D5AC4">
      <w:pPr>
        <w:pStyle w:val="HTML"/>
        <w:jc w:val="both"/>
        <w:rPr>
          <w:rFonts w:ascii="Arial" w:hAnsi="Arial" w:cs="Arial"/>
          <w:b/>
          <w:color w:val="auto"/>
        </w:rPr>
      </w:pPr>
      <w:r w:rsidRPr="00605FAF">
        <w:rPr>
          <w:rFonts w:ascii="Arial" w:hAnsi="Arial" w:cs="Arial"/>
          <w:b/>
          <w:color w:val="auto"/>
        </w:rPr>
        <w:t xml:space="preserve">7.4 Операции хеджирования: </w:t>
      </w:r>
    </w:p>
    <w:p w:rsidR="003D5AC4" w:rsidRPr="000C3A94" w:rsidRDefault="003D5AC4" w:rsidP="003D5AC4">
      <w:pPr>
        <w:pStyle w:val="HTML"/>
        <w:jc w:val="both"/>
        <w:rPr>
          <w:rFonts w:ascii="Arial" w:hAnsi="Arial" w:cs="Arial"/>
          <w:color w:val="auto"/>
        </w:rPr>
      </w:pPr>
      <w:r w:rsidRPr="00605FAF">
        <w:rPr>
          <w:rFonts w:ascii="Arial" w:hAnsi="Arial" w:cs="Arial"/>
          <w:color w:val="auto"/>
        </w:rPr>
        <w:t>По состоянию на отчетную дату операции хеджирования отсутствовали.</w:t>
      </w:r>
    </w:p>
    <w:p w:rsidR="003D5AC4" w:rsidRPr="003E30CD" w:rsidRDefault="003D5AC4" w:rsidP="00AD5225">
      <w:pPr>
        <w:jc w:val="both"/>
        <w:rPr>
          <w:rFonts w:cs="Arial"/>
          <w:sz w:val="20"/>
          <w:szCs w:val="20"/>
          <w:highlight w:val="yellow"/>
          <w:lang w:val="ru-RU"/>
        </w:rPr>
      </w:pPr>
    </w:p>
    <w:p w:rsidR="003E30CD" w:rsidRPr="00B53D00" w:rsidRDefault="003E30CD" w:rsidP="003E30CD">
      <w:pPr>
        <w:overflowPunct/>
        <w:jc w:val="both"/>
        <w:textAlignment w:val="auto"/>
        <w:rPr>
          <w:rFonts w:eastAsiaTheme="minorHAnsi" w:cs="Arial"/>
          <w:b/>
          <w:sz w:val="20"/>
          <w:szCs w:val="20"/>
          <w:lang w:val="ru-RU"/>
        </w:rPr>
      </w:pPr>
      <w:r w:rsidRPr="004D79D1">
        <w:rPr>
          <w:rFonts w:eastAsiaTheme="minorHAnsi" w:cs="Arial"/>
          <w:b/>
          <w:sz w:val="20"/>
          <w:szCs w:val="20"/>
          <w:lang w:val="ru-RU"/>
        </w:rPr>
        <w:t>8. Информация об управлении капиталом</w:t>
      </w:r>
    </w:p>
    <w:p w:rsidR="001F20BD" w:rsidRDefault="001F20BD" w:rsidP="001F20BD">
      <w:pPr>
        <w:pStyle w:val="2normal"/>
        <w:spacing w:line="228" w:lineRule="auto"/>
        <w:jc w:val="both"/>
        <w:rPr>
          <w:b/>
          <w:sz w:val="20"/>
          <w:szCs w:val="20"/>
          <w:highlight w:val="yellow"/>
          <w:lang w:val="ru-RU"/>
        </w:rPr>
      </w:pPr>
    </w:p>
    <w:p w:rsidR="004D79D1" w:rsidRPr="00697C2F" w:rsidRDefault="004D79D1" w:rsidP="004D79D1">
      <w:pPr>
        <w:rPr>
          <w:b/>
          <w:sz w:val="20"/>
          <w:szCs w:val="20"/>
          <w:lang w:val="ru-RU"/>
        </w:rPr>
      </w:pPr>
      <w:r w:rsidRPr="00697C2F">
        <w:rPr>
          <w:b/>
          <w:sz w:val="20"/>
          <w:szCs w:val="20"/>
          <w:lang w:val="ru-RU"/>
        </w:rPr>
        <w:t xml:space="preserve">Информация о </w:t>
      </w:r>
      <w:r>
        <w:rPr>
          <w:b/>
          <w:sz w:val="20"/>
          <w:szCs w:val="20"/>
          <w:lang w:val="ru-RU"/>
        </w:rPr>
        <w:t xml:space="preserve">целях, </w:t>
      </w:r>
      <w:r w:rsidRPr="00697C2F">
        <w:rPr>
          <w:b/>
          <w:sz w:val="20"/>
          <w:szCs w:val="20"/>
          <w:lang w:val="ru-RU"/>
        </w:rPr>
        <w:t>политике и процедурах в области управления капиталом, принятые Банком</w:t>
      </w:r>
    </w:p>
    <w:p w:rsidR="004D79D1" w:rsidRPr="00697C2F" w:rsidRDefault="004D79D1" w:rsidP="004D79D1">
      <w:pPr>
        <w:rPr>
          <w:b/>
          <w:sz w:val="20"/>
          <w:szCs w:val="20"/>
          <w:lang w:val="ru-RU"/>
        </w:rPr>
      </w:pPr>
    </w:p>
    <w:p w:rsidR="004D79D1" w:rsidRPr="00697C2F" w:rsidRDefault="004D79D1" w:rsidP="004D79D1">
      <w:pPr>
        <w:pStyle w:val="2normal"/>
        <w:spacing w:line="228" w:lineRule="auto"/>
        <w:jc w:val="both"/>
        <w:rPr>
          <w:sz w:val="20"/>
          <w:szCs w:val="20"/>
          <w:lang w:val="ru-RU"/>
        </w:rPr>
      </w:pPr>
      <w:r w:rsidRPr="00697C2F">
        <w:rPr>
          <w:sz w:val="20"/>
          <w:szCs w:val="20"/>
          <w:lang w:val="ru-RU"/>
        </w:rPr>
        <w:t xml:space="preserve">Цель, политика и процедуры в области управления капиталом, принятые в </w:t>
      </w:r>
      <w:r w:rsidR="003F4EB2">
        <w:rPr>
          <w:sz w:val="20"/>
          <w:szCs w:val="20"/>
          <w:lang w:val="ru-RU"/>
        </w:rPr>
        <w:t>Б</w:t>
      </w:r>
      <w:r w:rsidRPr="00697C2F">
        <w:rPr>
          <w:sz w:val="20"/>
          <w:szCs w:val="20"/>
          <w:lang w:val="ru-RU"/>
        </w:rPr>
        <w:t>анке, направлены на Управление капиталом Банка и имеют следующие цели: соблюдение требований к капиталу, установленных Банком России, и в том числе требований системы страхования вкладов; обеспечение способности Банка функционировать в качестве непрерывно действующего предприятия при обязательном соблюдении требований к капиталу, установленных Банком России, включая требования системы страховани</w:t>
      </w:r>
      <w:r w:rsidR="003F4EB2">
        <w:rPr>
          <w:sz w:val="20"/>
          <w:szCs w:val="20"/>
          <w:lang w:val="ru-RU"/>
        </w:rPr>
        <w:t>я</w:t>
      </w:r>
      <w:r w:rsidRPr="00697C2F">
        <w:rPr>
          <w:sz w:val="20"/>
          <w:szCs w:val="20"/>
          <w:lang w:val="ru-RU"/>
        </w:rPr>
        <w:t xml:space="preserve"> вкладов.</w:t>
      </w:r>
    </w:p>
    <w:p w:rsidR="004D79D1" w:rsidRPr="00697C2F" w:rsidRDefault="004D79D1" w:rsidP="004D79D1">
      <w:pPr>
        <w:overflowPunct/>
        <w:jc w:val="both"/>
        <w:textAlignment w:val="auto"/>
        <w:rPr>
          <w:sz w:val="20"/>
          <w:szCs w:val="20"/>
          <w:lang w:val="ru-RU"/>
        </w:rPr>
      </w:pPr>
      <w:r w:rsidRPr="00697C2F">
        <w:rPr>
          <w:sz w:val="20"/>
          <w:szCs w:val="20"/>
          <w:lang w:val="ru-RU"/>
        </w:rPr>
        <w:t xml:space="preserve">Расчет показателей величины и оценки достаточности капитала осуществляется в соответствии с Положением Банка России </w:t>
      </w:r>
      <w:r>
        <w:rPr>
          <w:sz w:val="20"/>
          <w:szCs w:val="20"/>
          <w:lang w:val="ru-RU"/>
        </w:rPr>
        <w:t xml:space="preserve">от </w:t>
      </w:r>
      <w:r>
        <w:rPr>
          <w:rFonts w:eastAsiaTheme="minorHAnsi" w:cs="Arial"/>
          <w:sz w:val="20"/>
          <w:szCs w:val="20"/>
          <w:lang w:val="ru-RU"/>
        </w:rPr>
        <w:t xml:space="preserve">04.07.2018 N 646-П </w:t>
      </w:r>
      <w:r w:rsidRPr="00D93B22">
        <w:rPr>
          <w:sz w:val="20"/>
          <w:szCs w:val="20"/>
          <w:lang w:val="ru-RU"/>
        </w:rPr>
        <w:t xml:space="preserve">"Положение о методике определения собственных средств (капитала) кредитных организаций ("Базель III")" </w:t>
      </w:r>
      <w:r>
        <w:rPr>
          <w:sz w:val="20"/>
          <w:szCs w:val="20"/>
          <w:lang w:val="ru-RU"/>
        </w:rPr>
        <w:t xml:space="preserve">(до 29.09.2018 в соответствии с </w:t>
      </w:r>
      <w:r w:rsidRPr="00697C2F">
        <w:rPr>
          <w:sz w:val="20"/>
          <w:szCs w:val="20"/>
          <w:lang w:val="ru-RU"/>
        </w:rPr>
        <w:t>Положением Банка России</w:t>
      </w:r>
      <w:r>
        <w:rPr>
          <w:sz w:val="20"/>
          <w:szCs w:val="20"/>
          <w:lang w:val="ru-RU"/>
        </w:rPr>
        <w:t xml:space="preserve"> </w:t>
      </w:r>
      <w:r w:rsidRPr="00697C2F">
        <w:rPr>
          <w:sz w:val="20"/>
          <w:szCs w:val="20"/>
          <w:lang w:val="ru-RU"/>
        </w:rPr>
        <w:t xml:space="preserve">от 28.12.2012 г. № 395-П «О методике определения величины собственных средств (капитала) кредитных организаций </w:t>
      </w:r>
      <w:r w:rsidRPr="00D93B22">
        <w:rPr>
          <w:sz w:val="20"/>
          <w:szCs w:val="20"/>
          <w:lang w:val="ru-RU"/>
        </w:rPr>
        <w:t>("Базель III")"</w:t>
      </w:r>
      <w:r>
        <w:rPr>
          <w:sz w:val="20"/>
          <w:szCs w:val="20"/>
          <w:lang w:val="ru-RU"/>
        </w:rPr>
        <w:t xml:space="preserve">) </w:t>
      </w:r>
      <w:r w:rsidRPr="00697C2F">
        <w:rPr>
          <w:sz w:val="20"/>
          <w:szCs w:val="20"/>
          <w:lang w:val="ru-RU"/>
        </w:rPr>
        <w:t>и Инструкцией Банка России от 28.06.2017 N 180-И "Об обязательных нормативах банков" на ежедневной основе.</w:t>
      </w:r>
    </w:p>
    <w:p w:rsidR="004D79D1" w:rsidRDefault="004D79D1" w:rsidP="004D79D1">
      <w:pPr>
        <w:pStyle w:val="2normal"/>
        <w:spacing w:line="228" w:lineRule="auto"/>
        <w:jc w:val="both"/>
        <w:rPr>
          <w:sz w:val="20"/>
          <w:szCs w:val="20"/>
          <w:lang w:val="ru-RU"/>
        </w:rPr>
      </w:pPr>
    </w:p>
    <w:p w:rsidR="004D79D1" w:rsidRPr="00697C2F" w:rsidRDefault="004D79D1" w:rsidP="004D79D1">
      <w:pPr>
        <w:pStyle w:val="2normal"/>
        <w:spacing w:line="228" w:lineRule="auto"/>
        <w:jc w:val="both"/>
        <w:rPr>
          <w:sz w:val="20"/>
          <w:szCs w:val="20"/>
          <w:lang w:val="ru-RU"/>
        </w:rPr>
      </w:pPr>
      <w:r w:rsidRPr="00697C2F">
        <w:rPr>
          <w:sz w:val="20"/>
          <w:szCs w:val="20"/>
          <w:lang w:val="ru-RU"/>
        </w:rPr>
        <w:t xml:space="preserve">В целях соответствия величины капитала нормативным требованиям в Банке осуществляется ежедневный прогноз размера капитала и установлены процедуры ежедневного мониторинга. </w:t>
      </w:r>
    </w:p>
    <w:p w:rsidR="004D79D1" w:rsidRPr="00697C2F" w:rsidRDefault="004D79D1" w:rsidP="004D79D1">
      <w:pPr>
        <w:pStyle w:val="2normal"/>
        <w:spacing w:line="228" w:lineRule="auto"/>
        <w:jc w:val="both"/>
        <w:rPr>
          <w:sz w:val="20"/>
          <w:szCs w:val="20"/>
          <w:lang w:val="ru-RU"/>
        </w:rPr>
      </w:pPr>
      <w:r w:rsidRPr="00697C2F">
        <w:rPr>
          <w:sz w:val="20"/>
          <w:szCs w:val="20"/>
          <w:lang w:val="ru-RU"/>
        </w:rPr>
        <w:t xml:space="preserve">Текущее планирование операций Банка осуществляется с учетом оценки их влияния на капитал банка и показатель достаточности капитала. </w:t>
      </w:r>
    </w:p>
    <w:p w:rsidR="004D79D1" w:rsidRDefault="004D79D1" w:rsidP="004D79D1">
      <w:pPr>
        <w:pStyle w:val="2normal"/>
        <w:spacing w:line="228" w:lineRule="auto"/>
        <w:jc w:val="both"/>
        <w:rPr>
          <w:sz w:val="20"/>
          <w:szCs w:val="20"/>
          <w:lang w:val="ru-RU"/>
        </w:rPr>
      </w:pPr>
    </w:p>
    <w:p w:rsidR="004D79D1" w:rsidRDefault="004D79D1" w:rsidP="004D79D1">
      <w:pPr>
        <w:pStyle w:val="2normal"/>
        <w:spacing w:line="228" w:lineRule="auto"/>
        <w:jc w:val="both"/>
        <w:rPr>
          <w:b/>
          <w:sz w:val="20"/>
          <w:szCs w:val="20"/>
          <w:lang w:val="ru-RU"/>
        </w:rPr>
      </w:pPr>
      <w:r w:rsidRPr="004D2EAE">
        <w:rPr>
          <w:sz w:val="20"/>
          <w:szCs w:val="20"/>
          <w:lang w:val="ru-RU"/>
        </w:rPr>
        <w:t xml:space="preserve">При планировании своей будущей деятельности оценка достаточности капитала осуществляется посредством контроля нормативного значения Н1 исходя из плана развития банка на текущий период, с учетом уровня риска по планируемым активным операциям в соответствии с требованиями Базеля III. </w:t>
      </w:r>
    </w:p>
    <w:p w:rsidR="004D79D1" w:rsidRDefault="004D79D1" w:rsidP="004D79D1">
      <w:pPr>
        <w:pStyle w:val="2normal"/>
        <w:spacing w:line="228" w:lineRule="auto"/>
        <w:jc w:val="both"/>
        <w:rPr>
          <w:sz w:val="20"/>
          <w:szCs w:val="20"/>
          <w:lang w:val="ru-RU"/>
        </w:rPr>
      </w:pPr>
    </w:p>
    <w:p w:rsidR="004D79D1" w:rsidRPr="004D79D1" w:rsidRDefault="004D79D1" w:rsidP="004D79D1">
      <w:pPr>
        <w:overflowPunct/>
        <w:jc w:val="both"/>
        <w:textAlignment w:val="auto"/>
        <w:rPr>
          <w:sz w:val="20"/>
          <w:szCs w:val="20"/>
          <w:lang w:val="ru-RU"/>
        </w:rPr>
      </w:pPr>
      <w:r w:rsidRPr="00EA2658">
        <w:rPr>
          <w:sz w:val="20"/>
          <w:szCs w:val="20"/>
          <w:lang w:val="ru-RU"/>
        </w:rPr>
        <w:t>Банк контролирует выполнение требований к уровню достаточности капитала, установленному Центральным Банком Российской Федерации для кредитных институтов. В соответствии с существующими требованиями к капиталу, банки должны поддерживать соотношение капитала любо</w:t>
      </w:r>
      <w:r>
        <w:rPr>
          <w:sz w:val="20"/>
          <w:szCs w:val="20"/>
          <w:lang w:val="ru-RU"/>
        </w:rPr>
        <w:t xml:space="preserve">го уровня (базового, основного, </w:t>
      </w:r>
      <w:r w:rsidRPr="00EA2658">
        <w:rPr>
          <w:sz w:val="20"/>
          <w:szCs w:val="20"/>
          <w:lang w:val="ru-RU"/>
        </w:rPr>
        <w:t xml:space="preserve">собственных средств) и активов, взвешенных с учетом риска  на уровне с учетом  запаса прочности. ЦБ РФ устанавливает следующие обязательные требования к достаточности базового капитала, </w:t>
      </w:r>
      <w:r w:rsidRPr="00526B88">
        <w:rPr>
          <w:sz w:val="20"/>
          <w:szCs w:val="20"/>
          <w:lang w:val="ru-RU"/>
        </w:rPr>
        <w:t>основного</w:t>
      </w:r>
      <w:r w:rsidRPr="00EA2658">
        <w:rPr>
          <w:sz w:val="20"/>
          <w:szCs w:val="20"/>
          <w:lang w:val="ru-RU"/>
        </w:rPr>
        <w:t xml:space="preserve"> капитала и общей величины капитала: 4,5%, 6% и 8% соответственно.</w:t>
      </w:r>
      <w:r>
        <w:rPr>
          <w:sz w:val="20"/>
          <w:szCs w:val="20"/>
          <w:lang w:val="ru-RU"/>
        </w:rPr>
        <w:t xml:space="preserve"> </w:t>
      </w:r>
      <w:r w:rsidRPr="004D79D1">
        <w:rPr>
          <w:sz w:val="20"/>
          <w:szCs w:val="20"/>
          <w:lang w:val="ru-RU"/>
        </w:rPr>
        <w:t>Так же ЦБ РФ установлено минимально допустимое числовое значение надбавок, которое определяется как сумма минимально допустимых числовых значений надбавки поддержания достаточности капитала, антициклической надбавки, а в случае, если банк является системно значимым, надбавки за системную значимость. Соблюдение минимально допустимого числового значения надбавок обеспечивается за счет источников базового капитала в размере, превышающем величину, требуемую для соблюдения нормативов достаточности капитала банка. Величина антициклической надбавки определяется банком как средневзвешенная величина национальных антициклических надбавок, установленных во всех государствах (включая антициклическую надбавку Российской Федерации), с резидентами которых банк заключил сделки (предоставил обеспечение по сделкам, в том числе заключенным с третьими лицами), по которым рассчитывается кредитный и рыночный риск.</w:t>
      </w:r>
    </w:p>
    <w:p w:rsidR="004D79D1" w:rsidRPr="00D24CF7" w:rsidRDefault="004D79D1" w:rsidP="004D79D1">
      <w:pPr>
        <w:pStyle w:val="2normal"/>
        <w:jc w:val="both"/>
        <w:rPr>
          <w:b/>
          <w:sz w:val="20"/>
          <w:szCs w:val="20"/>
          <w:lang w:val="ru-RU"/>
        </w:rPr>
      </w:pPr>
      <w:r w:rsidRPr="00D24CF7">
        <w:rPr>
          <w:b/>
          <w:sz w:val="20"/>
          <w:szCs w:val="20"/>
          <w:lang w:val="ru-RU"/>
        </w:rPr>
        <w:lastRenderedPageBreak/>
        <w:t>Значение нормативов достаточности капитала Банка за 31.12.2018:</w:t>
      </w:r>
    </w:p>
    <w:p w:rsidR="004D79D1" w:rsidRDefault="004D79D1" w:rsidP="004D79D1">
      <w:pPr>
        <w:pStyle w:val="2normal"/>
        <w:tabs>
          <w:tab w:val="left" w:pos="741"/>
        </w:tabs>
        <w:rPr>
          <w:b/>
          <w:sz w:val="20"/>
          <w:szCs w:val="20"/>
          <w:highlight w:val="red"/>
          <w:lang w:val="ru-RU"/>
        </w:rPr>
      </w:pPr>
    </w:p>
    <w:tbl>
      <w:tblPr>
        <w:tblW w:w="10207" w:type="dxa"/>
        <w:tblInd w:w="-601" w:type="dxa"/>
        <w:tblLayout w:type="fixed"/>
        <w:tblLook w:val="04A0" w:firstRow="1" w:lastRow="0" w:firstColumn="1" w:lastColumn="0" w:noHBand="0" w:noVBand="1"/>
      </w:tblPr>
      <w:tblGrid>
        <w:gridCol w:w="2410"/>
        <w:gridCol w:w="1276"/>
        <w:gridCol w:w="1276"/>
        <w:gridCol w:w="1417"/>
        <w:gridCol w:w="992"/>
        <w:gridCol w:w="1560"/>
        <w:gridCol w:w="1276"/>
      </w:tblGrid>
      <w:tr w:rsidR="004D79D1" w:rsidRPr="006C0DB6" w:rsidTr="004D79D1">
        <w:trPr>
          <w:trHeight w:val="285"/>
        </w:trPr>
        <w:tc>
          <w:tcPr>
            <w:tcW w:w="2410" w:type="dxa"/>
            <w:vMerge w:val="restart"/>
            <w:tcBorders>
              <w:top w:val="single" w:sz="4" w:space="0" w:color="auto"/>
              <w:left w:val="nil"/>
              <w:bottom w:val="single" w:sz="4" w:space="0" w:color="000000"/>
              <w:right w:val="nil"/>
            </w:tcBorders>
            <w:shd w:val="clear" w:color="auto" w:fill="auto"/>
            <w:noWrap/>
            <w:vAlign w:val="bottom"/>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val="restart"/>
            <w:tcBorders>
              <w:top w:val="single" w:sz="4" w:space="0" w:color="auto"/>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Минимально допустимые значения</w:t>
            </w:r>
          </w:p>
        </w:tc>
        <w:tc>
          <w:tcPr>
            <w:tcW w:w="1276" w:type="dxa"/>
            <w:vMerge w:val="restart"/>
            <w:tcBorders>
              <w:top w:val="single" w:sz="4" w:space="0" w:color="auto"/>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Надбавки к нормативам достаточности, итого</w:t>
            </w:r>
          </w:p>
        </w:tc>
        <w:tc>
          <w:tcPr>
            <w:tcW w:w="1417" w:type="dxa"/>
            <w:tcBorders>
              <w:top w:val="single" w:sz="4" w:space="0" w:color="auto"/>
              <w:left w:val="nil"/>
              <w:bottom w:val="single" w:sz="4" w:space="0" w:color="auto"/>
              <w:right w:val="nil"/>
            </w:tcBorders>
            <w:shd w:val="clear" w:color="auto" w:fill="auto"/>
            <w:noWrap/>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r w:rsidRPr="00D24CF7">
              <w:rPr>
                <w:rFonts w:cs="Arial"/>
                <w:b/>
                <w:bCs/>
                <w:color w:val="000000"/>
                <w:sz w:val="16"/>
                <w:szCs w:val="16"/>
                <w:lang w:val="ru-RU" w:eastAsia="ru-RU"/>
              </w:rPr>
              <w:t>в т.ч.:</w:t>
            </w:r>
          </w:p>
        </w:tc>
        <w:tc>
          <w:tcPr>
            <w:tcW w:w="992" w:type="dxa"/>
            <w:tcBorders>
              <w:top w:val="single" w:sz="4" w:space="0" w:color="auto"/>
              <w:left w:val="nil"/>
              <w:bottom w:val="single" w:sz="4" w:space="0" w:color="auto"/>
              <w:right w:val="nil"/>
            </w:tcBorders>
            <w:shd w:val="clear" w:color="auto" w:fill="auto"/>
            <w:noWrap/>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r w:rsidRPr="00D24CF7">
              <w:rPr>
                <w:rFonts w:cs="Arial"/>
                <w:b/>
                <w:bCs/>
                <w:color w:val="000000"/>
                <w:sz w:val="16"/>
                <w:szCs w:val="16"/>
                <w:lang w:val="ru-RU" w:eastAsia="ru-RU"/>
              </w:rPr>
              <w:t> </w:t>
            </w:r>
          </w:p>
        </w:tc>
        <w:tc>
          <w:tcPr>
            <w:tcW w:w="1560" w:type="dxa"/>
            <w:tcBorders>
              <w:top w:val="single" w:sz="4" w:space="0" w:color="auto"/>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276" w:type="dxa"/>
            <w:vMerge w:val="restart"/>
            <w:tcBorders>
              <w:top w:val="single" w:sz="4" w:space="0" w:color="auto"/>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 xml:space="preserve">Фактические значения нормативов Банка за 31.12.2018 </w:t>
            </w:r>
          </w:p>
        </w:tc>
      </w:tr>
      <w:tr w:rsidR="004D79D1" w:rsidRPr="006C0DB6" w:rsidTr="00B53D00">
        <w:trPr>
          <w:trHeight w:val="696"/>
        </w:trPr>
        <w:tc>
          <w:tcPr>
            <w:tcW w:w="2410"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417"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Надбавка поддержания достаточности капитала</w:t>
            </w:r>
          </w:p>
        </w:tc>
        <w:tc>
          <w:tcPr>
            <w:tcW w:w="992"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Антициклическая надбавка</w:t>
            </w:r>
          </w:p>
        </w:tc>
        <w:tc>
          <w:tcPr>
            <w:tcW w:w="1560"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надбавка за системную значимость банков</w:t>
            </w: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r>
      <w:tr w:rsidR="004D79D1" w:rsidRPr="00D24CF7" w:rsidTr="00B53D00">
        <w:trPr>
          <w:trHeight w:val="455"/>
        </w:trPr>
        <w:tc>
          <w:tcPr>
            <w:tcW w:w="241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Норматив достаточности базового капитала Н 1.1</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4,5%</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1,879%</w:t>
            </w:r>
          </w:p>
        </w:tc>
        <w:tc>
          <w:tcPr>
            <w:tcW w:w="1417"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1,875%</w:t>
            </w:r>
          </w:p>
        </w:tc>
        <w:tc>
          <w:tcPr>
            <w:tcW w:w="992"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0,004%</w:t>
            </w:r>
          </w:p>
        </w:tc>
        <w:tc>
          <w:tcPr>
            <w:tcW w:w="156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ind w:firstLineChars="100" w:firstLine="160"/>
              <w:jc w:val="right"/>
              <w:textAlignment w:val="auto"/>
              <w:rPr>
                <w:rFonts w:cs="Arial"/>
                <w:color w:val="000000"/>
                <w:sz w:val="16"/>
                <w:szCs w:val="16"/>
                <w:highlight w:val="red"/>
                <w:lang w:val="ru-RU" w:eastAsia="ru-RU"/>
              </w:rPr>
            </w:pPr>
            <w:r>
              <w:rPr>
                <w:rFonts w:cs="Arial"/>
                <w:color w:val="000000"/>
                <w:sz w:val="16"/>
                <w:szCs w:val="16"/>
              </w:rPr>
              <w:t>11,968%</w:t>
            </w:r>
          </w:p>
        </w:tc>
      </w:tr>
      <w:tr w:rsidR="004D79D1" w:rsidRPr="00D24CF7" w:rsidTr="00B53D00">
        <w:trPr>
          <w:trHeight w:val="571"/>
        </w:trPr>
        <w:tc>
          <w:tcPr>
            <w:tcW w:w="241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Норматив достаточности основного капитала Н 1.2</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6,0%</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1,879%</w:t>
            </w:r>
          </w:p>
        </w:tc>
        <w:tc>
          <w:tcPr>
            <w:tcW w:w="1417"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1,875%</w:t>
            </w:r>
          </w:p>
        </w:tc>
        <w:tc>
          <w:tcPr>
            <w:tcW w:w="992"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0,004%</w:t>
            </w:r>
          </w:p>
        </w:tc>
        <w:tc>
          <w:tcPr>
            <w:tcW w:w="156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ind w:firstLineChars="100" w:firstLine="160"/>
              <w:jc w:val="right"/>
              <w:textAlignment w:val="auto"/>
              <w:rPr>
                <w:rFonts w:cs="Arial"/>
                <w:color w:val="000000"/>
                <w:sz w:val="16"/>
                <w:szCs w:val="16"/>
                <w:highlight w:val="red"/>
                <w:lang w:val="ru-RU" w:eastAsia="ru-RU"/>
              </w:rPr>
            </w:pPr>
            <w:r>
              <w:rPr>
                <w:rFonts w:cs="Arial"/>
                <w:color w:val="000000"/>
                <w:sz w:val="16"/>
                <w:szCs w:val="16"/>
              </w:rPr>
              <w:t>11,968%</w:t>
            </w:r>
          </w:p>
        </w:tc>
      </w:tr>
      <w:tr w:rsidR="004D79D1" w:rsidRPr="00D24CF7" w:rsidTr="00B53D00">
        <w:trPr>
          <w:trHeight w:val="330"/>
        </w:trPr>
        <w:tc>
          <w:tcPr>
            <w:tcW w:w="2410"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 xml:space="preserve">Норматив достаточности собственных средств </w:t>
            </w:r>
            <w:r>
              <w:rPr>
                <w:rFonts w:cs="Arial"/>
                <w:color w:val="000000"/>
                <w:sz w:val="16"/>
                <w:szCs w:val="16"/>
                <w:lang w:val="ru-RU" w:eastAsia="ru-RU"/>
              </w:rPr>
              <w:t xml:space="preserve"> </w:t>
            </w:r>
            <w:r w:rsidRPr="00D24CF7">
              <w:rPr>
                <w:rFonts w:cs="Arial"/>
                <w:color w:val="000000"/>
                <w:sz w:val="16"/>
                <w:szCs w:val="16"/>
                <w:lang w:val="ru-RU" w:eastAsia="ru-RU"/>
              </w:rPr>
              <w:t>Н 1.0</w:t>
            </w:r>
          </w:p>
        </w:tc>
        <w:tc>
          <w:tcPr>
            <w:tcW w:w="1276"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8,0%</w:t>
            </w:r>
          </w:p>
        </w:tc>
        <w:tc>
          <w:tcPr>
            <w:tcW w:w="1276"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1,879%</w:t>
            </w:r>
          </w:p>
        </w:tc>
        <w:tc>
          <w:tcPr>
            <w:tcW w:w="1417"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1,875%</w:t>
            </w:r>
          </w:p>
        </w:tc>
        <w:tc>
          <w:tcPr>
            <w:tcW w:w="992"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0,004%</w:t>
            </w:r>
          </w:p>
        </w:tc>
        <w:tc>
          <w:tcPr>
            <w:tcW w:w="1560"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double" w:sz="6" w:space="0" w:color="auto"/>
              <w:right w:val="nil"/>
            </w:tcBorders>
            <w:shd w:val="clear" w:color="auto" w:fill="auto"/>
            <w:vAlign w:val="center"/>
            <w:hideMark/>
          </w:tcPr>
          <w:p w:rsidR="004D79D1" w:rsidRPr="004F4E70" w:rsidRDefault="004D79D1" w:rsidP="00B53D00">
            <w:pPr>
              <w:overflowPunct/>
              <w:autoSpaceDE/>
              <w:autoSpaceDN/>
              <w:adjustRightInd/>
              <w:ind w:firstLineChars="100" w:firstLine="160"/>
              <w:jc w:val="right"/>
              <w:textAlignment w:val="auto"/>
              <w:rPr>
                <w:rFonts w:cs="Arial"/>
                <w:color w:val="000000"/>
                <w:sz w:val="16"/>
                <w:szCs w:val="16"/>
                <w:highlight w:val="red"/>
                <w:lang w:val="ru-RU" w:eastAsia="ru-RU"/>
              </w:rPr>
            </w:pPr>
            <w:r>
              <w:rPr>
                <w:rFonts w:cs="Arial"/>
                <w:color w:val="000000"/>
                <w:sz w:val="16"/>
                <w:szCs w:val="16"/>
              </w:rPr>
              <w:t>13,973%</w:t>
            </w:r>
          </w:p>
        </w:tc>
      </w:tr>
    </w:tbl>
    <w:p w:rsidR="004D79D1" w:rsidRDefault="004D79D1" w:rsidP="004D79D1">
      <w:pPr>
        <w:overflowPunct/>
        <w:jc w:val="both"/>
        <w:textAlignment w:val="auto"/>
        <w:rPr>
          <w:rFonts w:eastAsiaTheme="minorHAnsi" w:cs="Arial"/>
          <w:sz w:val="20"/>
          <w:szCs w:val="20"/>
          <w:lang w:val="ru-RU"/>
        </w:rPr>
      </w:pPr>
    </w:p>
    <w:p w:rsidR="004D79D1" w:rsidRPr="002876C1" w:rsidRDefault="004D79D1" w:rsidP="004D79D1">
      <w:pPr>
        <w:pStyle w:val="2normal"/>
        <w:jc w:val="both"/>
        <w:rPr>
          <w:b/>
          <w:sz w:val="20"/>
          <w:szCs w:val="20"/>
          <w:highlight w:val="red"/>
          <w:lang w:val="ru-RU"/>
        </w:rPr>
      </w:pPr>
      <w:r>
        <w:rPr>
          <w:sz w:val="20"/>
          <w:szCs w:val="20"/>
          <w:lang w:val="ru-RU"/>
        </w:rPr>
        <w:t xml:space="preserve"> </w:t>
      </w:r>
      <w:r w:rsidRPr="00D24CF7">
        <w:rPr>
          <w:b/>
          <w:sz w:val="20"/>
          <w:szCs w:val="20"/>
          <w:lang w:val="ru-RU"/>
        </w:rPr>
        <w:t>Значение нормативов достаточности капитала Банка за 31.12.201</w:t>
      </w:r>
      <w:r>
        <w:rPr>
          <w:b/>
          <w:sz w:val="20"/>
          <w:szCs w:val="20"/>
          <w:lang w:val="ru-RU"/>
        </w:rPr>
        <w:t>7</w:t>
      </w:r>
      <w:r w:rsidRPr="00D24CF7">
        <w:rPr>
          <w:b/>
          <w:sz w:val="20"/>
          <w:szCs w:val="20"/>
          <w:lang w:val="ru-RU"/>
        </w:rPr>
        <w:t>:</w:t>
      </w:r>
    </w:p>
    <w:tbl>
      <w:tblPr>
        <w:tblW w:w="10207" w:type="dxa"/>
        <w:tblInd w:w="-601" w:type="dxa"/>
        <w:tblLayout w:type="fixed"/>
        <w:tblLook w:val="04A0" w:firstRow="1" w:lastRow="0" w:firstColumn="1" w:lastColumn="0" w:noHBand="0" w:noVBand="1"/>
      </w:tblPr>
      <w:tblGrid>
        <w:gridCol w:w="2410"/>
        <w:gridCol w:w="1276"/>
        <w:gridCol w:w="1276"/>
        <w:gridCol w:w="1417"/>
        <w:gridCol w:w="992"/>
        <w:gridCol w:w="1560"/>
        <w:gridCol w:w="1276"/>
      </w:tblGrid>
      <w:tr w:rsidR="004D79D1" w:rsidRPr="006C0DB6" w:rsidTr="00B53D00">
        <w:trPr>
          <w:trHeight w:val="94"/>
        </w:trPr>
        <w:tc>
          <w:tcPr>
            <w:tcW w:w="2410"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p>
        </w:tc>
        <w:tc>
          <w:tcPr>
            <w:tcW w:w="1276"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276"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417"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992"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560"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276"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r>
      <w:tr w:rsidR="004D79D1" w:rsidRPr="006C0DB6" w:rsidTr="00B53D00">
        <w:trPr>
          <w:trHeight w:val="285"/>
        </w:trPr>
        <w:tc>
          <w:tcPr>
            <w:tcW w:w="2410" w:type="dxa"/>
            <w:vMerge w:val="restart"/>
            <w:tcBorders>
              <w:top w:val="nil"/>
              <w:left w:val="nil"/>
              <w:bottom w:val="single" w:sz="4" w:space="0" w:color="000000"/>
              <w:right w:val="nil"/>
            </w:tcBorders>
            <w:shd w:val="clear" w:color="auto" w:fill="auto"/>
            <w:noWrap/>
            <w:vAlign w:val="bottom"/>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val="restart"/>
            <w:tcBorders>
              <w:top w:val="nil"/>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Минимально допустимые значения</w:t>
            </w:r>
          </w:p>
        </w:tc>
        <w:tc>
          <w:tcPr>
            <w:tcW w:w="1276" w:type="dxa"/>
            <w:vMerge w:val="restart"/>
            <w:tcBorders>
              <w:top w:val="nil"/>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Надбавки к нормативам достаточности, итого</w:t>
            </w:r>
          </w:p>
        </w:tc>
        <w:tc>
          <w:tcPr>
            <w:tcW w:w="1417" w:type="dxa"/>
            <w:tcBorders>
              <w:top w:val="nil"/>
              <w:left w:val="nil"/>
              <w:bottom w:val="single" w:sz="4" w:space="0" w:color="auto"/>
              <w:right w:val="nil"/>
            </w:tcBorders>
            <w:shd w:val="clear" w:color="auto" w:fill="auto"/>
            <w:noWrap/>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r w:rsidRPr="00D24CF7">
              <w:rPr>
                <w:rFonts w:cs="Arial"/>
                <w:b/>
                <w:bCs/>
                <w:color w:val="000000"/>
                <w:sz w:val="16"/>
                <w:szCs w:val="16"/>
                <w:lang w:val="ru-RU" w:eastAsia="ru-RU"/>
              </w:rPr>
              <w:t>в т.ч.:</w:t>
            </w:r>
          </w:p>
        </w:tc>
        <w:tc>
          <w:tcPr>
            <w:tcW w:w="992" w:type="dxa"/>
            <w:tcBorders>
              <w:top w:val="nil"/>
              <w:left w:val="nil"/>
              <w:bottom w:val="single" w:sz="4" w:space="0" w:color="auto"/>
              <w:right w:val="nil"/>
            </w:tcBorders>
            <w:shd w:val="clear" w:color="auto" w:fill="auto"/>
            <w:noWrap/>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r w:rsidRPr="00D24CF7">
              <w:rPr>
                <w:rFonts w:cs="Arial"/>
                <w:b/>
                <w:bCs/>
                <w:color w:val="000000"/>
                <w:sz w:val="16"/>
                <w:szCs w:val="16"/>
                <w:lang w:val="ru-RU" w:eastAsia="ru-RU"/>
              </w:rPr>
              <w:t> </w:t>
            </w:r>
          </w:p>
        </w:tc>
        <w:tc>
          <w:tcPr>
            <w:tcW w:w="1560" w:type="dxa"/>
            <w:tcBorders>
              <w:top w:val="nil"/>
              <w:left w:val="nil"/>
              <w:bottom w:val="single" w:sz="4" w:space="0" w:color="auto"/>
              <w:right w:val="nil"/>
            </w:tcBorders>
            <w:shd w:val="clear" w:color="auto" w:fill="auto"/>
            <w:noWrap/>
            <w:vAlign w:val="bottom"/>
            <w:hideMark/>
          </w:tcPr>
          <w:p w:rsidR="004D79D1" w:rsidRPr="00D24CF7" w:rsidRDefault="004D79D1" w:rsidP="00B53D00">
            <w:pPr>
              <w:overflowPunct/>
              <w:autoSpaceDE/>
              <w:autoSpaceDN/>
              <w:adjustRightInd/>
              <w:textAlignment w:val="auto"/>
              <w:rPr>
                <w:rFonts w:ascii="Calibri" w:hAnsi="Calibri" w:cs="Times New Roman"/>
                <w:color w:val="000000"/>
                <w:sz w:val="22"/>
                <w:szCs w:val="22"/>
                <w:lang w:val="ru-RU" w:eastAsia="ru-RU"/>
              </w:rPr>
            </w:pPr>
            <w:r w:rsidRPr="00D24CF7">
              <w:rPr>
                <w:rFonts w:ascii="Calibri" w:hAnsi="Calibri" w:cs="Times New Roman"/>
                <w:color w:val="000000"/>
                <w:sz w:val="22"/>
                <w:szCs w:val="22"/>
                <w:lang w:val="ru-RU" w:eastAsia="ru-RU"/>
              </w:rPr>
              <w:t> </w:t>
            </w:r>
          </w:p>
        </w:tc>
        <w:tc>
          <w:tcPr>
            <w:tcW w:w="1276" w:type="dxa"/>
            <w:vMerge w:val="restart"/>
            <w:tcBorders>
              <w:top w:val="nil"/>
              <w:left w:val="nil"/>
              <w:bottom w:val="single" w:sz="4" w:space="0" w:color="000000"/>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Фактические значения нормативов Банка за 31.12.201</w:t>
            </w:r>
            <w:r>
              <w:rPr>
                <w:rFonts w:cs="Arial"/>
                <w:b/>
                <w:bCs/>
                <w:color w:val="000000"/>
                <w:sz w:val="16"/>
                <w:szCs w:val="16"/>
                <w:lang w:val="ru-RU" w:eastAsia="ru-RU"/>
              </w:rPr>
              <w:t>7</w:t>
            </w:r>
            <w:r w:rsidRPr="00D24CF7">
              <w:rPr>
                <w:rFonts w:cs="Arial"/>
                <w:b/>
                <w:bCs/>
                <w:color w:val="000000"/>
                <w:sz w:val="16"/>
                <w:szCs w:val="16"/>
                <w:lang w:val="ru-RU" w:eastAsia="ru-RU"/>
              </w:rPr>
              <w:t xml:space="preserve"> </w:t>
            </w:r>
          </w:p>
        </w:tc>
      </w:tr>
      <w:tr w:rsidR="004D79D1" w:rsidRPr="006C0DB6" w:rsidTr="00B53D00">
        <w:trPr>
          <w:trHeight w:val="696"/>
        </w:trPr>
        <w:tc>
          <w:tcPr>
            <w:tcW w:w="2410"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c>
          <w:tcPr>
            <w:tcW w:w="1417"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Надбавка поддержания достаточности капитала</w:t>
            </w:r>
          </w:p>
        </w:tc>
        <w:tc>
          <w:tcPr>
            <w:tcW w:w="992"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Антициклическая надбавка</w:t>
            </w:r>
          </w:p>
        </w:tc>
        <w:tc>
          <w:tcPr>
            <w:tcW w:w="1560" w:type="dxa"/>
            <w:tcBorders>
              <w:top w:val="nil"/>
              <w:left w:val="nil"/>
              <w:bottom w:val="single" w:sz="4" w:space="0" w:color="auto"/>
              <w:right w:val="nil"/>
            </w:tcBorders>
            <w:shd w:val="clear" w:color="auto" w:fill="auto"/>
            <w:vAlign w:val="center"/>
            <w:hideMark/>
          </w:tcPr>
          <w:p w:rsidR="004D79D1" w:rsidRPr="00D24CF7" w:rsidRDefault="004D79D1" w:rsidP="00B53D00">
            <w:pPr>
              <w:overflowPunct/>
              <w:autoSpaceDE/>
              <w:autoSpaceDN/>
              <w:adjustRightInd/>
              <w:jc w:val="center"/>
              <w:textAlignment w:val="auto"/>
              <w:rPr>
                <w:rFonts w:cs="Arial"/>
                <w:b/>
                <w:bCs/>
                <w:color w:val="000000"/>
                <w:sz w:val="16"/>
                <w:szCs w:val="16"/>
                <w:lang w:val="ru-RU" w:eastAsia="ru-RU"/>
              </w:rPr>
            </w:pPr>
            <w:r w:rsidRPr="00D24CF7">
              <w:rPr>
                <w:rFonts w:cs="Arial"/>
                <w:b/>
                <w:bCs/>
                <w:color w:val="000000"/>
                <w:sz w:val="16"/>
                <w:szCs w:val="16"/>
                <w:lang w:val="ru-RU" w:eastAsia="ru-RU"/>
              </w:rPr>
              <w:t>надбавка за системную значимость банков</w:t>
            </w:r>
          </w:p>
        </w:tc>
        <w:tc>
          <w:tcPr>
            <w:tcW w:w="1276" w:type="dxa"/>
            <w:vMerge/>
            <w:tcBorders>
              <w:top w:val="nil"/>
              <w:left w:val="nil"/>
              <w:bottom w:val="single" w:sz="4" w:space="0" w:color="000000"/>
              <w:right w:val="nil"/>
            </w:tcBorders>
            <w:vAlign w:val="center"/>
            <w:hideMark/>
          </w:tcPr>
          <w:p w:rsidR="004D79D1" w:rsidRPr="00D24CF7" w:rsidRDefault="004D79D1" w:rsidP="00B53D00">
            <w:pPr>
              <w:overflowPunct/>
              <w:autoSpaceDE/>
              <w:autoSpaceDN/>
              <w:adjustRightInd/>
              <w:textAlignment w:val="auto"/>
              <w:rPr>
                <w:rFonts w:cs="Arial"/>
                <w:b/>
                <w:bCs/>
                <w:color w:val="000000"/>
                <w:sz w:val="16"/>
                <w:szCs w:val="16"/>
                <w:lang w:val="ru-RU" w:eastAsia="ru-RU"/>
              </w:rPr>
            </w:pPr>
          </w:p>
        </w:tc>
      </w:tr>
      <w:tr w:rsidR="004D79D1" w:rsidRPr="00D24CF7" w:rsidTr="00B53D00">
        <w:trPr>
          <w:trHeight w:val="455"/>
        </w:trPr>
        <w:tc>
          <w:tcPr>
            <w:tcW w:w="241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Норматив достаточности базового капитала Н 1.1</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4,5%</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1,252%</w:t>
            </w:r>
          </w:p>
        </w:tc>
        <w:tc>
          <w:tcPr>
            <w:tcW w:w="1417"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1,250%</w:t>
            </w:r>
          </w:p>
        </w:tc>
        <w:tc>
          <w:tcPr>
            <w:tcW w:w="992"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0,002%</w:t>
            </w:r>
          </w:p>
        </w:tc>
        <w:tc>
          <w:tcPr>
            <w:tcW w:w="156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12,143%</w:t>
            </w:r>
          </w:p>
        </w:tc>
      </w:tr>
      <w:tr w:rsidR="004D79D1" w:rsidRPr="00D24CF7" w:rsidTr="00B53D00">
        <w:trPr>
          <w:trHeight w:val="571"/>
        </w:trPr>
        <w:tc>
          <w:tcPr>
            <w:tcW w:w="241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Норматив достаточности основного капитала Н 1.2</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6,0%</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1,252%</w:t>
            </w:r>
          </w:p>
        </w:tc>
        <w:tc>
          <w:tcPr>
            <w:tcW w:w="1417"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1,250%</w:t>
            </w:r>
          </w:p>
        </w:tc>
        <w:tc>
          <w:tcPr>
            <w:tcW w:w="992"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0,002%</w:t>
            </w:r>
          </w:p>
        </w:tc>
        <w:tc>
          <w:tcPr>
            <w:tcW w:w="1560"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nil"/>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12,143%</w:t>
            </w:r>
          </w:p>
        </w:tc>
      </w:tr>
      <w:tr w:rsidR="004D79D1" w:rsidRPr="00D24CF7" w:rsidTr="00B53D00">
        <w:trPr>
          <w:trHeight w:val="330"/>
        </w:trPr>
        <w:tc>
          <w:tcPr>
            <w:tcW w:w="2410"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textAlignment w:val="auto"/>
              <w:rPr>
                <w:rFonts w:cs="Arial"/>
                <w:color w:val="000000"/>
                <w:sz w:val="16"/>
                <w:szCs w:val="16"/>
                <w:lang w:val="ru-RU" w:eastAsia="ru-RU"/>
              </w:rPr>
            </w:pPr>
            <w:r w:rsidRPr="00D24CF7">
              <w:rPr>
                <w:rFonts w:cs="Arial"/>
                <w:color w:val="000000"/>
                <w:sz w:val="16"/>
                <w:szCs w:val="16"/>
                <w:lang w:val="ru-RU" w:eastAsia="ru-RU"/>
              </w:rPr>
              <w:t xml:space="preserve">Норматив достаточности собственных средств </w:t>
            </w:r>
            <w:r>
              <w:rPr>
                <w:rFonts w:cs="Arial"/>
                <w:color w:val="000000"/>
                <w:sz w:val="16"/>
                <w:szCs w:val="16"/>
                <w:lang w:val="ru-RU" w:eastAsia="ru-RU"/>
              </w:rPr>
              <w:t xml:space="preserve"> </w:t>
            </w:r>
            <w:r w:rsidRPr="00D24CF7">
              <w:rPr>
                <w:rFonts w:cs="Arial"/>
                <w:color w:val="000000"/>
                <w:sz w:val="16"/>
                <w:szCs w:val="16"/>
                <w:lang w:val="ru-RU" w:eastAsia="ru-RU"/>
              </w:rPr>
              <w:t>Н 1.0</w:t>
            </w:r>
          </w:p>
        </w:tc>
        <w:tc>
          <w:tcPr>
            <w:tcW w:w="1276"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8,0%</w:t>
            </w:r>
          </w:p>
        </w:tc>
        <w:tc>
          <w:tcPr>
            <w:tcW w:w="1276"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1,252%</w:t>
            </w:r>
          </w:p>
        </w:tc>
        <w:tc>
          <w:tcPr>
            <w:tcW w:w="1417"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1,250%</w:t>
            </w:r>
          </w:p>
        </w:tc>
        <w:tc>
          <w:tcPr>
            <w:tcW w:w="992"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0,002%</w:t>
            </w:r>
          </w:p>
        </w:tc>
        <w:tc>
          <w:tcPr>
            <w:tcW w:w="1560"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не применимо</w:t>
            </w:r>
          </w:p>
        </w:tc>
        <w:tc>
          <w:tcPr>
            <w:tcW w:w="1276" w:type="dxa"/>
            <w:tcBorders>
              <w:top w:val="nil"/>
              <w:left w:val="nil"/>
              <w:bottom w:val="double" w:sz="6" w:space="0" w:color="auto"/>
              <w:right w:val="nil"/>
            </w:tcBorders>
            <w:shd w:val="clear" w:color="auto" w:fill="auto"/>
            <w:vAlign w:val="center"/>
            <w:hideMark/>
          </w:tcPr>
          <w:p w:rsidR="004D79D1" w:rsidRPr="00D24CF7" w:rsidRDefault="004D79D1" w:rsidP="00B53D00">
            <w:pPr>
              <w:overflowPunct/>
              <w:autoSpaceDE/>
              <w:autoSpaceDN/>
              <w:adjustRightInd/>
              <w:ind w:firstLineChars="100" w:firstLine="160"/>
              <w:jc w:val="right"/>
              <w:textAlignment w:val="auto"/>
              <w:rPr>
                <w:rFonts w:cs="Arial"/>
                <w:color w:val="000000"/>
                <w:sz w:val="16"/>
                <w:szCs w:val="16"/>
                <w:lang w:val="ru-RU" w:eastAsia="ru-RU"/>
              </w:rPr>
            </w:pPr>
            <w:r w:rsidRPr="00D24CF7">
              <w:rPr>
                <w:rFonts w:cs="Arial"/>
                <w:color w:val="000000"/>
                <w:sz w:val="16"/>
                <w:szCs w:val="16"/>
                <w:lang w:val="ru-RU" w:eastAsia="ru-RU"/>
              </w:rPr>
              <w:t>13,537%</w:t>
            </w:r>
          </w:p>
        </w:tc>
      </w:tr>
    </w:tbl>
    <w:p w:rsidR="004D79D1" w:rsidRDefault="004D79D1" w:rsidP="004D79D1">
      <w:pPr>
        <w:pStyle w:val="2normal"/>
        <w:tabs>
          <w:tab w:val="left" w:pos="741"/>
        </w:tabs>
        <w:jc w:val="both"/>
        <w:rPr>
          <w:sz w:val="20"/>
          <w:szCs w:val="20"/>
          <w:lang w:val="ru-RU"/>
        </w:rPr>
      </w:pPr>
    </w:p>
    <w:p w:rsidR="004D79D1" w:rsidRDefault="004D79D1" w:rsidP="004D79D1">
      <w:pPr>
        <w:pStyle w:val="2normal"/>
        <w:tabs>
          <w:tab w:val="left" w:pos="741"/>
        </w:tabs>
        <w:jc w:val="both"/>
        <w:rPr>
          <w:sz w:val="20"/>
          <w:szCs w:val="20"/>
          <w:lang w:val="ru-RU"/>
        </w:rPr>
      </w:pPr>
      <w:r w:rsidRPr="00FA5741">
        <w:rPr>
          <w:sz w:val="20"/>
          <w:szCs w:val="20"/>
          <w:lang w:val="ru-RU"/>
        </w:rPr>
        <w:t xml:space="preserve">В прошедшем </w:t>
      </w:r>
      <w:r>
        <w:rPr>
          <w:sz w:val="20"/>
          <w:szCs w:val="20"/>
          <w:lang w:val="ru-RU"/>
        </w:rPr>
        <w:t>периоде отчетного</w:t>
      </w:r>
      <w:r w:rsidRPr="00FA5741">
        <w:rPr>
          <w:sz w:val="20"/>
          <w:szCs w:val="20"/>
          <w:lang w:val="ru-RU"/>
        </w:rPr>
        <w:t xml:space="preserve"> года норматив достаточности капитала Банка каждого уровня </w:t>
      </w:r>
      <w:r w:rsidRPr="00B47CFD">
        <w:rPr>
          <w:sz w:val="20"/>
          <w:szCs w:val="20"/>
          <w:lang w:val="ru-RU"/>
        </w:rPr>
        <w:t>значительно</w:t>
      </w:r>
      <w:r w:rsidRPr="00FA5741">
        <w:rPr>
          <w:sz w:val="20"/>
          <w:szCs w:val="20"/>
          <w:lang w:val="ru-RU"/>
        </w:rPr>
        <w:t xml:space="preserve"> превышал </w:t>
      </w:r>
      <w:r>
        <w:rPr>
          <w:sz w:val="20"/>
          <w:szCs w:val="20"/>
          <w:lang w:val="ru-RU"/>
        </w:rPr>
        <w:t>нормативный уровень</w:t>
      </w:r>
      <w:r w:rsidRPr="00FA5741">
        <w:rPr>
          <w:sz w:val="20"/>
          <w:szCs w:val="20"/>
          <w:lang w:val="ru-RU"/>
        </w:rPr>
        <w:t xml:space="preserve">. </w:t>
      </w:r>
    </w:p>
    <w:p w:rsidR="004D79D1" w:rsidRDefault="004D79D1" w:rsidP="004D79D1">
      <w:pPr>
        <w:pStyle w:val="2normal"/>
        <w:spacing w:line="228" w:lineRule="auto"/>
        <w:jc w:val="both"/>
        <w:rPr>
          <w:sz w:val="20"/>
          <w:szCs w:val="20"/>
          <w:lang w:val="ru-RU"/>
        </w:rPr>
      </w:pPr>
    </w:p>
    <w:p w:rsidR="004D79D1" w:rsidRPr="00BD6691" w:rsidRDefault="004D79D1" w:rsidP="004D79D1">
      <w:pPr>
        <w:pStyle w:val="2normal"/>
        <w:spacing w:line="228" w:lineRule="auto"/>
        <w:jc w:val="both"/>
        <w:rPr>
          <w:b/>
          <w:sz w:val="20"/>
          <w:szCs w:val="20"/>
          <w:lang w:val="ru-RU"/>
        </w:rPr>
      </w:pPr>
      <w:r w:rsidRPr="00BD6691">
        <w:rPr>
          <w:b/>
          <w:sz w:val="20"/>
          <w:szCs w:val="20"/>
          <w:lang w:val="ru-RU"/>
        </w:rPr>
        <w:t xml:space="preserve">Структура собственных средств (капитала) Банка (Базель </w:t>
      </w:r>
      <w:r w:rsidRPr="00BD6691">
        <w:rPr>
          <w:b/>
          <w:sz w:val="20"/>
          <w:szCs w:val="20"/>
          <w:lang w:val="en-US"/>
        </w:rPr>
        <w:t>III</w:t>
      </w:r>
      <w:r w:rsidRPr="00BD6691">
        <w:rPr>
          <w:b/>
          <w:sz w:val="20"/>
          <w:szCs w:val="20"/>
          <w:lang w:val="ru-RU"/>
        </w:rPr>
        <w:t xml:space="preserve">) </w:t>
      </w:r>
      <w:r w:rsidRPr="00BD6691">
        <w:rPr>
          <w:sz w:val="20"/>
          <w:szCs w:val="20"/>
          <w:lang w:val="ru-RU"/>
        </w:rPr>
        <w:t>(по данным формы 0409808)</w:t>
      </w:r>
    </w:p>
    <w:tbl>
      <w:tblPr>
        <w:tblW w:w="9060" w:type="dxa"/>
        <w:tblInd w:w="93" w:type="dxa"/>
        <w:tblLook w:val="04A0" w:firstRow="1" w:lastRow="0" w:firstColumn="1" w:lastColumn="0" w:noHBand="0" w:noVBand="1"/>
      </w:tblPr>
      <w:tblGrid>
        <w:gridCol w:w="4268"/>
        <w:gridCol w:w="1360"/>
        <w:gridCol w:w="1191"/>
        <w:gridCol w:w="1060"/>
        <w:gridCol w:w="74"/>
        <w:gridCol w:w="1107"/>
      </w:tblGrid>
      <w:tr w:rsidR="004D79D1" w:rsidRPr="006C0DB6" w:rsidTr="00B53D00">
        <w:trPr>
          <w:trHeight w:val="300"/>
        </w:trPr>
        <w:tc>
          <w:tcPr>
            <w:tcW w:w="4268" w:type="dxa"/>
            <w:tcBorders>
              <w:top w:val="nil"/>
              <w:left w:val="nil"/>
              <w:bottom w:val="single" w:sz="4" w:space="0" w:color="auto"/>
              <w:right w:val="nil"/>
            </w:tcBorders>
            <w:shd w:val="clear" w:color="auto" w:fill="auto"/>
            <w:noWrap/>
            <w:vAlign w:val="bottom"/>
            <w:hideMark/>
          </w:tcPr>
          <w:p w:rsidR="004D79D1" w:rsidRPr="007A44AE" w:rsidRDefault="004D79D1" w:rsidP="00B53D00">
            <w:pPr>
              <w:overflowPunct/>
              <w:autoSpaceDE/>
              <w:autoSpaceDN/>
              <w:adjustRightInd/>
              <w:textAlignment w:val="auto"/>
              <w:rPr>
                <w:rFonts w:ascii="Calibri" w:hAnsi="Calibri" w:cs="Times New Roman"/>
                <w:color w:val="000000"/>
                <w:sz w:val="22"/>
                <w:szCs w:val="22"/>
                <w:lang w:val="ru-RU" w:eastAsia="ru-RU"/>
              </w:rPr>
            </w:pPr>
            <w:r w:rsidRPr="007A44AE">
              <w:rPr>
                <w:rFonts w:ascii="Calibri" w:hAnsi="Calibri" w:cs="Times New Roman"/>
                <w:color w:val="000000"/>
                <w:sz w:val="22"/>
                <w:szCs w:val="22"/>
                <w:lang w:val="ru-RU" w:eastAsia="ru-RU"/>
              </w:rPr>
              <w:t> </w:t>
            </w:r>
          </w:p>
        </w:tc>
        <w:tc>
          <w:tcPr>
            <w:tcW w:w="1360" w:type="dxa"/>
            <w:tcBorders>
              <w:top w:val="nil"/>
              <w:left w:val="nil"/>
              <w:bottom w:val="single" w:sz="4" w:space="0" w:color="auto"/>
              <w:right w:val="nil"/>
            </w:tcBorders>
            <w:shd w:val="clear" w:color="auto" w:fill="auto"/>
            <w:noWrap/>
            <w:vAlign w:val="bottom"/>
            <w:hideMark/>
          </w:tcPr>
          <w:p w:rsidR="004D79D1" w:rsidRPr="007A44AE" w:rsidRDefault="004D79D1" w:rsidP="00B53D00">
            <w:pPr>
              <w:overflowPunct/>
              <w:autoSpaceDE/>
              <w:autoSpaceDN/>
              <w:adjustRightInd/>
              <w:textAlignment w:val="auto"/>
              <w:rPr>
                <w:rFonts w:ascii="Calibri" w:hAnsi="Calibri" w:cs="Times New Roman"/>
                <w:color w:val="000000"/>
                <w:sz w:val="22"/>
                <w:szCs w:val="22"/>
                <w:lang w:val="ru-RU" w:eastAsia="ru-RU"/>
              </w:rPr>
            </w:pPr>
            <w:r w:rsidRPr="007A44AE">
              <w:rPr>
                <w:rFonts w:ascii="Calibri" w:hAnsi="Calibri" w:cs="Times New Roman"/>
                <w:color w:val="000000"/>
                <w:sz w:val="22"/>
                <w:szCs w:val="22"/>
                <w:lang w:val="ru-RU" w:eastAsia="ru-RU"/>
              </w:rPr>
              <w:t> </w:t>
            </w:r>
          </w:p>
        </w:tc>
        <w:tc>
          <w:tcPr>
            <w:tcW w:w="1191" w:type="dxa"/>
            <w:tcBorders>
              <w:top w:val="nil"/>
              <w:left w:val="nil"/>
              <w:bottom w:val="single" w:sz="4" w:space="0" w:color="auto"/>
              <w:right w:val="nil"/>
            </w:tcBorders>
            <w:shd w:val="clear" w:color="auto" w:fill="auto"/>
            <w:noWrap/>
            <w:vAlign w:val="bottom"/>
            <w:hideMark/>
          </w:tcPr>
          <w:p w:rsidR="004D79D1" w:rsidRPr="007A44AE" w:rsidRDefault="004D79D1" w:rsidP="00B53D00">
            <w:pPr>
              <w:overflowPunct/>
              <w:autoSpaceDE/>
              <w:autoSpaceDN/>
              <w:adjustRightInd/>
              <w:textAlignment w:val="auto"/>
              <w:rPr>
                <w:rFonts w:ascii="Calibri" w:hAnsi="Calibri" w:cs="Times New Roman"/>
                <w:color w:val="000000"/>
                <w:sz w:val="22"/>
                <w:szCs w:val="22"/>
                <w:lang w:val="ru-RU" w:eastAsia="ru-RU"/>
              </w:rPr>
            </w:pPr>
            <w:r w:rsidRPr="007A44AE">
              <w:rPr>
                <w:rFonts w:ascii="Calibri" w:hAnsi="Calibri" w:cs="Times New Roman"/>
                <w:color w:val="000000"/>
                <w:sz w:val="22"/>
                <w:szCs w:val="22"/>
                <w:lang w:val="ru-RU" w:eastAsia="ru-RU"/>
              </w:rPr>
              <w:t> </w:t>
            </w:r>
          </w:p>
        </w:tc>
        <w:tc>
          <w:tcPr>
            <w:tcW w:w="1060" w:type="dxa"/>
            <w:tcBorders>
              <w:top w:val="nil"/>
              <w:left w:val="nil"/>
              <w:bottom w:val="single" w:sz="4" w:space="0" w:color="auto"/>
              <w:right w:val="nil"/>
            </w:tcBorders>
            <w:shd w:val="clear" w:color="auto" w:fill="auto"/>
            <w:noWrap/>
            <w:vAlign w:val="bottom"/>
            <w:hideMark/>
          </w:tcPr>
          <w:p w:rsidR="004D79D1" w:rsidRPr="007A44AE" w:rsidRDefault="004D79D1" w:rsidP="00B53D00">
            <w:pPr>
              <w:overflowPunct/>
              <w:autoSpaceDE/>
              <w:autoSpaceDN/>
              <w:adjustRightInd/>
              <w:textAlignment w:val="auto"/>
              <w:rPr>
                <w:rFonts w:ascii="Calibri" w:hAnsi="Calibri" w:cs="Times New Roman"/>
                <w:color w:val="000000"/>
                <w:sz w:val="22"/>
                <w:szCs w:val="22"/>
                <w:lang w:val="ru-RU" w:eastAsia="ru-RU"/>
              </w:rPr>
            </w:pPr>
            <w:r w:rsidRPr="007A44AE">
              <w:rPr>
                <w:rFonts w:ascii="Calibri" w:hAnsi="Calibri" w:cs="Times New Roman"/>
                <w:color w:val="000000"/>
                <w:sz w:val="22"/>
                <w:szCs w:val="22"/>
                <w:lang w:val="ru-RU" w:eastAsia="ru-RU"/>
              </w:rPr>
              <w:t> </w:t>
            </w:r>
          </w:p>
        </w:tc>
        <w:tc>
          <w:tcPr>
            <w:tcW w:w="1181" w:type="dxa"/>
            <w:gridSpan w:val="2"/>
            <w:tcBorders>
              <w:top w:val="nil"/>
              <w:left w:val="nil"/>
              <w:bottom w:val="single" w:sz="4" w:space="0" w:color="auto"/>
              <w:right w:val="nil"/>
            </w:tcBorders>
            <w:shd w:val="clear" w:color="auto" w:fill="auto"/>
            <w:noWrap/>
            <w:vAlign w:val="bottom"/>
            <w:hideMark/>
          </w:tcPr>
          <w:p w:rsidR="004D79D1" w:rsidRPr="007A44AE" w:rsidRDefault="004D79D1" w:rsidP="00B53D00">
            <w:pPr>
              <w:overflowPunct/>
              <w:autoSpaceDE/>
              <w:autoSpaceDN/>
              <w:adjustRightInd/>
              <w:textAlignment w:val="auto"/>
              <w:rPr>
                <w:rFonts w:ascii="Calibri" w:hAnsi="Calibri" w:cs="Times New Roman"/>
                <w:color w:val="000000"/>
                <w:sz w:val="22"/>
                <w:szCs w:val="22"/>
                <w:lang w:val="ru-RU" w:eastAsia="ru-RU"/>
              </w:rPr>
            </w:pPr>
            <w:r w:rsidRPr="007A44AE">
              <w:rPr>
                <w:rFonts w:ascii="Calibri" w:hAnsi="Calibri" w:cs="Times New Roman"/>
                <w:color w:val="000000"/>
                <w:sz w:val="22"/>
                <w:szCs w:val="22"/>
                <w:lang w:val="ru-RU" w:eastAsia="ru-RU"/>
              </w:rPr>
              <w:t> </w:t>
            </w:r>
          </w:p>
        </w:tc>
      </w:tr>
      <w:tr w:rsidR="004D79D1" w:rsidRPr="007A44AE" w:rsidTr="00B53D00">
        <w:trPr>
          <w:trHeight w:val="300"/>
        </w:trPr>
        <w:tc>
          <w:tcPr>
            <w:tcW w:w="4268"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jc w:val="both"/>
              <w:textAlignment w:val="auto"/>
              <w:rPr>
                <w:rFonts w:cs="Arial"/>
                <w:b/>
                <w:bCs/>
                <w:color w:val="000000"/>
                <w:sz w:val="16"/>
                <w:szCs w:val="16"/>
                <w:lang w:val="ru-RU" w:eastAsia="ru-RU"/>
              </w:rPr>
            </w:pPr>
          </w:p>
        </w:tc>
        <w:tc>
          <w:tcPr>
            <w:tcW w:w="2551" w:type="dxa"/>
            <w:gridSpan w:val="2"/>
            <w:tcBorders>
              <w:top w:val="single" w:sz="4" w:space="0" w:color="auto"/>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31.12.2018</w:t>
            </w:r>
          </w:p>
        </w:tc>
        <w:tc>
          <w:tcPr>
            <w:tcW w:w="2241" w:type="dxa"/>
            <w:gridSpan w:val="3"/>
            <w:tcBorders>
              <w:top w:val="single" w:sz="4" w:space="0" w:color="auto"/>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31.12.2017</w:t>
            </w:r>
          </w:p>
        </w:tc>
      </w:tr>
      <w:tr w:rsidR="004D79D1" w:rsidRPr="007A44AE" w:rsidTr="00B53D00">
        <w:trPr>
          <w:trHeight w:val="300"/>
        </w:trPr>
        <w:tc>
          <w:tcPr>
            <w:tcW w:w="4268"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both"/>
              <w:textAlignment w:val="auto"/>
              <w:rPr>
                <w:rFonts w:cs="Arial"/>
                <w:b/>
                <w:bCs/>
                <w:color w:val="000000"/>
                <w:sz w:val="16"/>
                <w:szCs w:val="16"/>
                <w:lang w:val="ru-RU" w:eastAsia="ru-RU"/>
              </w:rPr>
            </w:pPr>
            <w:r w:rsidRPr="007A44AE">
              <w:rPr>
                <w:rFonts w:cs="Arial"/>
                <w:b/>
                <w:bCs/>
                <w:color w:val="000000"/>
                <w:sz w:val="16"/>
                <w:szCs w:val="16"/>
                <w:lang w:val="ru-RU" w:eastAsia="ru-RU"/>
              </w:rPr>
              <w:t> </w:t>
            </w:r>
          </w:p>
        </w:tc>
        <w:tc>
          <w:tcPr>
            <w:tcW w:w="1360"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сумма</w:t>
            </w:r>
          </w:p>
        </w:tc>
        <w:tc>
          <w:tcPr>
            <w:tcW w:w="1191"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доля</w:t>
            </w:r>
          </w:p>
        </w:tc>
        <w:tc>
          <w:tcPr>
            <w:tcW w:w="1060"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сумма</w:t>
            </w:r>
          </w:p>
        </w:tc>
        <w:tc>
          <w:tcPr>
            <w:tcW w:w="1181" w:type="dxa"/>
            <w:gridSpan w:val="2"/>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jc w:val="center"/>
              <w:textAlignment w:val="auto"/>
              <w:rPr>
                <w:rFonts w:cs="Arial"/>
                <w:b/>
                <w:bCs/>
                <w:color w:val="000000"/>
                <w:sz w:val="16"/>
                <w:szCs w:val="16"/>
                <w:lang w:val="ru-RU" w:eastAsia="ru-RU"/>
              </w:rPr>
            </w:pPr>
            <w:r w:rsidRPr="007A44AE">
              <w:rPr>
                <w:rFonts w:cs="Arial"/>
                <w:b/>
                <w:bCs/>
                <w:color w:val="000000"/>
                <w:sz w:val="16"/>
                <w:szCs w:val="16"/>
                <w:lang w:val="ru-RU" w:eastAsia="ru-RU"/>
              </w:rPr>
              <w:t>доля</w:t>
            </w:r>
          </w:p>
        </w:tc>
      </w:tr>
      <w:tr w:rsidR="004D79D1" w:rsidRPr="007A44AE" w:rsidTr="00B53D00">
        <w:trPr>
          <w:trHeight w:val="300"/>
        </w:trPr>
        <w:tc>
          <w:tcPr>
            <w:tcW w:w="4268"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textAlignment w:val="auto"/>
              <w:rPr>
                <w:rFonts w:cs="Arial"/>
                <w:b/>
                <w:bCs/>
                <w:color w:val="000000"/>
                <w:sz w:val="16"/>
                <w:szCs w:val="16"/>
                <w:lang w:val="ru-RU" w:eastAsia="ru-RU"/>
              </w:rPr>
            </w:pPr>
            <w:r w:rsidRPr="007A44AE">
              <w:rPr>
                <w:rFonts w:cs="Arial"/>
                <w:b/>
                <w:bCs/>
                <w:color w:val="000000"/>
                <w:sz w:val="16"/>
                <w:szCs w:val="16"/>
                <w:lang w:val="ru-RU" w:eastAsia="ru-RU"/>
              </w:rPr>
              <w:t>Основной капитал, в том числе:</w:t>
            </w:r>
          </w:p>
        </w:tc>
        <w:tc>
          <w:tcPr>
            <w:tcW w:w="1360"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18"/>
              <w:jc w:val="right"/>
              <w:textAlignment w:val="auto"/>
              <w:rPr>
                <w:rFonts w:cs="Arial"/>
                <w:b/>
                <w:bCs/>
                <w:color w:val="000000"/>
                <w:sz w:val="16"/>
                <w:szCs w:val="16"/>
                <w:highlight w:val="red"/>
                <w:lang w:val="ru-RU" w:eastAsia="ru-RU"/>
              </w:rPr>
            </w:pPr>
            <w:r>
              <w:rPr>
                <w:rFonts w:cs="Arial"/>
                <w:b/>
                <w:bCs/>
                <w:color w:val="000000"/>
                <w:sz w:val="16"/>
                <w:szCs w:val="16"/>
              </w:rPr>
              <w:t>1 686 360</w:t>
            </w:r>
          </w:p>
        </w:tc>
        <w:tc>
          <w:tcPr>
            <w:tcW w:w="1191"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55"/>
              <w:jc w:val="right"/>
              <w:textAlignment w:val="auto"/>
              <w:rPr>
                <w:rFonts w:cs="Arial"/>
                <w:b/>
                <w:bCs/>
                <w:color w:val="000000"/>
                <w:sz w:val="16"/>
                <w:szCs w:val="16"/>
                <w:lang w:val="ru-RU" w:eastAsia="ru-RU"/>
              </w:rPr>
            </w:pPr>
            <w:r>
              <w:rPr>
                <w:rFonts w:cs="Arial"/>
                <w:b/>
                <w:bCs/>
                <w:color w:val="000000"/>
                <w:sz w:val="16"/>
                <w:szCs w:val="16"/>
              </w:rPr>
              <w:t>83,2%</w:t>
            </w:r>
          </w:p>
        </w:tc>
        <w:tc>
          <w:tcPr>
            <w:tcW w:w="1134" w:type="dxa"/>
            <w:gridSpan w:val="2"/>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98"/>
              <w:jc w:val="right"/>
              <w:textAlignment w:val="auto"/>
              <w:rPr>
                <w:rFonts w:cs="Arial"/>
                <w:b/>
                <w:bCs/>
                <w:color w:val="000000"/>
                <w:sz w:val="16"/>
                <w:szCs w:val="16"/>
                <w:lang w:val="ru-RU" w:eastAsia="ru-RU"/>
              </w:rPr>
            </w:pPr>
            <w:r>
              <w:rPr>
                <w:rFonts w:cs="Arial"/>
                <w:b/>
                <w:bCs/>
                <w:color w:val="000000"/>
                <w:sz w:val="16"/>
                <w:szCs w:val="16"/>
              </w:rPr>
              <w:t>2 479 929</w:t>
            </w:r>
          </w:p>
        </w:tc>
        <w:tc>
          <w:tcPr>
            <w:tcW w:w="1107"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71"/>
              <w:jc w:val="right"/>
              <w:textAlignment w:val="auto"/>
              <w:rPr>
                <w:rFonts w:cs="Arial"/>
                <w:b/>
                <w:bCs/>
                <w:color w:val="000000"/>
                <w:sz w:val="16"/>
                <w:szCs w:val="16"/>
                <w:lang w:val="ru-RU" w:eastAsia="ru-RU"/>
              </w:rPr>
            </w:pPr>
            <w:r>
              <w:rPr>
                <w:rFonts w:cs="Arial"/>
                <w:b/>
                <w:bCs/>
                <w:color w:val="000000"/>
                <w:sz w:val="16"/>
                <w:szCs w:val="16"/>
              </w:rPr>
              <w:t>89,6%</w:t>
            </w:r>
          </w:p>
        </w:tc>
      </w:tr>
      <w:tr w:rsidR="004D79D1" w:rsidRPr="007A44AE" w:rsidTr="00B53D00">
        <w:trPr>
          <w:trHeight w:val="300"/>
        </w:trPr>
        <w:tc>
          <w:tcPr>
            <w:tcW w:w="4268"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firstLineChars="200" w:firstLine="320"/>
              <w:textAlignment w:val="auto"/>
              <w:rPr>
                <w:rFonts w:cs="Arial"/>
                <w:color w:val="000000"/>
                <w:sz w:val="16"/>
                <w:szCs w:val="16"/>
                <w:lang w:val="ru-RU" w:eastAsia="ru-RU"/>
              </w:rPr>
            </w:pPr>
            <w:r w:rsidRPr="007A44AE">
              <w:rPr>
                <w:rFonts w:cs="Arial"/>
                <w:color w:val="000000"/>
                <w:sz w:val="16"/>
                <w:szCs w:val="16"/>
                <w:lang w:val="ru-RU" w:eastAsia="ru-RU"/>
              </w:rPr>
              <w:t>Базовый капитал</w:t>
            </w:r>
          </w:p>
        </w:tc>
        <w:tc>
          <w:tcPr>
            <w:tcW w:w="1360"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18"/>
              <w:jc w:val="right"/>
              <w:textAlignment w:val="auto"/>
              <w:rPr>
                <w:rFonts w:cs="Arial"/>
                <w:color w:val="000000"/>
                <w:sz w:val="16"/>
                <w:szCs w:val="16"/>
                <w:highlight w:val="red"/>
                <w:lang w:val="ru-RU" w:eastAsia="ru-RU"/>
              </w:rPr>
            </w:pPr>
            <w:r>
              <w:rPr>
                <w:rFonts w:cs="Arial"/>
                <w:color w:val="000000"/>
                <w:sz w:val="16"/>
                <w:szCs w:val="16"/>
              </w:rPr>
              <w:t>1 686 360</w:t>
            </w:r>
          </w:p>
        </w:tc>
        <w:tc>
          <w:tcPr>
            <w:tcW w:w="1191"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55"/>
              <w:jc w:val="right"/>
              <w:textAlignment w:val="auto"/>
              <w:rPr>
                <w:rFonts w:cs="Arial"/>
                <w:color w:val="000000"/>
                <w:sz w:val="16"/>
                <w:szCs w:val="16"/>
                <w:lang w:val="ru-RU" w:eastAsia="ru-RU"/>
              </w:rPr>
            </w:pPr>
          </w:p>
        </w:tc>
        <w:tc>
          <w:tcPr>
            <w:tcW w:w="1134" w:type="dxa"/>
            <w:gridSpan w:val="2"/>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98"/>
              <w:jc w:val="right"/>
              <w:textAlignment w:val="auto"/>
              <w:rPr>
                <w:rFonts w:cs="Arial"/>
                <w:color w:val="000000"/>
                <w:sz w:val="16"/>
                <w:szCs w:val="16"/>
                <w:lang w:val="ru-RU" w:eastAsia="ru-RU"/>
              </w:rPr>
            </w:pPr>
            <w:r>
              <w:rPr>
                <w:rFonts w:cs="Arial"/>
                <w:color w:val="000000"/>
                <w:sz w:val="16"/>
                <w:szCs w:val="16"/>
              </w:rPr>
              <w:t>2 285 022</w:t>
            </w:r>
          </w:p>
        </w:tc>
        <w:tc>
          <w:tcPr>
            <w:tcW w:w="1107"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71"/>
              <w:jc w:val="right"/>
              <w:textAlignment w:val="auto"/>
              <w:rPr>
                <w:rFonts w:cs="Arial"/>
                <w:color w:val="000000"/>
                <w:sz w:val="16"/>
                <w:szCs w:val="16"/>
                <w:lang w:val="ru-RU" w:eastAsia="ru-RU"/>
              </w:rPr>
            </w:pPr>
          </w:p>
        </w:tc>
      </w:tr>
      <w:tr w:rsidR="004D79D1" w:rsidRPr="007A44AE" w:rsidTr="00B53D00">
        <w:trPr>
          <w:trHeight w:val="300"/>
        </w:trPr>
        <w:tc>
          <w:tcPr>
            <w:tcW w:w="4268"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firstLineChars="200" w:firstLine="320"/>
              <w:textAlignment w:val="auto"/>
              <w:rPr>
                <w:rFonts w:cs="Arial"/>
                <w:color w:val="000000"/>
                <w:sz w:val="16"/>
                <w:szCs w:val="16"/>
                <w:lang w:val="ru-RU" w:eastAsia="ru-RU"/>
              </w:rPr>
            </w:pPr>
            <w:r w:rsidRPr="007A44AE">
              <w:rPr>
                <w:rFonts w:cs="Arial"/>
                <w:color w:val="000000"/>
                <w:sz w:val="16"/>
                <w:szCs w:val="16"/>
                <w:lang w:val="ru-RU" w:eastAsia="ru-RU"/>
              </w:rPr>
              <w:t>Добавочный капитал</w:t>
            </w:r>
          </w:p>
        </w:tc>
        <w:tc>
          <w:tcPr>
            <w:tcW w:w="1360"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18"/>
              <w:jc w:val="right"/>
              <w:textAlignment w:val="auto"/>
              <w:rPr>
                <w:rFonts w:cs="Arial"/>
                <w:color w:val="000000"/>
                <w:sz w:val="16"/>
                <w:szCs w:val="16"/>
                <w:highlight w:val="red"/>
                <w:lang w:val="ru-RU" w:eastAsia="ru-RU"/>
              </w:rPr>
            </w:pPr>
            <w:r>
              <w:rPr>
                <w:rFonts w:cs="Arial"/>
                <w:color w:val="000000"/>
                <w:sz w:val="16"/>
                <w:szCs w:val="16"/>
              </w:rPr>
              <w:t>0</w:t>
            </w:r>
          </w:p>
        </w:tc>
        <w:tc>
          <w:tcPr>
            <w:tcW w:w="1191"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155"/>
              <w:jc w:val="right"/>
              <w:textAlignment w:val="auto"/>
              <w:rPr>
                <w:rFonts w:cs="Arial"/>
                <w:color w:val="000000"/>
                <w:sz w:val="16"/>
                <w:szCs w:val="16"/>
                <w:lang w:val="ru-RU" w:eastAsia="ru-RU"/>
              </w:rPr>
            </w:pPr>
          </w:p>
        </w:tc>
        <w:tc>
          <w:tcPr>
            <w:tcW w:w="1134" w:type="dxa"/>
            <w:gridSpan w:val="2"/>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98"/>
              <w:jc w:val="right"/>
              <w:textAlignment w:val="auto"/>
              <w:rPr>
                <w:rFonts w:cs="Arial"/>
                <w:color w:val="000000"/>
                <w:sz w:val="16"/>
                <w:szCs w:val="16"/>
                <w:lang w:val="ru-RU" w:eastAsia="ru-RU"/>
              </w:rPr>
            </w:pPr>
            <w:r>
              <w:rPr>
                <w:rFonts w:cs="Arial"/>
                <w:color w:val="000000"/>
                <w:sz w:val="16"/>
                <w:szCs w:val="16"/>
              </w:rPr>
              <w:t>194 907</w:t>
            </w:r>
          </w:p>
        </w:tc>
        <w:tc>
          <w:tcPr>
            <w:tcW w:w="1107" w:type="dxa"/>
            <w:tcBorders>
              <w:top w:val="nil"/>
              <w:left w:val="nil"/>
              <w:bottom w:val="nil"/>
              <w:right w:val="nil"/>
            </w:tcBorders>
            <w:shd w:val="clear" w:color="auto" w:fill="auto"/>
            <w:vAlign w:val="center"/>
            <w:hideMark/>
          </w:tcPr>
          <w:p w:rsidR="004D79D1" w:rsidRPr="007A44AE" w:rsidRDefault="004D79D1" w:rsidP="00B53D00">
            <w:pPr>
              <w:overflowPunct/>
              <w:autoSpaceDE/>
              <w:autoSpaceDN/>
              <w:adjustRightInd/>
              <w:ind w:right="71"/>
              <w:jc w:val="right"/>
              <w:textAlignment w:val="auto"/>
              <w:rPr>
                <w:rFonts w:cs="Arial"/>
                <w:color w:val="000000"/>
                <w:sz w:val="16"/>
                <w:szCs w:val="16"/>
                <w:lang w:val="ru-RU" w:eastAsia="ru-RU"/>
              </w:rPr>
            </w:pPr>
          </w:p>
        </w:tc>
      </w:tr>
      <w:tr w:rsidR="004D79D1" w:rsidRPr="007A44AE" w:rsidTr="00B53D00">
        <w:trPr>
          <w:trHeight w:val="300"/>
        </w:trPr>
        <w:tc>
          <w:tcPr>
            <w:tcW w:w="4268"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textAlignment w:val="auto"/>
              <w:rPr>
                <w:rFonts w:cs="Arial"/>
                <w:b/>
                <w:bCs/>
                <w:color w:val="000000"/>
                <w:sz w:val="16"/>
                <w:szCs w:val="16"/>
                <w:lang w:val="ru-RU" w:eastAsia="ru-RU"/>
              </w:rPr>
            </w:pPr>
            <w:r w:rsidRPr="007A44AE">
              <w:rPr>
                <w:rFonts w:cs="Arial"/>
                <w:b/>
                <w:bCs/>
                <w:color w:val="000000"/>
                <w:sz w:val="16"/>
                <w:szCs w:val="16"/>
                <w:lang w:val="ru-RU" w:eastAsia="ru-RU"/>
              </w:rPr>
              <w:t>Дополнительный капитал</w:t>
            </w:r>
          </w:p>
        </w:tc>
        <w:tc>
          <w:tcPr>
            <w:tcW w:w="1360"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ind w:right="118"/>
              <w:jc w:val="right"/>
              <w:textAlignment w:val="auto"/>
              <w:rPr>
                <w:rFonts w:cs="Arial"/>
                <w:b/>
                <w:bCs/>
                <w:color w:val="000000"/>
                <w:sz w:val="16"/>
                <w:szCs w:val="16"/>
                <w:highlight w:val="red"/>
                <w:lang w:val="ru-RU" w:eastAsia="ru-RU"/>
              </w:rPr>
            </w:pPr>
            <w:r>
              <w:rPr>
                <w:rFonts w:cs="Arial"/>
                <w:b/>
                <w:bCs/>
                <w:color w:val="000000"/>
                <w:sz w:val="16"/>
                <w:szCs w:val="16"/>
              </w:rPr>
              <w:t>341 624</w:t>
            </w:r>
          </w:p>
        </w:tc>
        <w:tc>
          <w:tcPr>
            <w:tcW w:w="1191"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ind w:right="155"/>
              <w:jc w:val="right"/>
              <w:textAlignment w:val="auto"/>
              <w:rPr>
                <w:rFonts w:cs="Arial"/>
                <w:b/>
                <w:bCs/>
                <w:color w:val="000000"/>
                <w:sz w:val="16"/>
                <w:szCs w:val="16"/>
                <w:lang w:val="ru-RU" w:eastAsia="ru-RU"/>
              </w:rPr>
            </w:pPr>
            <w:r>
              <w:rPr>
                <w:rFonts w:cs="Arial"/>
                <w:b/>
                <w:bCs/>
                <w:color w:val="000000"/>
                <w:sz w:val="16"/>
                <w:szCs w:val="16"/>
              </w:rPr>
              <w:t>16,8%</w:t>
            </w:r>
          </w:p>
        </w:tc>
        <w:tc>
          <w:tcPr>
            <w:tcW w:w="1134" w:type="dxa"/>
            <w:gridSpan w:val="2"/>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ind w:right="98"/>
              <w:jc w:val="right"/>
              <w:textAlignment w:val="auto"/>
              <w:rPr>
                <w:rFonts w:cs="Arial"/>
                <w:b/>
                <w:bCs/>
                <w:color w:val="000000"/>
                <w:sz w:val="16"/>
                <w:szCs w:val="16"/>
                <w:lang w:val="ru-RU" w:eastAsia="ru-RU"/>
              </w:rPr>
            </w:pPr>
            <w:r>
              <w:rPr>
                <w:rFonts w:cs="Arial"/>
                <w:b/>
                <w:bCs/>
                <w:color w:val="000000"/>
                <w:sz w:val="16"/>
                <w:szCs w:val="16"/>
              </w:rPr>
              <w:t>288 957</w:t>
            </w:r>
          </w:p>
        </w:tc>
        <w:tc>
          <w:tcPr>
            <w:tcW w:w="1107" w:type="dxa"/>
            <w:tcBorders>
              <w:top w:val="nil"/>
              <w:left w:val="nil"/>
              <w:bottom w:val="single" w:sz="4" w:space="0" w:color="auto"/>
              <w:right w:val="nil"/>
            </w:tcBorders>
            <w:shd w:val="clear" w:color="auto" w:fill="auto"/>
            <w:vAlign w:val="center"/>
            <w:hideMark/>
          </w:tcPr>
          <w:p w:rsidR="004D79D1" w:rsidRPr="007A44AE" w:rsidRDefault="004D79D1" w:rsidP="00B53D00">
            <w:pPr>
              <w:overflowPunct/>
              <w:autoSpaceDE/>
              <w:autoSpaceDN/>
              <w:adjustRightInd/>
              <w:ind w:right="71"/>
              <w:jc w:val="right"/>
              <w:textAlignment w:val="auto"/>
              <w:rPr>
                <w:rFonts w:cs="Arial"/>
                <w:b/>
                <w:bCs/>
                <w:color w:val="000000"/>
                <w:sz w:val="16"/>
                <w:szCs w:val="16"/>
                <w:lang w:val="ru-RU" w:eastAsia="ru-RU"/>
              </w:rPr>
            </w:pPr>
            <w:r>
              <w:rPr>
                <w:rFonts w:cs="Arial"/>
                <w:b/>
                <w:bCs/>
                <w:color w:val="000000"/>
                <w:sz w:val="16"/>
                <w:szCs w:val="16"/>
              </w:rPr>
              <w:t>10,4%</w:t>
            </w:r>
          </w:p>
        </w:tc>
      </w:tr>
      <w:tr w:rsidR="004D79D1" w:rsidRPr="007A44AE" w:rsidTr="00B53D00">
        <w:trPr>
          <w:trHeight w:val="315"/>
        </w:trPr>
        <w:tc>
          <w:tcPr>
            <w:tcW w:w="4268" w:type="dxa"/>
            <w:tcBorders>
              <w:top w:val="nil"/>
              <w:left w:val="nil"/>
              <w:bottom w:val="double" w:sz="6" w:space="0" w:color="auto"/>
              <w:right w:val="nil"/>
            </w:tcBorders>
            <w:shd w:val="clear" w:color="auto" w:fill="auto"/>
            <w:vAlign w:val="center"/>
            <w:hideMark/>
          </w:tcPr>
          <w:p w:rsidR="004D79D1" w:rsidRPr="007A44AE" w:rsidRDefault="004D79D1" w:rsidP="00B53D00">
            <w:pPr>
              <w:overflowPunct/>
              <w:autoSpaceDE/>
              <w:autoSpaceDN/>
              <w:adjustRightInd/>
              <w:textAlignment w:val="auto"/>
              <w:rPr>
                <w:rFonts w:cs="Arial"/>
                <w:b/>
                <w:bCs/>
                <w:color w:val="000000"/>
                <w:sz w:val="16"/>
                <w:szCs w:val="16"/>
                <w:lang w:val="ru-RU" w:eastAsia="ru-RU"/>
              </w:rPr>
            </w:pPr>
            <w:r w:rsidRPr="007A44AE">
              <w:rPr>
                <w:rFonts w:cs="Arial"/>
                <w:b/>
                <w:bCs/>
                <w:color w:val="000000"/>
                <w:sz w:val="16"/>
                <w:szCs w:val="16"/>
                <w:lang w:val="ru-RU" w:eastAsia="ru-RU"/>
              </w:rPr>
              <w:t>Итого собственные средства (капитал)</w:t>
            </w:r>
          </w:p>
        </w:tc>
        <w:tc>
          <w:tcPr>
            <w:tcW w:w="1360" w:type="dxa"/>
            <w:tcBorders>
              <w:top w:val="nil"/>
              <w:left w:val="nil"/>
              <w:bottom w:val="double" w:sz="6" w:space="0" w:color="auto"/>
              <w:right w:val="nil"/>
            </w:tcBorders>
            <w:shd w:val="clear" w:color="auto" w:fill="auto"/>
            <w:vAlign w:val="center"/>
            <w:hideMark/>
          </w:tcPr>
          <w:p w:rsidR="004D79D1" w:rsidRPr="007A44AE" w:rsidRDefault="004D79D1" w:rsidP="00B53D00">
            <w:pPr>
              <w:overflowPunct/>
              <w:autoSpaceDE/>
              <w:autoSpaceDN/>
              <w:adjustRightInd/>
              <w:ind w:right="118"/>
              <w:jc w:val="right"/>
              <w:textAlignment w:val="auto"/>
              <w:rPr>
                <w:rFonts w:cs="Arial"/>
                <w:b/>
                <w:bCs/>
                <w:color w:val="000000"/>
                <w:sz w:val="16"/>
                <w:szCs w:val="16"/>
                <w:highlight w:val="red"/>
                <w:lang w:val="ru-RU" w:eastAsia="ru-RU"/>
              </w:rPr>
            </w:pPr>
            <w:r>
              <w:rPr>
                <w:rFonts w:cs="Arial"/>
                <w:b/>
                <w:bCs/>
                <w:color w:val="000000"/>
                <w:sz w:val="16"/>
                <w:szCs w:val="16"/>
              </w:rPr>
              <w:t>2 027 984</w:t>
            </w:r>
          </w:p>
        </w:tc>
        <w:tc>
          <w:tcPr>
            <w:tcW w:w="1191" w:type="dxa"/>
            <w:tcBorders>
              <w:top w:val="nil"/>
              <w:left w:val="nil"/>
              <w:bottom w:val="double" w:sz="6" w:space="0" w:color="auto"/>
              <w:right w:val="nil"/>
            </w:tcBorders>
            <w:shd w:val="clear" w:color="auto" w:fill="auto"/>
            <w:vAlign w:val="center"/>
            <w:hideMark/>
          </w:tcPr>
          <w:p w:rsidR="004D79D1" w:rsidRPr="007A44AE" w:rsidRDefault="004D79D1" w:rsidP="00B53D00">
            <w:pPr>
              <w:overflowPunct/>
              <w:autoSpaceDE/>
              <w:autoSpaceDN/>
              <w:adjustRightInd/>
              <w:ind w:right="155"/>
              <w:jc w:val="right"/>
              <w:textAlignment w:val="auto"/>
              <w:rPr>
                <w:rFonts w:cs="Arial"/>
                <w:b/>
                <w:bCs/>
                <w:color w:val="000000"/>
                <w:sz w:val="16"/>
                <w:szCs w:val="16"/>
                <w:lang w:val="ru-RU" w:eastAsia="ru-RU"/>
              </w:rPr>
            </w:pPr>
            <w:r>
              <w:rPr>
                <w:rFonts w:cs="Arial"/>
                <w:b/>
                <w:bCs/>
                <w:color w:val="000000"/>
                <w:sz w:val="16"/>
                <w:szCs w:val="16"/>
              </w:rPr>
              <w:t>100,0%</w:t>
            </w:r>
          </w:p>
        </w:tc>
        <w:tc>
          <w:tcPr>
            <w:tcW w:w="1134" w:type="dxa"/>
            <w:gridSpan w:val="2"/>
            <w:tcBorders>
              <w:top w:val="nil"/>
              <w:left w:val="nil"/>
              <w:bottom w:val="double" w:sz="6" w:space="0" w:color="auto"/>
              <w:right w:val="nil"/>
            </w:tcBorders>
            <w:shd w:val="clear" w:color="auto" w:fill="auto"/>
            <w:vAlign w:val="center"/>
            <w:hideMark/>
          </w:tcPr>
          <w:p w:rsidR="004D79D1" w:rsidRPr="007A44AE" w:rsidRDefault="004D79D1" w:rsidP="00B53D00">
            <w:pPr>
              <w:overflowPunct/>
              <w:autoSpaceDE/>
              <w:autoSpaceDN/>
              <w:adjustRightInd/>
              <w:ind w:right="98"/>
              <w:jc w:val="right"/>
              <w:textAlignment w:val="auto"/>
              <w:rPr>
                <w:rFonts w:cs="Arial"/>
                <w:b/>
                <w:bCs/>
                <w:color w:val="000000"/>
                <w:sz w:val="16"/>
                <w:szCs w:val="16"/>
                <w:lang w:val="ru-RU" w:eastAsia="ru-RU"/>
              </w:rPr>
            </w:pPr>
            <w:r>
              <w:rPr>
                <w:rFonts w:cs="Arial"/>
                <w:b/>
                <w:bCs/>
                <w:color w:val="000000"/>
                <w:sz w:val="16"/>
                <w:szCs w:val="16"/>
              </w:rPr>
              <w:t>2 768 886</w:t>
            </w:r>
          </w:p>
        </w:tc>
        <w:tc>
          <w:tcPr>
            <w:tcW w:w="1107" w:type="dxa"/>
            <w:tcBorders>
              <w:top w:val="nil"/>
              <w:left w:val="nil"/>
              <w:bottom w:val="double" w:sz="6" w:space="0" w:color="auto"/>
              <w:right w:val="nil"/>
            </w:tcBorders>
            <w:shd w:val="clear" w:color="auto" w:fill="auto"/>
            <w:vAlign w:val="center"/>
            <w:hideMark/>
          </w:tcPr>
          <w:p w:rsidR="004D79D1" w:rsidRPr="007A44AE" w:rsidRDefault="004D79D1" w:rsidP="00B53D00">
            <w:pPr>
              <w:overflowPunct/>
              <w:autoSpaceDE/>
              <w:autoSpaceDN/>
              <w:adjustRightInd/>
              <w:ind w:right="71"/>
              <w:jc w:val="right"/>
              <w:textAlignment w:val="auto"/>
              <w:rPr>
                <w:rFonts w:cs="Arial"/>
                <w:b/>
                <w:bCs/>
                <w:color w:val="000000"/>
                <w:sz w:val="16"/>
                <w:szCs w:val="16"/>
                <w:lang w:val="ru-RU" w:eastAsia="ru-RU"/>
              </w:rPr>
            </w:pPr>
            <w:r>
              <w:rPr>
                <w:rFonts w:cs="Arial"/>
                <w:b/>
                <w:bCs/>
                <w:color w:val="000000"/>
                <w:sz w:val="16"/>
                <w:szCs w:val="16"/>
              </w:rPr>
              <w:t>100,0%</w:t>
            </w:r>
          </w:p>
        </w:tc>
      </w:tr>
    </w:tbl>
    <w:p w:rsidR="004D79D1" w:rsidRDefault="004D79D1" w:rsidP="004D79D1">
      <w:pPr>
        <w:pStyle w:val="2normal"/>
        <w:jc w:val="both"/>
        <w:rPr>
          <w:b/>
          <w:sz w:val="20"/>
          <w:szCs w:val="20"/>
          <w:lang w:val="ru-RU"/>
        </w:rPr>
      </w:pPr>
    </w:p>
    <w:p w:rsidR="004D79D1" w:rsidRPr="00EA2658" w:rsidRDefault="004D79D1" w:rsidP="004D79D1">
      <w:pPr>
        <w:pStyle w:val="2normal"/>
        <w:jc w:val="both"/>
        <w:rPr>
          <w:sz w:val="20"/>
          <w:szCs w:val="20"/>
          <w:lang w:val="ru-RU"/>
        </w:rPr>
      </w:pPr>
      <w:r w:rsidRPr="00EA2658">
        <w:rPr>
          <w:sz w:val="20"/>
          <w:szCs w:val="20"/>
          <w:lang w:val="ru-RU"/>
        </w:rPr>
        <w:t>По состоянию за 3</w:t>
      </w:r>
      <w:r>
        <w:rPr>
          <w:sz w:val="20"/>
          <w:szCs w:val="20"/>
          <w:lang w:val="ru-RU"/>
        </w:rPr>
        <w:t>1</w:t>
      </w:r>
      <w:r w:rsidRPr="00EA2658">
        <w:rPr>
          <w:sz w:val="20"/>
          <w:szCs w:val="20"/>
          <w:lang w:val="ru-RU"/>
        </w:rPr>
        <w:t xml:space="preserve"> </w:t>
      </w:r>
      <w:r>
        <w:rPr>
          <w:sz w:val="20"/>
          <w:szCs w:val="20"/>
          <w:lang w:val="ru-RU"/>
        </w:rPr>
        <w:t>декабря</w:t>
      </w:r>
      <w:r w:rsidRPr="00EA2658">
        <w:rPr>
          <w:sz w:val="20"/>
          <w:szCs w:val="20"/>
          <w:lang w:val="ru-RU"/>
        </w:rPr>
        <w:t xml:space="preserve"> 201</w:t>
      </w:r>
      <w:r>
        <w:rPr>
          <w:sz w:val="20"/>
          <w:szCs w:val="20"/>
          <w:lang w:val="ru-RU"/>
        </w:rPr>
        <w:t>8</w:t>
      </w:r>
      <w:r w:rsidRPr="00EA2658">
        <w:rPr>
          <w:sz w:val="20"/>
          <w:szCs w:val="20"/>
          <w:lang w:val="ru-RU"/>
        </w:rPr>
        <w:t xml:space="preserve"> г. дополнительный капитал в основном сформирован за счет прироста стоимости имущества в сумме </w:t>
      </w:r>
      <w:r w:rsidRPr="007A44AE">
        <w:rPr>
          <w:sz w:val="20"/>
          <w:szCs w:val="20"/>
          <w:lang w:val="ru-RU"/>
        </w:rPr>
        <w:t>338</w:t>
      </w:r>
      <w:r>
        <w:rPr>
          <w:sz w:val="20"/>
          <w:szCs w:val="20"/>
          <w:lang w:val="ru-RU"/>
        </w:rPr>
        <w:t> </w:t>
      </w:r>
      <w:r w:rsidRPr="007A44AE">
        <w:rPr>
          <w:sz w:val="20"/>
          <w:szCs w:val="20"/>
          <w:lang w:val="ru-RU"/>
        </w:rPr>
        <w:t>659</w:t>
      </w:r>
      <w:r>
        <w:rPr>
          <w:sz w:val="20"/>
          <w:szCs w:val="20"/>
          <w:lang w:val="ru-RU"/>
        </w:rPr>
        <w:t xml:space="preserve"> </w:t>
      </w:r>
      <w:r w:rsidRPr="00EA2658">
        <w:rPr>
          <w:sz w:val="20"/>
          <w:szCs w:val="20"/>
          <w:lang w:val="ru-RU"/>
        </w:rPr>
        <w:t>тыс. рублей.</w:t>
      </w:r>
    </w:p>
    <w:p w:rsidR="004D79D1" w:rsidRDefault="004D79D1" w:rsidP="004D79D1">
      <w:pPr>
        <w:pStyle w:val="2normal"/>
        <w:spacing w:line="228" w:lineRule="auto"/>
        <w:jc w:val="both"/>
        <w:rPr>
          <w:sz w:val="20"/>
          <w:szCs w:val="20"/>
          <w:lang w:val="ru-RU"/>
        </w:rPr>
      </w:pPr>
    </w:p>
    <w:p w:rsidR="004D79D1" w:rsidRDefault="004D79D1" w:rsidP="004D79D1">
      <w:pPr>
        <w:pStyle w:val="2normal"/>
        <w:tabs>
          <w:tab w:val="left" w:pos="741"/>
        </w:tabs>
        <w:rPr>
          <w:b/>
          <w:sz w:val="20"/>
          <w:szCs w:val="20"/>
          <w:lang w:val="ru-RU"/>
        </w:rPr>
      </w:pPr>
      <w:r w:rsidRPr="00CB2F05">
        <w:rPr>
          <w:b/>
          <w:sz w:val="20"/>
          <w:szCs w:val="20"/>
          <w:lang w:val="ru-RU"/>
        </w:rPr>
        <w:t>Информация об объемах требований к капиталу и их изменения в течение 201</w:t>
      </w:r>
      <w:r>
        <w:rPr>
          <w:b/>
          <w:sz w:val="20"/>
          <w:szCs w:val="20"/>
          <w:lang w:val="ru-RU"/>
        </w:rPr>
        <w:t>8</w:t>
      </w:r>
      <w:r w:rsidRPr="00CB2F05">
        <w:rPr>
          <w:b/>
          <w:sz w:val="20"/>
          <w:szCs w:val="20"/>
          <w:lang w:val="ru-RU"/>
        </w:rPr>
        <w:t xml:space="preserve"> года</w:t>
      </w:r>
    </w:p>
    <w:p w:rsidR="004D79D1" w:rsidRDefault="004D79D1" w:rsidP="004D79D1">
      <w:pPr>
        <w:pStyle w:val="2normal"/>
        <w:tabs>
          <w:tab w:val="left" w:pos="741"/>
        </w:tabs>
        <w:rPr>
          <w:b/>
          <w:sz w:val="20"/>
          <w:szCs w:val="20"/>
          <w:lang w:val="ru-RU"/>
        </w:rPr>
      </w:pPr>
    </w:p>
    <w:tbl>
      <w:tblPr>
        <w:tblW w:w="9513" w:type="dxa"/>
        <w:tblInd w:w="93" w:type="dxa"/>
        <w:tblLook w:val="04A0" w:firstRow="1" w:lastRow="0" w:firstColumn="1" w:lastColumn="0" w:noHBand="0" w:noVBand="1"/>
      </w:tblPr>
      <w:tblGrid>
        <w:gridCol w:w="5544"/>
        <w:gridCol w:w="1275"/>
        <w:gridCol w:w="1276"/>
        <w:gridCol w:w="1418"/>
      </w:tblGrid>
      <w:tr w:rsidR="004D79D1" w:rsidRPr="00B35870" w:rsidTr="00B53D00">
        <w:trPr>
          <w:trHeight w:val="315"/>
          <w:tblHeader/>
        </w:trPr>
        <w:tc>
          <w:tcPr>
            <w:tcW w:w="5544" w:type="dxa"/>
            <w:tcBorders>
              <w:top w:val="single" w:sz="8" w:space="0" w:color="auto"/>
              <w:left w:val="nil"/>
              <w:bottom w:val="single" w:sz="8" w:space="0" w:color="auto"/>
              <w:right w:val="nil"/>
            </w:tcBorders>
            <w:shd w:val="clear" w:color="auto" w:fill="auto"/>
            <w:vAlign w:val="center"/>
            <w:hideMark/>
          </w:tcPr>
          <w:p w:rsidR="004D79D1" w:rsidRPr="00B35870" w:rsidRDefault="004D79D1" w:rsidP="00B53D00">
            <w:pPr>
              <w:overflowPunct/>
              <w:autoSpaceDE/>
              <w:autoSpaceDN/>
              <w:adjustRightInd/>
              <w:jc w:val="center"/>
              <w:textAlignment w:val="auto"/>
              <w:rPr>
                <w:rFonts w:cs="Arial"/>
                <w:b/>
                <w:bCs/>
                <w:color w:val="000000"/>
                <w:sz w:val="16"/>
                <w:szCs w:val="16"/>
                <w:lang w:val="ru-RU" w:eastAsia="ru-RU"/>
              </w:rPr>
            </w:pPr>
            <w:r w:rsidRPr="00B35870">
              <w:rPr>
                <w:rFonts w:cs="Arial"/>
                <w:b/>
                <w:bCs/>
                <w:color w:val="000000"/>
                <w:sz w:val="16"/>
                <w:szCs w:val="16"/>
                <w:lang w:val="ru-RU" w:eastAsia="ru-RU"/>
              </w:rPr>
              <w:t>Показатель</w:t>
            </w:r>
          </w:p>
        </w:tc>
        <w:tc>
          <w:tcPr>
            <w:tcW w:w="1275" w:type="dxa"/>
            <w:tcBorders>
              <w:top w:val="single" w:sz="8" w:space="0" w:color="auto"/>
              <w:left w:val="nil"/>
              <w:bottom w:val="single" w:sz="8" w:space="0" w:color="auto"/>
              <w:right w:val="nil"/>
            </w:tcBorders>
            <w:shd w:val="clear" w:color="auto" w:fill="auto"/>
            <w:vAlign w:val="center"/>
            <w:hideMark/>
          </w:tcPr>
          <w:p w:rsidR="004D79D1" w:rsidRPr="002F78B0" w:rsidRDefault="004D79D1" w:rsidP="00B53D00">
            <w:pPr>
              <w:overflowPunct/>
              <w:autoSpaceDE/>
              <w:autoSpaceDN/>
              <w:adjustRightInd/>
              <w:jc w:val="right"/>
              <w:textAlignment w:val="auto"/>
              <w:rPr>
                <w:rFonts w:cs="Arial"/>
                <w:b/>
                <w:bCs/>
                <w:color w:val="000000"/>
                <w:sz w:val="16"/>
                <w:szCs w:val="16"/>
                <w:lang w:val="ru-RU" w:eastAsia="ru-RU"/>
              </w:rPr>
            </w:pPr>
            <w:r w:rsidRPr="002F78B0">
              <w:rPr>
                <w:rFonts w:cs="Arial"/>
                <w:b/>
                <w:bCs/>
                <w:color w:val="000000"/>
                <w:sz w:val="16"/>
                <w:szCs w:val="16"/>
                <w:lang w:val="ru-RU" w:eastAsia="ru-RU"/>
              </w:rPr>
              <w:t>31.12.2018</w:t>
            </w:r>
          </w:p>
        </w:tc>
        <w:tc>
          <w:tcPr>
            <w:tcW w:w="1276" w:type="dxa"/>
            <w:tcBorders>
              <w:top w:val="single" w:sz="8" w:space="0" w:color="auto"/>
              <w:left w:val="nil"/>
              <w:bottom w:val="single" w:sz="8" w:space="0" w:color="auto"/>
              <w:right w:val="nil"/>
            </w:tcBorders>
            <w:shd w:val="clear" w:color="auto" w:fill="auto"/>
            <w:vAlign w:val="center"/>
            <w:hideMark/>
          </w:tcPr>
          <w:p w:rsidR="004D79D1" w:rsidRPr="002F78B0" w:rsidRDefault="004D79D1" w:rsidP="00B53D00">
            <w:pPr>
              <w:overflowPunct/>
              <w:autoSpaceDE/>
              <w:autoSpaceDN/>
              <w:adjustRightInd/>
              <w:jc w:val="right"/>
              <w:textAlignment w:val="auto"/>
              <w:rPr>
                <w:rFonts w:cs="Arial"/>
                <w:b/>
                <w:bCs/>
                <w:color w:val="000000"/>
                <w:sz w:val="16"/>
                <w:szCs w:val="16"/>
                <w:lang w:val="ru-RU" w:eastAsia="ru-RU"/>
              </w:rPr>
            </w:pPr>
            <w:r w:rsidRPr="002F78B0">
              <w:rPr>
                <w:rFonts w:cs="Arial"/>
                <w:b/>
                <w:bCs/>
                <w:color w:val="000000"/>
                <w:sz w:val="16"/>
                <w:szCs w:val="16"/>
                <w:lang w:val="ru-RU" w:eastAsia="ru-RU"/>
              </w:rPr>
              <w:t xml:space="preserve">Изменение </w:t>
            </w:r>
          </w:p>
        </w:tc>
        <w:tc>
          <w:tcPr>
            <w:tcW w:w="1418" w:type="dxa"/>
            <w:tcBorders>
              <w:top w:val="single" w:sz="8" w:space="0" w:color="auto"/>
              <w:left w:val="nil"/>
              <w:bottom w:val="single" w:sz="8" w:space="0" w:color="auto"/>
              <w:right w:val="nil"/>
            </w:tcBorders>
            <w:shd w:val="clear" w:color="auto" w:fill="auto"/>
            <w:vAlign w:val="center"/>
            <w:hideMark/>
          </w:tcPr>
          <w:p w:rsidR="004D79D1" w:rsidRPr="002F78B0" w:rsidRDefault="004D79D1" w:rsidP="00B53D00">
            <w:pPr>
              <w:overflowPunct/>
              <w:autoSpaceDE/>
              <w:autoSpaceDN/>
              <w:adjustRightInd/>
              <w:jc w:val="right"/>
              <w:textAlignment w:val="auto"/>
              <w:rPr>
                <w:rFonts w:cs="Arial"/>
                <w:b/>
                <w:bCs/>
                <w:color w:val="000000"/>
                <w:sz w:val="16"/>
                <w:szCs w:val="16"/>
                <w:lang w:val="ru-RU" w:eastAsia="ru-RU"/>
              </w:rPr>
            </w:pPr>
            <w:r w:rsidRPr="002F78B0">
              <w:rPr>
                <w:rFonts w:cs="Arial"/>
                <w:b/>
                <w:bCs/>
                <w:color w:val="000000"/>
                <w:sz w:val="16"/>
                <w:szCs w:val="16"/>
                <w:lang w:val="ru-RU" w:eastAsia="ru-RU"/>
              </w:rPr>
              <w:t>31.12.2017</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Собственные средства (капитал)</w:t>
            </w:r>
          </w:p>
        </w:tc>
        <w:tc>
          <w:tcPr>
            <w:tcW w:w="1275"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2 027 984</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(393 646)</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2 421 630</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Достаточность собственных средств (капитала), Н1.0 (%) </w:t>
            </w:r>
          </w:p>
        </w:tc>
        <w:tc>
          <w:tcPr>
            <w:tcW w:w="1275"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14,0</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0,5</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13,5</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Активы, взвешенные с учетом риска, тыс. руб., всего,  в  т. ч.:</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6 181 029</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722 213</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5 458 816</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    I группа активов</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2 745 885</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997 816</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1 748 069</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    II группа активов</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213 246</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(8 935)</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222 181</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    III группа активов</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0</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(91)</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91</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    IV группа активов  </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5 967 783</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731 239</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5 236 544</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 xml:space="preserve">    V  группа активов</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0</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0</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0</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Требования участников клиринга</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1 219</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(22 892)</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24 111</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Активы с повышенными коэффициентами риска (ПК)</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1 017 260</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36 636</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980 624</w:t>
            </w:r>
          </w:p>
        </w:tc>
      </w:tr>
      <w:tr w:rsidR="004D79D1" w:rsidRPr="00B35870" w:rsidTr="00B53D00">
        <w:trPr>
          <w:trHeight w:val="45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lastRenderedPageBreak/>
              <w:t>Требования к связанным с банком лицам, взвешенным по уровню риска (код 8957 за минусом кода 8855)</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7 777</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(3 561)</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11 338</w:t>
            </w:r>
          </w:p>
        </w:tc>
      </w:tr>
      <w:tr w:rsidR="004D79D1" w:rsidRPr="00B35870" w:rsidTr="00B53D00">
        <w:trPr>
          <w:trHeight w:val="45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Потребительские кредиты под повышенные процентные ставки заемщикам - физическим лицам (ПКр)</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230 591</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(58 519)</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289 110</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Кредитный риск по условным обязательствам кредитного характера</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685 404</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(14 445)</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699 849</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Операционный риск (применяется с коэффициентом 12,5)</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216 574</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(51 092)</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267 666</w:t>
            </w:r>
          </w:p>
        </w:tc>
      </w:tr>
      <w:tr w:rsidR="004D79D1" w:rsidRPr="00B35870" w:rsidTr="00B53D00">
        <w:trPr>
          <w:trHeight w:val="300"/>
        </w:trPr>
        <w:tc>
          <w:tcPr>
            <w:tcW w:w="5544"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Рыночный риск</w:t>
            </w:r>
          </w:p>
        </w:tc>
        <w:tc>
          <w:tcPr>
            <w:tcW w:w="1275" w:type="dxa"/>
            <w:tcBorders>
              <w:top w:val="nil"/>
              <w:left w:val="nil"/>
              <w:bottom w:val="nil"/>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3 620 439</w:t>
            </w:r>
          </w:p>
        </w:tc>
        <w:tc>
          <w:tcPr>
            <w:tcW w:w="1276"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(3 458 443)</w:t>
            </w:r>
          </w:p>
        </w:tc>
        <w:tc>
          <w:tcPr>
            <w:tcW w:w="1418" w:type="dxa"/>
            <w:tcBorders>
              <w:top w:val="nil"/>
              <w:left w:val="nil"/>
              <w:bottom w:val="nil"/>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7 078 882</w:t>
            </w:r>
          </w:p>
        </w:tc>
      </w:tr>
      <w:tr w:rsidR="004D79D1" w:rsidRPr="00B35870" w:rsidTr="00B53D00">
        <w:trPr>
          <w:trHeight w:val="300"/>
        </w:trPr>
        <w:tc>
          <w:tcPr>
            <w:tcW w:w="5544" w:type="dxa"/>
            <w:tcBorders>
              <w:top w:val="nil"/>
              <w:left w:val="nil"/>
              <w:bottom w:val="single" w:sz="4" w:space="0" w:color="auto"/>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Отложенные налоговые  активы</w:t>
            </w:r>
          </w:p>
        </w:tc>
        <w:tc>
          <w:tcPr>
            <w:tcW w:w="1275" w:type="dxa"/>
            <w:tcBorders>
              <w:top w:val="nil"/>
              <w:left w:val="nil"/>
              <w:bottom w:val="single" w:sz="4" w:space="0" w:color="auto"/>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62 495</w:t>
            </w:r>
          </w:p>
        </w:tc>
        <w:tc>
          <w:tcPr>
            <w:tcW w:w="1276" w:type="dxa"/>
            <w:tcBorders>
              <w:top w:val="nil"/>
              <w:left w:val="nil"/>
              <w:bottom w:val="single" w:sz="4" w:space="0" w:color="auto"/>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62 495</w:t>
            </w:r>
          </w:p>
        </w:tc>
        <w:tc>
          <w:tcPr>
            <w:tcW w:w="1418" w:type="dxa"/>
            <w:tcBorders>
              <w:top w:val="nil"/>
              <w:left w:val="nil"/>
              <w:bottom w:val="single" w:sz="4" w:space="0" w:color="auto"/>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0</w:t>
            </w:r>
          </w:p>
        </w:tc>
      </w:tr>
      <w:tr w:rsidR="004D79D1" w:rsidRPr="00B35870" w:rsidTr="00B53D00">
        <w:trPr>
          <w:trHeight w:val="465"/>
        </w:trPr>
        <w:tc>
          <w:tcPr>
            <w:tcW w:w="5544" w:type="dxa"/>
            <w:tcBorders>
              <w:top w:val="nil"/>
              <w:left w:val="nil"/>
              <w:bottom w:val="double" w:sz="6" w:space="0" w:color="auto"/>
              <w:right w:val="nil"/>
            </w:tcBorders>
            <w:shd w:val="clear" w:color="auto" w:fill="auto"/>
            <w:vAlign w:val="center"/>
            <w:hideMark/>
          </w:tcPr>
          <w:p w:rsidR="004D79D1" w:rsidRPr="00B35870" w:rsidRDefault="004D79D1" w:rsidP="00B53D00">
            <w:pPr>
              <w:overflowPunct/>
              <w:autoSpaceDE/>
              <w:autoSpaceDN/>
              <w:adjustRightInd/>
              <w:textAlignment w:val="auto"/>
              <w:rPr>
                <w:rFonts w:cs="Arial"/>
                <w:color w:val="000000"/>
                <w:sz w:val="16"/>
                <w:szCs w:val="16"/>
                <w:lang w:val="ru-RU" w:eastAsia="ru-RU"/>
              </w:rPr>
            </w:pPr>
            <w:r w:rsidRPr="00B35870">
              <w:rPr>
                <w:rFonts w:cs="Arial"/>
                <w:color w:val="000000"/>
                <w:sz w:val="16"/>
                <w:szCs w:val="16"/>
                <w:lang w:val="ru-RU" w:eastAsia="ru-RU"/>
              </w:rPr>
              <w:t>Итого знаменатель норматива достаточности собственных средств (капитала) банка</w:t>
            </w:r>
          </w:p>
        </w:tc>
        <w:tc>
          <w:tcPr>
            <w:tcW w:w="1275" w:type="dxa"/>
            <w:tcBorders>
              <w:top w:val="nil"/>
              <w:left w:val="nil"/>
              <w:bottom w:val="double" w:sz="6" w:space="0" w:color="auto"/>
              <w:right w:val="nil"/>
            </w:tcBorders>
            <w:shd w:val="clear" w:color="auto" w:fill="auto"/>
            <w:vAlign w:val="center"/>
            <w:hideMark/>
          </w:tcPr>
          <w:p w:rsidR="004D79D1" w:rsidRPr="004F4E70" w:rsidRDefault="004D79D1" w:rsidP="00B53D00">
            <w:pPr>
              <w:overflowPunct/>
              <w:autoSpaceDE/>
              <w:autoSpaceDN/>
              <w:adjustRightInd/>
              <w:jc w:val="right"/>
              <w:textAlignment w:val="auto"/>
              <w:rPr>
                <w:rFonts w:cs="Arial"/>
                <w:color w:val="000000"/>
                <w:sz w:val="16"/>
                <w:szCs w:val="16"/>
                <w:highlight w:val="red"/>
                <w:lang w:val="ru-RU" w:eastAsia="ru-RU"/>
              </w:rPr>
            </w:pPr>
            <w:r>
              <w:rPr>
                <w:rFonts w:cs="Arial"/>
                <w:color w:val="000000"/>
                <w:sz w:val="16"/>
                <w:szCs w:val="16"/>
              </w:rPr>
              <w:t>14 513 389</w:t>
            </w:r>
          </w:p>
        </w:tc>
        <w:tc>
          <w:tcPr>
            <w:tcW w:w="1276" w:type="dxa"/>
            <w:tcBorders>
              <w:top w:val="nil"/>
              <w:left w:val="nil"/>
              <w:bottom w:val="double" w:sz="6" w:space="0" w:color="auto"/>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 xml:space="preserve"> (3 375 166)</w:t>
            </w:r>
          </w:p>
        </w:tc>
        <w:tc>
          <w:tcPr>
            <w:tcW w:w="1418" w:type="dxa"/>
            <w:tcBorders>
              <w:top w:val="nil"/>
              <w:left w:val="nil"/>
              <w:bottom w:val="double" w:sz="6" w:space="0" w:color="auto"/>
              <w:right w:val="nil"/>
            </w:tcBorders>
            <w:shd w:val="clear" w:color="auto" w:fill="auto"/>
            <w:vAlign w:val="center"/>
            <w:hideMark/>
          </w:tcPr>
          <w:p w:rsidR="004D79D1" w:rsidRPr="00B35870" w:rsidRDefault="004D79D1" w:rsidP="00B53D00">
            <w:pPr>
              <w:overflowPunct/>
              <w:autoSpaceDE/>
              <w:autoSpaceDN/>
              <w:adjustRightInd/>
              <w:jc w:val="right"/>
              <w:textAlignment w:val="auto"/>
              <w:rPr>
                <w:rFonts w:cs="Arial"/>
                <w:color w:val="000000"/>
                <w:sz w:val="16"/>
                <w:szCs w:val="16"/>
                <w:lang w:val="ru-RU" w:eastAsia="ru-RU"/>
              </w:rPr>
            </w:pPr>
            <w:r>
              <w:rPr>
                <w:rFonts w:cs="Arial"/>
                <w:color w:val="000000"/>
                <w:sz w:val="16"/>
                <w:szCs w:val="16"/>
              </w:rPr>
              <w:t>17 888 555</w:t>
            </w:r>
          </w:p>
        </w:tc>
      </w:tr>
    </w:tbl>
    <w:p w:rsidR="004D79D1" w:rsidRDefault="004D79D1" w:rsidP="004D79D1">
      <w:pPr>
        <w:pStyle w:val="2normal"/>
        <w:spacing w:line="228" w:lineRule="auto"/>
        <w:jc w:val="both"/>
        <w:rPr>
          <w:sz w:val="20"/>
          <w:szCs w:val="20"/>
          <w:lang w:val="ru-RU"/>
        </w:rPr>
      </w:pPr>
    </w:p>
    <w:p w:rsidR="004D79D1" w:rsidRPr="004D79D1" w:rsidRDefault="004D79D1" w:rsidP="004D79D1">
      <w:pPr>
        <w:pStyle w:val="2normal0"/>
        <w:spacing w:before="0" w:beforeAutospacing="0" w:after="0" w:afterAutospacing="0"/>
        <w:jc w:val="both"/>
        <w:rPr>
          <w:rFonts w:ascii="Arial" w:hAnsi="Arial" w:cs="Arial"/>
          <w:sz w:val="20"/>
          <w:szCs w:val="20"/>
        </w:rPr>
      </w:pPr>
      <w:r w:rsidRPr="004D79D1">
        <w:rPr>
          <w:rFonts w:ascii="Arial" w:hAnsi="Arial" w:cs="Arial"/>
          <w:sz w:val="20"/>
          <w:szCs w:val="20"/>
        </w:rPr>
        <w:t>На балансе Банка на начало года были акции Банка, выкупленные у акционеров на сумму 4 450 тыс. руб., при расчете данная сумма исключалась из капитала Банка. В течение 2018 года все выкупленные акции были реализованы по цене приобретения.</w:t>
      </w:r>
    </w:p>
    <w:p w:rsidR="004D79D1" w:rsidRPr="004D79D1" w:rsidRDefault="004D79D1" w:rsidP="004D79D1">
      <w:pPr>
        <w:pStyle w:val="2normal"/>
        <w:spacing w:line="228" w:lineRule="auto"/>
        <w:jc w:val="both"/>
        <w:rPr>
          <w:sz w:val="20"/>
          <w:szCs w:val="20"/>
          <w:lang w:val="ru-RU"/>
        </w:rPr>
      </w:pPr>
    </w:p>
    <w:p w:rsidR="004D79D1" w:rsidRPr="007E051C" w:rsidRDefault="004D79D1" w:rsidP="004D79D1">
      <w:pPr>
        <w:pStyle w:val="2normal"/>
        <w:spacing w:line="228" w:lineRule="auto"/>
        <w:jc w:val="both"/>
        <w:rPr>
          <w:sz w:val="20"/>
          <w:szCs w:val="20"/>
          <w:lang w:val="ru-RU"/>
        </w:rPr>
      </w:pPr>
      <w:r w:rsidRPr="004D79D1">
        <w:rPr>
          <w:sz w:val="20"/>
          <w:szCs w:val="20"/>
          <w:lang w:val="ru-RU"/>
        </w:rPr>
        <w:t>В отчетном периоде затрат, непосредственно относящихся к операциям с собственным капиталом (например, затрат на выкуп собственных акций) и относимых на уменьшение капитала, не производилось.</w:t>
      </w:r>
    </w:p>
    <w:p w:rsidR="004D79D1" w:rsidRDefault="004D79D1" w:rsidP="004D79D1">
      <w:pPr>
        <w:pStyle w:val="2normal"/>
        <w:tabs>
          <w:tab w:val="left" w:pos="741"/>
        </w:tabs>
        <w:jc w:val="both"/>
        <w:rPr>
          <w:sz w:val="20"/>
          <w:szCs w:val="20"/>
          <w:lang w:val="ru-RU"/>
        </w:rPr>
      </w:pPr>
    </w:p>
    <w:p w:rsidR="004D79D1" w:rsidRPr="00A45A21" w:rsidRDefault="004D79D1" w:rsidP="004D79D1">
      <w:pPr>
        <w:pStyle w:val="2normal"/>
        <w:tabs>
          <w:tab w:val="left" w:pos="741"/>
        </w:tabs>
        <w:jc w:val="both"/>
        <w:rPr>
          <w:sz w:val="20"/>
          <w:szCs w:val="20"/>
          <w:lang w:val="ru-RU"/>
        </w:rPr>
      </w:pPr>
      <w:r w:rsidRPr="00A45A21">
        <w:rPr>
          <w:sz w:val="20"/>
          <w:szCs w:val="20"/>
          <w:lang w:val="ru-RU"/>
        </w:rPr>
        <w:t>В течение отчетного периода Банк стабильно выполнял все обязательные нормативы, установленные Центральным</w:t>
      </w:r>
      <w:r>
        <w:rPr>
          <w:sz w:val="20"/>
          <w:szCs w:val="20"/>
          <w:lang w:val="ru-RU"/>
        </w:rPr>
        <w:t xml:space="preserve"> </w:t>
      </w:r>
      <w:r w:rsidRPr="00A45A21">
        <w:rPr>
          <w:sz w:val="20"/>
          <w:szCs w:val="20"/>
          <w:lang w:val="ru-RU"/>
        </w:rPr>
        <w:t>банком России, своевременно исполняя все финансовые обязательства перед контрагентами, в полном объеме</w:t>
      </w:r>
      <w:r>
        <w:rPr>
          <w:sz w:val="20"/>
          <w:szCs w:val="20"/>
          <w:lang w:val="ru-RU"/>
        </w:rPr>
        <w:t xml:space="preserve"> </w:t>
      </w:r>
      <w:r w:rsidRPr="00A45A21">
        <w:rPr>
          <w:sz w:val="20"/>
          <w:szCs w:val="20"/>
          <w:lang w:val="ru-RU"/>
        </w:rPr>
        <w:t>и без потерь</w:t>
      </w:r>
      <w:r>
        <w:rPr>
          <w:sz w:val="20"/>
          <w:szCs w:val="20"/>
          <w:lang w:val="ru-RU"/>
        </w:rPr>
        <w:t xml:space="preserve"> </w:t>
      </w:r>
      <w:r w:rsidRPr="00A45A21">
        <w:rPr>
          <w:sz w:val="20"/>
          <w:szCs w:val="20"/>
          <w:lang w:val="ru-RU"/>
        </w:rPr>
        <w:t>обеспечивал выполнение своих долговых</w:t>
      </w:r>
      <w:r>
        <w:rPr>
          <w:sz w:val="20"/>
          <w:szCs w:val="20"/>
          <w:lang w:val="ru-RU"/>
        </w:rPr>
        <w:t xml:space="preserve"> </w:t>
      </w:r>
      <w:r w:rsidRPr="00A45A21">
        <w:rPr>
          <w:sz w:val="20"/>
          <w:szCs w:val="20"/>
          <w:lang w:val="ru-RU"/>
        </w:rPr>
        <w:t xml:space="preserve">обязательств.  </w:t>
      </w:r>
    </w:p>
    <w:p w:rsidR="004D79D1" w:rsidRPr="00C73757" w:rsidRDefault="004D79D1" w:rsidP="004D79D1">
      <w:pPr>
        <w:pStyle w:val="2normal"/>
        <w:jc w:val="both"/>
        <w:rPr>
          <w:sz w:val="20"/>
          <w:szCs w:val="20"/>
          <w:lang w:val="ru-RU"/>
        </w:rPr>
      </w:pPr>
    </w:p>
    <w:p w:rsidR="004D79D1" w:rsidRPr="00C73757" w:rsidRDefault="004D79D1" w:rsidP="004D79D1">
      <w:pPr>
        <w:pStyle w:val="2normal"/>
        <w:spacing w:line="228" w:lineRule="auto"/>
        <w:jc w:val="both"/>
        <w:rPr>
          <w:b/>
          <w:sz w:val="20"/>
          <w:szCs w:val="20"/>
          <w:lang w:val="ru-RU"/>
        </w:rPr>
      </w:pPr>
      <w:r w:rsidRPr="00C73757">
        <w:rPr>
          <w:b/>
          <w:sz w:val="20"/>
          <w:szCs w:val="20"/>
          <w:lang w:val="ru-RU"/>
        </w:rPr>
        <w:t xml:space="preserve">Выполнение обязательных экономических нормативов Банка России </w:t>
      </w:r>
      <w:r>
        <w:rPr>
          <w:b/>
          <w:sz w:val="20"/>
          <w:szCs w:val="20"/>
          <w:lang w:val="ru-RU"/>
        </w:rPr>
        <w:t>(</w:t>
      </w:r>
      <w:r w:rsidRPr="00C73757">
        <w:rPr>
          <w:b/>
          <w:sz w:val="20"/>
          <w:szCs w:val="20"/>
          <w:lang w:val="ru-RU"/>
        </w:rPr>
        <w:t>данные приведены по банковской форме отчетности 0409813):</w:t>
      </w:r>
    </w:p>
    <w:p w:rsidR="004D79D1" w:rsidRPr="00C73757" w:rsidRDefault="004D79D1" w:rsidP="004D79D1">
      <w:pPr>
        <w:pStyle w:val="2normal"/>
        <w:spacing w:line="228" w:lineRule="auto"/>
        <w:jc w:val="both"/>
        <w:rPr>
          <w:sz w:val="20"/>
          <w:szCs w:val="20"/>
          <w:lang w:val="ru-RU"/>
        </w:rPr>
      </w:pPr>
    </w:p>
    <w:tbl>
      <w:tblPr>
        <w:tblW w:w="9938" w:type="dxa"/>
        <w:tblInd w:w="93" w:type="dxa"/>
        <w:tblLook w:val="04A0" w:firstRow="1" w:lastRow="0" w:firstColumn="1" w:lastColumn="0" w:noHBand="0" w:noVBand="1"/>
      </w:tblPr>
      <w:tblGrid>
        <w:gridCol w:w="5969"/>
        <w:gridCol w:w="1276"/>
        <w:gridCol w:w="1275"/>
        <w:gridCol w:w="1418"/>
      </w:tblGrid>
      <w:tr w:rsidR="004D79D1" w:rsidRPr="0092293C" w:rsidTr="004D79D1">
        <w:trPr>
          <w:trHeight w:val="300"/>
          <w:tblHeader/>
        </w:trPr>
        <w:tc>
          <w:tcPr>
            <w:tcW w:w="5969" w:type="dxa"/>
            <w:tcBorders>
              <w:top w:val="single" w:sz="4" w:space="0" w:color="auto"/>
              <w:left w:val="nil"/>
              <w:bottom w:val="single" w:sz="4" w:space="0" w:color="auto"/>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b/>
                <w:bCs/>
                <w:color w:val="000000"/>
                <w:sz w:val="16"/>
                <w:szCs w:val="16"/>
                <w:lang w:val="ru-RU" w:eastAsia="ru-RU"/>
              </w:rPr>
            </w:pPr>
            <w:r w:rsidRPr="00B85F61">
              <w:rPr>
                <w:rFonts w:cs="Arial"/>
                <w:b/>
                <w:bCs/>
                <w:color w:val="000000"/>
                <w:sz w:val="16"/>
                <w:szCs w:val="16"/>
                <w:lang w:val="ru-RU" w:eastAsia="ru-RU"/>
              </w:rPr>
              <w:t>Норматив</w:t>
            </w:r>
          </w:p>
        </w:tc>
        <w:tc>
          <w:tcPr>
            <w:tcW w:w="1276" w:type="dxa"/>
            <w:tcBorders>
              <w:top w:val="single" w:sz="4" w:space="0" w:color="auto"/>
              <w:left w:val="nil"/>
              <w:bottom w:val="single" w:sz="4" w:space="0" w:color="auto"/>
              <w:right w:val="nil"/>
            </w:tcBorders>
            <w:shd w:val="clear" w:color="auto" w:fill="auto"/>
            <w:vAlign w:val="center"/>
            <w:hideMark/>
          </w:tcPr>
          <w:p w:rsidR="004D79D1" w:rsidRPr="00B85F61" w:rsidRDefault="004D79D1" w:rsidP="00B53D00">
            <w:pPr>
              <w:overflowPunct/>
              <w:autoSpaceDE/>
              <w:autoSpaceDN/>
              <w:adjustRightInd/>
              <w:jc w:val="center"/>
              <w:textAlignment w:val="auto"/>
              <w:rPr>
                <w:rFonts w:cs="Arial"/>
                <w:b/>
                <w:bCs/>
                <w:color w:val="000000"/>
                <w:sz w:val="16"/>
                <w:szCs w:val="16"/>
                <w:lang w:val="ru-RU" w:eastAsia="ru-RU"/>
              </w:rPr>
            </w:pPr>
            <w:r w:rsidRPr="00B85F61">
              <w:rPr>
                <w:rFonts w:cs="Arial"/>
                <w:b/>
                <w:bCs/>
                <w:color w:val="000000"/>
                <w:sz w:val="16"/>
                <w:szCs w:val="16"/>
                <w:lang w:val="ru-RU" w:eastAsia="ru-RU"/>
              </w:rPr>
              <w:t>Норматив, %</w:t>
            </w:r>
          </w:p>
        </w:tc>
        <w:tc>
          <w:tcPr>
            <w:tcW w:w="1275" w:type="dxa"/>
            <w:tcBorders>
              <w:top w:val="single" w:sz="4" w:space="0" w:color="auto"/>
              <w:left w:val="nil"/>
              <w:bottom w:val="single" w:sz="4" w:space="0" w:color="auto"/>
              <w:right w:val="nil"/>
            </w:tcBorders>
            <w:vAlign w:val="center"/>
          </w:tcPr>
          <w:p w:rsidR="004D79D1" w:rsidRPr="00B85F61" w:rsidRDefault="004D79D1" w:rsidP="00B53D00">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31.12.2018</w:t>
            </w:r>
            <w:r w:rsidRPr="00B85F61">
              <w:rPr>
                <w:rFonts w:cs="Arial"/>
                <w:b/>
                <w:bCs/>
                <w:color w:val="000000"/>
                <w:sz w:val="16"/>
                <w:szCs w:val="16"/>
                <w:lang w:val="ru-RU" w:eastAsia="ru-RU"/>
              </w:rPr>
              <w:t>, %</w:t>
            </w:r>
          </w:p>
        </w:tc>
        <w:tc>
          <w:tcPr>
            <w:tcW w:w="1418" w:type="dxa"/>
            <w:tcBorders>
              <w:top w:val="single" w:sz="4" w:space="0" w:color="auto"/>
              <w:left w:val="nil"/>
              <w:bottom w:val="single" w:sz="4" w:space="0" w:color="auto"/>
              <w:right w:val="nil"/>
            </w:tcBorders>
            <w:shd w:val="clear" w:color="auto" w:fill="auto"/>
            <w:vAlign w:val="center"/>
            <w:hideMark/>
          </w:tcPr>
          <w:p w:rsidR="004D79D1" w:rsidRPr="00B85F61" w:rsidRDefault="004D79D1" w:rsidP="00B53D00">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31.12.2017</w:t>
            </w:r>
            <w:r w:rsidRPr="00B85F61">
              <w:rPr>
                <w:rFonts w:cs="Arial"/>
                <w:b/>
                <w:bCs/>
                <w:color w:val="000000"/>
                <w:sz w:val="16"/>
                <w:szCs w:val="16"/>
                <w:lang w:val="ru-RU" w:eastAsia="ru-RU"/>
              </w:rPr>
              <w:t>, %</w:t>
            </w:r>
          </w:p>
        </w:tc>
      </w:tr>
      <w:tr w:rsidR="004D79D1" w:rsidRPr="0092293C" w:rsidTr="00B53D00">
        <w:trPr>
          <w:trHeight w:val="36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Н2  (норматив мгновенной ликвидности)</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min 15,0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365.2</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150,6</w:t>
            </w:r>
          </w:p>
        </w:tc>
      </w:tr>
      <w:tr w:rsidR="004D79D1" w:rsidRPr="0092293C" w:rsidTr="00B53D00">
        <w:trPr>
          <w:trHeight w:val="36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Н3  (норматив текущей ликвидности)</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min 50,0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888.7</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428,4</w:t>
            </w:r>
          </w:p>
        </w:tc>
      </w:tr>
      <w:tr w:rsidR="004D79D1" w:rsidRPr="00B85F61" w:rsidTr="00B53D00">
        <w:trPr>
          <w:trHeight w:val="36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Н4  (норматив долгосрочной ликвидности)</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120,0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17,3</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12,7</w:t>
            </w:r>
          </w:p>
        </w:tc>
      </w:tr>
      <w:tr w:rsidR="004D79D1" w:rsidRPr="00B85F61" w:rsidTr="00B53D00">
        <w:trPr>
          <w:trHeight w:val="45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Н6  (норматив максимального размера риска на одного заемщика или группу связанных заемщиков)</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25,0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18.7</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19,6</w:t>
            </w:r>
          </w:p>
        </w:tc>
      </w:tr>
      <w:tr w:rsidR="004D79D1" w:rsidRPr="00B85F61" w:rsidTr="00B53D00">
        <w:trPr>
          <w:trHeight w:val="345"/>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Н7  (норматив максимального размера крупных кредитных рисков)</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800,0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227.5</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262,5</w:t>
            </w:r>
          </w:p>
        </w:tc>
      </w:tr>
      <w:tr w:rsidR="004D79D1" w:rsidRPr="00B85F61" w:rsidTr="00B53D00">
        <w:trPr>
          <w:trHeight w:val="36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Н10.1  (норматив совокупной величины риска по инсайдерам банка)</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3,0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2.1</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2,2</w:t>
            </w:r>
          </w:p>
        </w:tc>
      </w:tr>
      <w:tr w:rsidR="004D79D1" w:rsidRPr="00B85F61" w:rsidTr="00B53D00">
        <w:trPr>
          <w:trHeight w:val="450"/>
        </w:trPr>
        <w:tc>
          <w:tcPr>
            <w:tcW w:w="5969"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Н12  (норматив использования собственных средств (капитала) банка для приобретения акций (долей) других юридических лиц</w:t>
            </w:r>
          </w:p>
        </w:tc>
        <w:tc>
          <w:tcPr>
            <w:tcW w:w="1276"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25,0</w:t>
            </w:r>
          </w:p>
        </w:tc>
        <w:tc>
          <w:tcPr>
            <w:tcW w:w="1275" w:type="dxa"/>
            <w:tcBorders>
              <w:top w:val="nil"/>
              <w:left w:val="nil"/>
              <w:bottom w:val="nil"/>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0</w:t>
            </w:r>
          </w:p>
        </w:tc>
        <w:tc>
          <w:tcPr>
            <w:tcW w:w="1418" w:type="dxa"/>
            <w:tcBorders>
              <w:top w:val="nil"/>
              <w:left w:val="nil"/>
              <w:bottom w:val="nil"/>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0</w:t>
            </w:r>
          </w:p>
        </w:tc>
      </w:tr>
      <w:tr w:rsidR="004D79D1" w:rsidRPr="00B85F61" w:rsidTr="00B53D00">
        <w:trPr>
          <w:trHeight w:val="465"/>
        </w:trPr>
        <w:tc>
          <w:tcPr>
            <w:tcW w:w="5969" w:type="dxa"/>
            <w:tcBorders>
              <w:top w:val="nil"/>
              <w:left w:val="nil"/>
              <w:bottom w:val="double" w:sz="6" w:space="0" w:color="auto"/>
              <w:right w:val="nil"/>
            </w:tcBorders>
            <w:shd w:val="clear" w:color="auto" w:fill="auto"/>
            <w:vAlign w:val="center"/>
            <w:hideMark/>
          </w:tcPr>
          <w:p w:rsidR="004D79D1" w:rsidRPr="00B85F61" w:rsidRDefault="004D79D1" w:rsidP="00B53D00">
            <w:pPr>
              <w:overflowPunct/>
              <w:autoSpaceDE/>
              <w:autoSpaceDN/>
              <w:adjustRightInd/>
              <w:textAlignment w:val="auto"/>
              <w:rPr>
                <w:rFonts w:cs="Arial"/>
                <w:color w:val="000000"/>
                <w:sz w:val="16"/>
                <w:szCs w:val="16"/>
                <w:lang w:val="ru-RU" w:eastAsia="ru-RU"/>
              </w:rPr>
            </w:pPr>
            <w:r w:rsidRPr="00B85F61">
              <w:rPr>
                <w:rFonts w:cs="Arial"/>
                <w:color w:val="000000"/>
                <w:sz w:val="16"/>
                <w:szCs w:val="16"/>
                <w:lang w:val="ru-RU" w:eastAsia="ru-RU"/>
              </w:rPr>
              <w:t xml:space="preserve">Н 25  (норматив максимального размера риска на связанное с банком лицо (группу связанных с банком лиц) </w:t>
            </w:r>
          </w:p>
        </w:tc>
        <w:tc>
          <w:tcPr>
            <w:tcW w:w="1276" w:type="dxa"/>
            <w:tcBorders>
              <w:top w:val="nil"/>
              <w:left w:val="nil"/>
              <w:bottom w:val="double" w:sz="6" w:space="0" w:color="auto"/>
              <w:right w:val="nil"/>
            </w:tcBorders>
            <w:shd w:val="clear" w:color="auto" w:fill="auto"/>
            <w:vAlign w:val="center"/>
            <w:hideMark/>
          </w:tcPr>
          <w:p w:rsidR="004D79D1" w:rsidRPr="00B85F61" w:rsidRDefault="004D79D1" w:rsidP="00B53D00">
            <w:pPr>
              <w:overflowPunct/>
              <w:autoSpaceDE/>
              <w:autoSpaceDN/>
              <w:adjustRightInd/>
              <w:jc w:val="both"/>
              <w:textAlignment w:val="auto"/>
              <w:rPr>
                <w:rFonts w:cs="Arial"/>
                <w:color w:val="000000"/>
                <w:sz w:val="16"/>
                <w:szCs w:val="16"/>
                <w:lang w:val="ru-RU" w:eastAsia="ru-RU"/>
              </w:rPr>
            </w:pPr>
            <w:r w:rsidRPr="00B85F61">
              <w:rPr>
                <w:rFonts w:cs="Arial"/>
                <w:color w:val="000000"/>
                <w:sz w:val="16"/>
                <w:szCs w:val="16"/>
                <w:lang w:val="ru-RU" w:eastAsia="ru-RU"/>
              </w:rPr>
              <w:t>max 20,0</w:t>
            </w:r>
          </w:p>
        </w:tc>
        <w:tc>
          <w:tcPr>
            <w:tcW w:w="1275" w:type="dxa"/>
            <w:tcBorders>
              <w:top w:val="nil"/>
              <w:left w:val="nil"/>
              <w:bottom w:val="double" w:sz="6" w:space="0" w:color="auto"/>
              <w:right w:val="nil"/>
            </w:tcBorders>
            <w:vAlign w:val="center"/>
          </w:tcPr>
          <w:p w:rsidR="004D79D1" w:rsidRPr="004F4E70" w:rsidRDefault="004D79D1" w:rsidP="00B53D00">
            <w:pPr>
              <w:overflowPunct/>
              <w:autoSpaceDE/>
              <w:autoSpaceDN/>
              <w:adjustRightInd/>
              <w:ind w:right="317"/>
              <w:jc w:val="right"/>
              <w:textAlignment w:val="auto"/>
              <w:rPr>
                <w:rFonts w:cs="Arial"/>
                <w:color w:val="000000"/>
                <w:sz w:val="16"/>
                <w:szCs w:val="16"/>
                <w:highlight w:val="red"/>
                <w:lang w:val="ru-RU" w:eastAsia="ru-RU"/>
              </w:rPr>
            </w:pPr>
            <w:r>
              <w:rPr>
                <w:rFonts w:cs="Arial"/>
                <w:color w:val="000000"/>
                <w:sz w:val="16"/>
                <w:szCs w:val="16"/>
              </w:rPr>
              <w:t>2.1</w:t>
            </w:r>
          </w:p>
        </w:tc>
        <w:tc>
          <w:tcPr>
            <w:tcW w:w="1418" w:type="dxa"/>
            <w:tcBorders>
              <w:top w:val="nil"/>
              <w:left w:val="nil"/>
              <w:bottom w:val="double" w:sz="6" w:space="0" w:color="auto"/>
              <w:right w:val="nil"/>
            </w:tcBorders>
            <w:shd w:val="clear" w:color="auto" w:fill="auto"/>
            <w:vAlign w:val="center"/>
            <w:hideMark/>
          </w:tcPr>
          <w:p w:rsidR="004D79D1" w:rsidRPr="00B85F61" w:rsidRDefault="004D79D1" w:rsidP="00B53D00">
            <w:pPr>
              <w:overflowPunct/>
              <w:autoSpaceDE/>
              <w:autoSpaceDN/>
              <w:adjustRightInd/>
              <w:ind w:right="317"/>
              <w:jc w:val="right"/>
              <w:textAlignment w:val="auto"/>
              <w:rPr>
                <w:rFonts w:cs="Arial"/>
                <w:color w:val="000000"/>
                <w:sz w:val="16"/>
                <w:szCs w:val="16"/>
                <w:lang w:val="ru-RU" w:eastAsia="ru-RU"/>
              </w:rPr>
            </w:pPr>
            <w:r>
              <w:rPr>
                <w:rFonts w:cs="Arial"/>
                <w:color w:val="000000"/>
                <w:sz w:val="16"/>
                <w:szCs w:val="16"/>
              </w:rPr>
              <w:t>2,2</w:t>
            </w:r>
          </w:p>
        </w:tc>
      </w:tr>
    </w:tbl>
    <w:p w:rsidR="004D79D1" w:rsidRPr="00634888" w:rsidRDefault="004D79D1" w:rsidP="004D79D1">
      <w:pPr>
        <w:jc w:val="both"/>
        <w:rPr>
          <w:rFonts w:cs="Arial"/>
          <w:sz w:val="20"/>
          <w:szCs w:val="20"/>
          <w:lang w:val="ru-RU" w:eastAsia="ru-RU"/>
        </w:rPr>
      </w:pPr>
      <w:r w:rsidRPr="00634888">
        <w:rPr>
          <w:rFonts w:cs="Arial"/>
          <w:sz w:val="20"/>
          <w:szCs w:val="20"/>
          <w:lang w:val="ru-RU" w:eastAsia="ru-RU"/>
        </w:rPr>
        <w:t xml:space="preserve">             </w:t>
      </w:r>
    </w:p>
    <w:p w:rsidR="004D79D1" w:rsidRDefault="004D79D1" w:rsidP="004D79D1">
      <w:pPr>
        <w:pStyle w:val="2normal"/>
        <w:jc w:val="both"/>
        <w:rPr>
          <w:rFonts w:cs="Arial"/>
          <w:sz w:val="20"/>
          <w:szCs w:val="20"/>
          <w:lang w:val="ru-RU"/>
        </w:rPr>
      </w:pPr>
      <w:r w:rsidRPr="00C73757">
        <w:rPr>
          <w:rFonts w:cs="Arial"/>
          <w:sz w:val="20"/>
          <w:szCs w:val="20"/>
          <w:lang w:val="ru-RU"/>
        </w:rPr>
        <w:t>Все выше приведенные данные по выполнению обязательных нормативов    свидетельствуют об устойчивом экономическом положении Банка, его высокой п</w:t>
      </w:r>
      <w:r>
        <w:rPr>
          <w:rFonts w:cs="Arial"/>
          <w:sz w:val="20"/>
          <w:szCs w:val="20"/>
          <w:lang w:val="ru-RU"/>
        </w:rPr>
        <w:t xml:space="preserve">латежеспособности и </w:t>
      </w:r>
      <w:r w:rsidRPr="00B47CFD">
        <w:rPr>
          <w:rFonts w:cs="Arial"/>
          <w:sz w:val="20"/>
          <w:szCs w:val="20"/>
          <w:lang w:val="ru-RU"/>
        </w:rPr>
        <w:t>ликвидности.</w:t>
      </w:r>
      <w:r w:rsidRPr="00C73757">
        <w:rPr>
          <w:rFonts w:cs="Arial"/>
          <w:sz w:val="20"/>
          <w:szCs w:val="20"/>
          <w:lang w:val="ru-RU"/>
        </w:rPr>
        <w:t xml:space="preserve">  </w:t>
      </w:r>
    </w:p>
    <w:p w:rsidR="004D79D1" w:rsidRPr="007E051C" w:rsidRDefault="004D79D1" w:rsidP="004D79D1">
      <w:pPr>
        <w:pStyle w:val="2normal"/>
        <w:spacing w:line="228" w:lineRule="auto"/>
        <w:jc w:val="both"/>
        <w:rPr>
          <w:sz w:val="20"/>
          <w:szCs w:val="20"/>
          <w:lang w:val="ru-RU"/>
        </w:rPr>
      </w:pPr>
    </w:p>
    <w:p w:rsidR="004D79D1" w:rsidRPr="00A64790" w:rsidRDefault="004D79D1" w:rsidP="004D79D1">
      <w:pPr>
        <w:rPr>
          <w:b/>
          <w:sz w:val="20"/>
          <w:szCs w:val="20"/>
          <w:lang w:val="ru-RU"/>
        </w:rPr>
      </w:pPr>
      <w:r w:rsidRPr="00A64790">
        <w:rPr>
          <w:b/>
          <w:sz w:val="20"/>
          <w:szCs w:val="20"/>
          <w:lang w:val="ru-RU"/>
        </w:rPr>
        <w:t xml:space="preserve">Информация об изменениях в области, применяемой Банком политики управления капиталом и (или) количественных данных, относящихся к предмету управления капиталом, по сравнению с предыдущим периодом </w:t>
      </w:r>
    </w:p>
    <w:p w:rsidR="004D79D1" w:rsidRPr="0045551C" w:rsidRDefault="004D79D1" w:rsidP="004D79D1">
      <w:pPr>
        <w:pStyle w:val="2normal"/>
        <w:jc w:val="both"/>
        <w:rPr>
          <w:rFonts w:cs="Arial"/>
          <w:b/>
          <w:szCs w:val="18"/>
          <w:lang w:val="ru-RU"/>
        </w:rPr>
      </w:pPr>
    </w:p>
    <w:p w:rsidR="004D79D1" w:rsidRPr="004D79D1" w:rsidRDefault="004D79D1" w:rsidP="004D79D1">
      <w:pPr>
        <w:pStyle w:val="2normal"/>
        <w:spacing w:line="228" w:lineRule="auto"/>
        <w:jc w:val="both"/>
        <w:rPr>
          <w:sz w:val="20"/>
          <w:szCs w:val="20"/>
          <w:lang w:val="ru-RU"/>
        </w:rPr>
      </w:pPr>
      <w:r w:rsidRPr="004D79D1">
        <w:rPr>
          <w:sz w:val="20"/>
          <w:szCs w:val="20"/>
          <w:lang w:val="ru-RU"/>
        </w:rPr>
        <w:t>В целях соблюдения требований ЦБ РФ к системе ВПОДК банков, а так же для своевременной актуализации политики и методологий в области управления капиталом, Банк на основе анализа эффективности управления капиталом, в т.ч. с использованием результатов стресс-тестирования и отчетов Внутреннего аудита проводит валидацию методологий и регулярно рассматривает вопросы о необходимости внесения изменений в политику управления капиталом. По результатом проведенных оценок в течение 2018 года принятая система управления капитала Банка не требовала внесения значительных изменений и соответствовала выдвигаемым требованиям ЦБ РФ.</w:t>
      </w:r>
    </w:p>
    <w:p w:rsidR="004D79D1" w:rsidRDefault="004D79D1" w:rsidP="001F20BD">
      <w:pPr>
        <w:pStyle w:val="2normal"/>
        <w:spacing w:line="228" w:lineRule="auto"/>
        <w:jc w:val="both"/>
        <w:rPr>
          <w:b/>
          <w:sz w:val="20"/>
          <w:szCs w:val="20"/>
          <w:highlight w:val="yellow"/>
          <w:lang w:val="ru-RU"/>
        </w:rPr>
      </w:pPr>
    </w:p>
    <w:p w:rsidR="003D5AC4" w:rsidRDefault="003D5AC4" w:rsidP="001F20BD">
      <w:pPr>
        <w:pStyle w:val="2normal"/>
        <w:spacing w:line="228" w:lineRule="auto"/>
        <w:jc w:val="both"/>
        <w:rPr>
          <w:b/>
          <w:sz w:val="20"/>
          <w:szCs w:val="20"/>
          <w:highlight w:val="yellow"/>
          <w:lang w:val="ru-RU"/>
        </w:rPr>
      </w:pPr>
    </w:p>
    <w:p w:rsidR="003D5AC4" w:rsidRDefault="003D5AC4" w:rsidP="001F20BD">
      <w:pPr>
        <w:pStyle w:val="2normal"/>
        <w:spacing w:line="228" w:lineRule="auto"/>
        <w:jc w:val="both"/>
        <w:rPr>
          <w:b/>
          <w:sz w:val="20"/>
          <w:szCs w:val="20"/>
          <w:highlight w:val="yellow"/>
          <w:lang w:val="ru-RU"/>
        </w:rPr>
      </w:pPr>
    </w:p>
    <w:p w:rsidR="003D5AC4" w:rsidRPr="003E30CD" w:rsidRDefault="003D5AC4" w:rsidP="001F20BD">
      <w:pPr>
        <w:pStyle w:val="2normal"/>
        <w:spacing w:line="228" w:lineRule="auto"/>
        <w:jc w:val="both"/>
        <w:rPr>
          <w:b/>
          <w:sz w:val="20"/>
          <w:szCs w:val="20"/>
          <w:highlight w:val="yellow"/>
          <w:lang w:val="ru-RU"/>
        </w:rPr>
      </w:pPr>
    </w:p>
    <w:p w:rsidR="00D0158F" w:rsidRPr="002F5E50" w:rsidRDefault="00D0158F" w:rsidP="00D0158F">
      <w:pPr>
        <w:pStyle w:val="1a"/>
        <w:rPr>
          <w:sz w:val="20"/>
          <w:szCs w:val="20"/>
        </w:rPr>
      </w:pPr>
      <w:bookmarkStart w:id="22" w:name="_Toc514080382"/>
      <w:r w:rsidRPr="002F5E50">
        <w:rPr>
          <w:sz w:val="20"/>
          <w:szCs w:val="20"/>
        </w:rPr>
        <w:lastRenderedPageBreak/>
        <w:t xml:space="preserve">Дивиденды, начисленные и </w:t>
      </w:r>
      <w:bookmarkEnd w:id="22"/>
      <w:r w:rsidRPr="002F5E50">
        <w:rPr>
          <w:sz w:val="20"/>
          <w:szCs w:val="20"/>
        </w:rPr>
        <w:t xml:space="preserve">выплаченные акционерам Банка </w:t>
      </w:r>
    </w:p>
    <w:p w:rsidR="00D0158F" w:rsidRPr="006261B6" w:rsidRDefault="00D0158F" w:rsidP="00D0158F">
      <w:pPr>
        <w:outlineLvl w:val="0"/>
        <w:rPr>
          <w:rFonts w:cs="Arial"/>
          <w:b/>
          <w:bCs/>
          <w:lang w:val="ru-RU"/>
        </w:rPr>
      </w:pPr>
    </w:p>
    <w:tbl>
      <w:tblPr>
        <w:tblW w:w="4904" w:type="pct"/>
        <w:tblLayout w:type="fixed"/>
        <w:tblLook w:val="04A0" w:firstRow="1" w:lastRow="0" w:firstColumn="1" w:lastColumn="0" w:noHBand="0" w:noVBand="1"/>
      </w:tblPr>
      <w:tblGrid>
        <w:gridCol w:w="3509"/>
        <w:gridCol w:w="1514"/>
        <w:gridCol w:w="1390"/>
        <w:gridCol w:w="1581"/>
        <w:gridCol w:w="1395"/>
      </w:tblGrid>
      <w:tr w:rsidR="00D0158F" w:rsidRPr="002C04FD" w:rsidTr="00A01AD9">
        <w:trPr>
          <w:trHeight w:val="353"/>
          <w:tblHeader/>
        </w:trPr>
        <w:tc>
          <w:tcPr>
            <w:tcW w:w="1869" w:type="pct"/>
            <w:vMerge w:val="restart"/>
            <w:tcBorders>
              <w:top w:val="single" w:sz="4" w:space="0" w:color="auto"/>
              <w:left w:val="nil"/>
              <w:bottom w:val="double" w:sz="6" w:space="0" w:color="000000"/>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Наименование показателя</w:t>
            </w:r>
          </w:p>
        </w:tc>
        <w:tc>
          <w:tcPr>
            <w:tcW w:w="1546" w:type="pct"/>
            <w:gridSpan w:val="2"/>
            <w:tcBorders>
              <w:top w:val="single" w:sz="8"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Pr>
                <w:rFonts w:cs="Arial"/>
                <w:b/>
                <w:bCs/>
                <w:color w:val="000000"/>
                <w:sz w:val="16"/>
                <w:szCs w:val="16"/>
                <w:lang w:val="ru-RU" w:eastAsia="ru-RU"/>
              </w:rPr>
              <w:t>31.</w:t>
            </w:r>
            <w:r>
              <w:rPr>
                <w:rFonts w:cs="Arial"/>
                <w:b/>
                <w:bCs/>
                <w:color w:val="000000"/>
                <w:sz w:val="16"/>
                <w:szCs w:val="16"/>
                <w:lang w:val="en-US" w:eastAsia="ru-RU"/>
              </w:rPr>
              <w:t>12</w:t>
            </w:r>
            <w:r w:rsidRPr="002C04FD">
              <w:rPr>
                <w:rFonts w:cs="Arial"/>
                <w:b/>
                <w:bCs/>
                <w:color w:val="000000"/>
                <w:sz w:val="16"/>
                <w:szCs w:val="16"/>
                <w:lang w:val="ru-RU" w:eastAsia="ru-RU"/>
              </w:rPr>
              <w:t>.2018</w:t>
            </w:r>
          </w:p>
        </w:tc>
        <w:tc>
          <w:tcPr>
            <w:tcW w:w="1585" w:type="pct"/>
            <w:gridSpan w:val="2"/>
            <w:tcBorders>
              <w:top w:val="single" w:sz="8"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31.12.2017</w:t>
            </w:r>
          </w:p>
        </w:tc>
      </w:tr>
      <w:tr w:rsidR="00D0158F" w:rsidRPr="002C04FD" w:rsidTr="00A01AD9">
        <w:trPr>
          <w:trHeight w:val="518"/>
          <w:tblHeader/>
        </w:trPr>
        <w:tc>
          <w:tcPr>
            <w:tcW w:w="1869" w:type="pct"/>
            <w:vMerge/>
            <w:tcBorders>
              <w:top w:val="double" w:sz="6" w:space="0" w:color="000000"/>
              <w:left w:val="nil"/>
              <w:bottom w:val="single" w:sz="4" w:space="0" w:color="auto"/>
              <w:right w:val="nil"/>
            </w:tcBorders>
            <w:vAlign w:val="center"/>
            <w:hideMark/>
          </w:tcPr>
          <w:p w:rsidR="00D0158F" w:rsidRPr="002C04FD" w:rsidRDefault="00D0158F" w:rsidP="00A01AD9">
            <w:pPr>
              <w:overflowPunct/>
              <w:autoSpaceDE/>
              <w:autoSpaceDN/>
              <w:adjustRightInd/>
              <w:textAlignment w:val="auto"/>
              <w:rPr>
                <w:rFonts w:cs="Arial"/>
                <w:b/>
                <w:bCs/>
                <w:color w:val="000000"/>
                <w:sz w:val="16"/>
                <w:szCs w:val="16"/>
                <w:lang w:val="ru-RU" w:eastAsia="ru-RU"/>
              </w:rPr>
            </w:pPr>
          </w:p>
        </w:tc>
        <w:tc>
          <w:tcPr>
            <w:tcW w:w="806" w:type="pct"/>
            <w:tcBorders>
              <w:top w:val="single" w:sz="4"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По обыкновенным акциям</w:t>
            </w:r>
          </w:p>
        </w:tc>
        <w:tc>
          <w:tcPr>
            <w:tcW w:w="740" w:type="pct"/>
            <w:tcBorders>
              <w:top w:val="single" w:sz="4"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По привилегированным акциям</w:t>
            </w:r>
          </w:p>
        </w:tc>
        <w:tc>
          <w:tcPr>
            <w:tcW w:w="842" w:type="pct"/>
            <w:tcBorders>
              <w:top w:val="single" w:sz="4"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По обыкновенным акциям</w:t>
            </w:r>
          </w:p>
        </w:tc>
        <w:tc>
          <w:tcPr>
            <w:tcW w:w="742" w:type="pct"/>
            <w:tcBorders>
              <w:top w:val="single" w:sz="4" w:space="0" w:color="auto"/>
              <w:left w:val="nil"/>
              <w:bottom w:val="single" w:sz="4" w:space="0" w:color="auto"/>
              <w:right w:val="nil"/>
            </w:tcBorders>
            <w:shd w:val="clear" w:color="auto" w:fill="auto"/>
            <w:vAlign w:val="center"/>
            <w:hideMark/>
          </w:tcPr>
          <w:p w:rsidR="00D0158F" w:rsidRPr="002C04FD" w:rsidRDefault="00D0158F" w:rsidP="00A01AD9">
            <w:pPr>
              <w:overflowPunct/>
              <w:autoSpaceDE/>
              <w:autoSpaceDN/>
              <w:adjustRightInd/>
              <w:jc w:val="center"/>
              <w:textAlignment w:val="auto"/>
              <w:rPr>
                <w:rFonts w:cs="Arial"/>
                <w:b/>
                <w:bCs/>
                <w:color w:val="000000"/>
                <w:sz w:val="16"/>
                <w:szCs w:val="16"/>
                <w:lang w:val="ru-RU" w:eastAsia="ru-RU"/>
              </w:rPr>
            </w:pPr>
            <w:r w:rsidRPr="002C04FD">
              <w:rPr>
                <w:rFonts w:cs="Arial"/>
                <w:b/>
                <w:bCs/>
                <w:color w:val="000000"/>
                <w:sz w:val="16"/>
                <w:szCs w:val="16"/>
                <w:lang w:val="ru-RU" w:eastAsia="ru-RU"/>
              </w:rPr>
              <w:t>По привилегированным акциям</w:t>
            </w:r>
          </w:p>
        </w:tc>
      </w:tr>
      <w:tr w:rsidR="00D0158F" w:rsidRPr="002C04FD" w:rsidTr="00A01AD9">
        <w:trPr>
          <w:trHeight w:val="315"/>
        </w:trPr>
        <w:tc>
          <w:tcPr>
            <w:tcW w:w="1869" w:type="pct"/>
            <w:tcBorders>
              <w:top w:val="single" w:sz="4" w:space="0" w:color="auto"/>
              <w:left w:val="nil"/>
              <w:bottom w:val="nil"/>
              <w:right w:val="nil"/>
            </w:tcBorders>
            <w:shd w:val="clear" w:color="auto" w:fill="auto"/>
            <w:vAlign w:val="bottom"/>
            <w:hideMark/>
          </w:tcPr>
          <w:p w:rsidR="00D0158F" w:rsidRPr="002C04FD" w:rsidRDefault="00D0158F" w:rsidP="00A01AD9">
            <w:pPr>
              <w:overflowPunct/>
              <w:autoSpaceDE/>
              <w:autoSpaceDN/>
              <w:adjustRightInd/>
              <w:textAlignment w:val="auto"/>
              <w:rPr>
                <w:rFonts w:cs="Arial"/>
                <w:color w:val="000000"/>
                <w:sz w:val="16"/>
                <w:szCs w:val="16"/>
                <w:lang w:val="ru-RU" w:eastAsia="ru-RU"/>
              </w:rPr>
            </w:pPr>
            <w:r w:rsidRPr="002C04FD">
              <w:rPr>
                <w:rFonts w:cs="Arial"/>
                <w:color w:val="000000"/>
                <w:sz w:val="16"/>
                <w:szCs w:val="16"/>
                <w:lang w:val="ru-RU" w:eastAsia="ru-RU"/>
              </w:rPr>
              <w:t>Дивиденды к выплате на начало отчетного периода</w:t>
            </w:r>
          </w:p>
        </w:tc>
        <w:tc>
          <w:tcPr>
            <w:tcW w:w="806" w:type="pct"/>
            <w:tcBorders>
              <w:top w:val="single" w:sz="4" w:space="0" w:color="auto"/>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4 115</w:t>
            </w:r>
          </w:p>
        </w:tc>
        <w:tc>
          <w:tcPr>
            <w:tcW w:w="740" w:type="pct"/>
            <w:tcBorders>
              <w:top w:val="single" w:sz="4" w:space="0" w:color="auto"/>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158</w:t>
            </w:r>
          </w:p>
        </w:tc>
        <w:tc>
          <w:tcPr>
            <w:tcW w:w="842" w:type="pct"/>
            <w:tcBorders>
              <w:top w:val="single" w:sz="4" w:space="0" w:color="auto"/>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w:t>
            </w:r>
          </w:p>
        </w:tc>
        <w:tc>
          <w:tcPr>
            <w:tcW w:w="742" w:type="pct"/>
            <w:tcBorders>
              <w:top w:val="single" w:sz="4" w:space="0" w:color="auto"/>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w:t>
            </w:r>
          </w:p>
        </w:tc>
      </w:tr>
      <w:tr w:rsidR="00D0158F" w:rsidRPr="002C04FD" w:rsidTr="00A01AD9">
        <w:trPr>
          <w:trHeight w:val="300"/>
        </w:trPr>
        <w:tc>
          <w:tcPr>
            <w:tcW w:w="1869"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textAlignment w:val="auto"/>
              <w:rPr>
                <w:rFonts w:cs="Arial"/>
                <w:color w:val="000000"/>
                <w:sz w:val="16"/>
                <w:szCs w:val="16"/>
                <w:lang w:val="ru-RU" w:eastAsia="ru-RU"/>
              </w:rPr>
            </w:pPr>
            <w:r w:rsidRPr="002C04FD">
              <w:rPr>
                <w:rFonts w:cs="Arial"/>
                <w:color w:val="000000"/>
                <w:sz w:val="16"/>
                <w:szCs w:val="16"/>
                <w:lang w:val="ru-RU" w:eastAsia="ru-RU"/>
              </w:rPr>
              <w:t>Дивиденды, объявленные в течение отчетного периода</w:t>
            </w:r>
          </w:p>
        </w:tc>
        <w:tc>
          <w:tcPr>
            <w:tcW w:w="806"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149 940 </w:t>
            </w:r>
          </w:p>
        </w:tc>
        <w:tc>
          <w:tcPr>
            <w:tcW w:w="740"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178</w:t>
            </w:r>
          </w:p>
        </w:tc>
        <w:tc>
          <w:tcPr>
            <w:tcW w:w="8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201 140</w:t>
            </w:r>
          </w:p>
        </w:tc>
        <w:tc>
          <w:tcPr>
            <w:tcW w:w="7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178</w:t>
            </w:r>
          </w:p>
        </w:tc>
      </w:tr>
      <w:tr w:rsidR="00D0158F" w:rsidRPr="002C04FD" w:rsidTr="00A01AD9">
        <w:trPr>
          <w:trHeight w:val="300"/>
        </w:trPr>
        <w:tc>
          <w:tcPr>
            <w:tcW w:w="1869"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textAlignment w:val="auto"/>
              <w:rPr>
                <w:rFonts w:cs="Arial"/>
                <w:color w:val="000000"/>
                <w:sz w:val="16"/>
                <w:szCs w:val="16"/>
                <w:lang w:val="ru-RU" w:eastAsia="ru-RU"/>
              </w:rPr>
            </w:pPr>
            <w:r w:rsidRPr="002C04FD">
              <w:rPr>
                <w:rFonts w:cs="Arial"/>
                <w:color w:val="000000"/>
                <w:sz w:val="16"/>
                <w:szCs w:val="16"/>
                <w:lang w:val="ru-RU" w:eastAsia="ru-RU"/>
              </w:rPr>
              <w:t>Дивиденды, выплаченные в течение отчетного периода</w:t>
            </w:r>
          </w:p>
        </w:tc>
        <w:tc>
          <w:tcPr>
            <w:tcW w:w="806" w:type="pct"/>
            <w:tcBorders>
              <w:top w:val="nil"/>
              <w:left w:val="nil"/>
              <w:bottom w:val="nil"/>
              <w:right w:val="nil"/>
            </w:tcBorders>
            <w:shd w:val="clear" w:color="auto" w:fill="auto"/>
            <w:vAlign w:val="bottom"/>
            <w:hideMark/>
          </w:tcPr>
          <w:p w:rsidR="00D0158F" w:rsidRPr="009554C1" w:rsidRDefault="00D0158F" w:rsidP="00A01AD9">
            <w:pPr>
              <w:overflowPunct/>
              <w:autoSpaceDE/>
              <w:autoSpaceDN/>
              <w:adjustRightInd/>
              <w:jc w:val="center"/>
              <w:textAlignment w:val="auto"/>
              <w:rPr>
                <w:rFonts w:cs="Arial"/>
                <w:color w:val="000000"/>
                <w:sz w:val="16"/>
                <w:szCs w:val="16"/>
                <w:lang w:val="en-US" w:eastAsia="ru-RU"/>
              </w:rPr>
            </w:pPr>
            <w:r w:rsidRPr="002C04FD">
              <w:rPr>
                <w:rFonts w:cs="Arial"/>
                <w:color w:val="000000"/>
                <w:sz w:val="16"/>
                <w:szCs w:val="16"/>
                <w:lang w:val="ru-RU" w:eastAsia="ru-RU"/>
              </w:rPr>
              <w:t>153 </w:t>
            </w:r>
            <w:r>
              <w:rPr>
                <w:rFonts w:cs="Arial"/>
                <w:color w:val="000000"/>
                <w:sz w:val="16"/>
                <w:szCs w:val="16"/>
                <w:lang w:val="en-US" w:eastAsia="ru-RU"/>
              </w:rPr>
              <w:t>117</w:t>
            </w:r>
          </w:p>
        </w:tc>
        <w:tc>
          <w:tcPr>
            <w:tcW w:w="740" w:type="pct"/>
            <w:tcBorders>
              <w:top w:val="nil"/>
              <w:left w:val="nil"/>
              <w:bottom w:val="nil"/>
              <w:right w:val="nil"/>
            </w:tcBorders>
            <w:shd w:val="clear" w:color="auto" w:fill="auto"/>
            <w:vAlign w:val="bottom"/>
            <w:hideMark/>
          </w:tcPr>
          <w:p w:rsidR="00D0158F" w:rsidRPr="000C4B6E" w:rsidRDefault="00D0158F" w:rsidP="00A01AD9">
            <w:pPr>
              <w:overflowPunct/>
              <w:autoSpaceDE/>
              <w:autoSpaceDN/>
              <w:adjustRightInd/>
              <w:jc w:val="center"/>
              <w:textAlignment w:val="auto"/>
              <w:rPr>
                <w:rFonts w:cs="Arial"/>
                <w:color w:val="000000"/>
                <w:sz w:val="16"/>
                <w:szCs w:val="16"/>
                <w:lang w:val="en-US" w:eastAsia="ru-RU"/>
              </w:rPr>
            </w:pPr>
            <w:r>
              <w:rPr>
                <w:rFonts w:cs="Arial"/>
                <w:color w:val="000000"/>
                <w:sz w:val="16"/>
                <w:szCs w:val="16"/>
                <w:lang w:val="ru-RU" w:eastAsia="ru-RU"/>
              </w:rPr>
              <w:t>91</w:t>
            </w:r>
          </w:p>
        </w:tc>
        <w:tc>
          <w:tcPr>
            <w:tcW w:w="8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197 025</w:t>
            </w:r>
          </w:p>
        </w:tc>
        <w:tc>
          <w:tcPr>
            <w:tcW w:w="7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20</w:t>
            </w:r>
          </w:p>
        </w:tc>
      </w:tr>
      <w:tr w:rsidR="00D0158F" w:rsidRPr="002C04FD" w:rsidTr="00A01AD9">
        <w:trPr>
          <w:trHeight w:val="300"/>
        </w:trPr>
        <w:tc>
          <w:tcPr>
            <w:tcW w:w="1869"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textAlignment w:val="auto"/>
              <w:rPr>
                <w:rFonts w:cs="Arial"/>
                <w:color w:val="000000"/>
                <w:sz w:val="16"/>
                <w:szCs w:val="16"/>
                <w:lang w:val="ru-RU" w:eastAsia="ru-RU"/>
              </w:rPr>
            </w:pPr>
            <w:r w:rsidRPr="002C04FD">
              <w:rPr>
                <w:rFonts w:cs="Arial"/>
                <w:color w:val="000000"/>
                <w:sz w:val="16"/>
                <w:szCs w:val="16"/>
                <w:lang w:val="ru-RU" w:eastAsia="ru-RU"/>
              </w:rPr>
              <w:t>Дивиденды к выплате на конец отчетного периода</w:t>
            </w:r>
          </w:p>
        </w:tc>
        <w:tc>
          <w:tcPr>
            <w:tcW w:w="806" w:type="pct"/>
            <w:tcBorders>
              <w:top w:val="nil"/>
              <w:left w:val="nil"/>
              <w:bottom w:val="nil"/>
              <w:right w:val="nil"/>
            </w:tcBorders>
            <w:shd w:val="clear" w:color="auto" w:fill="auto"/>
            <w:vAlign w:val="bottom"/>
            <w:hideMark/>
          </w:tcPr>
          <w:p w:rsidR="00D0158F" w:rsidRPr="000C4B6E" w:rsidRDefault="00D0158F" w:rsidP="00A01AD9">
            <w:pPr>
              <w:overflowPunct/>
              <w:autoSpaceDE/>
              <w:autoSpaceDN/>
              <w:adjustRightInd/>
              <w:jc w:val="center"/>
              <w:textAlignment w:val="auto"/>
              <w:rPr>
                <w:rFonts w:cs="Arial"/>
                <w:color w:val="000000"/>
                <w:sz w:val="16"/>
                <w:szCs w:val="16"/>
                <w:lang w:val="en-US" w:eastAsia="ru-RU"/>
              </w:rPr>
            </w:pPr>
            <w:r>
              <w:rPr>
                <w:rFonts w:cs="Arial"/>
                <w:color w:val="000000"/>
                <w:sz w:val="16"/>
                <w:szCs w:val="16"/>
                <w:lang w:val="ru-RU" w:eastAsia="ru-RU"/>
              </w:rPr>
              <w:t>9</w:t>
            </w:r>
            <w:r>
              <w:rPr>
                <w:rFonts w:cs="Arial"/>
                <w:color w:val="000000"/>
                <w:sz w:val="16"/>
                <w:szCs w:val="16"/>
                <w:lang w:val="en-US" w:eastAsia="ru-RU"/>
              </w:rPr>
              <w:t>38</w:t>
            </w:r>
          </w:p>
        </w:tc>
        <w:tc>
          <w:tcPr>
            <w:tcW w:w="740"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2</w:t>
            </w:r>
            <w:r>
              <w:rPr>
                <w:rFonts w:cs="Arial"/>
                <w:color w:val="000000"/>
                <w:sz w:val="16"/>
                <w:szCs w:val="16"/>
                <w:lang w:val="ru-RU" w:eastAsia="ru-RU"/>
              </w:rPr>
              <w:t>45</w:t>
            </w:r>
          </w:p>
        </w:tc>
        <w:tc>
          <w:tcPr>
            <w:tcW w:w="8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4 115</w:t>
            </w:r>
          </w:p>
        </w:tc>
        <w:tc>
          <w:tcPr>
            <w:tcW w:w="742" w:type="pct"/>
            <w:tcBorders>
              <w:top w:val="nil"/>
              <w:left w:val="nil"/>
              <w:bottom w:val="nil"/>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158</w:t>
            </w:r>
          </w:p>
        </w:tc>
      </w:tr>
      <w:tr w:rsidR="00D0158F" w:rsidRPr="002C04FD" w:rsidTr="00A01AD9">
        <w:trPr>
          <w:trHeight w:val="338"/>
        </w:trPr>
        <w:tc>
          <w:tcPr>
            <w:tcW w:w="1869" w:type="pct"/>
            <w:tcBorders>
              <w:top w:val="nil"/>
              <w:left w:val="nil"/>
              <w:bottom w:val="double" w:sz="6" w:space="0" w:color="auto"/>
              <w:right w:val="nil"/>
            </w:tcBorders>
            <w:shd w:val="clear" w:color="auto" w:fill="auto"/>
            <w:vAlign w:val="bottom"/>
            <w:hideMark/>
          </w:tcPr>
          <w:p w:rsidR="00D0158F" w:rsidRPr="002C04FD" w:rsidRDefault="00D0158F" w:rsidP="00A01AD9">
            <w:pPr>
              <w:overflowPunct/>
              <w:autoSpaceDE/>
              <w:autoSpaceDN/>
              <w:adjustRightInd/>
              <w:textAlignment w:val="auto"/>
              <w:rPr>
                <w:rFonts w:cs="Arial"/>
                <w:color w:val="000000"/>
                <w:sz w:val="16"/>
                <w:szCs w:val="16"/>
                <w:lang w:val="ru-RU" w:eastAsia="ru-RU"/>
              </w:rPr>
            </w:pPr>
            <w:r w:rsidRPr="002C04FD">
              <w:rPr>
                <w:rFonts w:cs="Arial"/>
                <w:color w:val="000000"/>
                <w:sz w:val="16"/>
                <w:szCs w:val="16"/>
                <w:lang w:val="ru-RU" w:eastAsia="ru-RU"/>
              </w:rPr>
              <w:t>Дивиденды на акцию, объявленные в течение отчетного периода, руб.</w:t>
            </w:r>
          </w:p>
        </w:tc>
        <w:tc>
          <w:tcPr>
            <w:tcW w:w="806" w:type="pct"/>
            <w:tcBorders>
              <w:top w:val="nil"/>
              <w:left w:val="nil"/>
              <w:bottom w:val="double" w:sz="6" w:space="0" w:color="auto"/>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0,041</w:t>
            </w:r>
          </w:p>
        </w:tc>
        <w:tc>
          <w:tcPr>
            <w:tcW w:w="740" w:type="pct"/>
            <w:tcBorders>
              <w:top w:val="nil"/>
              <w:left w:val="nil"/>
              <w:bottom w:val="double" w:sz="6" w:space="0" w:color="auto"/>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0,296</w:t>
            </w:r>
          </w:p>
        </w:tc>
        <w:tc>
          <w:tcPr>
            <w:tcW w:w="842" w:type="pct"/>
            <w:tcBorders>
              <w:top w:val="nil"/>
              <w:left w:val="nil"/>
              <w:bottom w:val="double" w:sz="6" w:space="0" w:color="auto"/>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0,055</w:t>
            </w:r>
          </w:p>
        </w:tc>
        <w:tc>
          <w:tcPr>
            <w:tcW w:w="742" w:type="pct"/>
            <w:tcBorders>
              <w:top w:val="nil"/>
              <w:left w:val="nil"/>
              <w:bottom w:val="double" w:sz="6" w:space="0" w:color="auto"/>
              <w:right w:val="nil"/>
            </w:tcBorders>
            <w:shd w:val="clear" w:color="auto" w:fill="auto"/>
            <w:vAlign w:val="bottom"/>
            <w:hideMark/>
          </w:tcPr>
          <w:p w:rsidR="00D0158F" w:rsidRPr="002C04FD" w:rsidRDefault="00D0158F"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0,296</w:t>
            </w:r>
          </w:p>
        </w:tc>
      </w:tr>
    </w:tbl>
    <w:p w:rsidR="00D0158F" w:rsidRDefault="00D0158F" w:rsidP="00D0158F">
      <w:pPr>
        <w:jc w:val="both"/>
        <w:rPr>
          <w:rFonts w:cs="Arial"/>
          <w:b/>
          <w:bCs/>
          <w:lang w:val="ru-RU"/>
        </w:rPr>
      </w:pPr>
    </w:p>
    <w:p w:rsidR="00D0158F" w:rsidRPr="002C04FD" w:rsidRDefault="00D0158F" w:rsidP="00D0158F">
      <w:pPr>
        <w:jc w:val="both"/>
        <w:rPr>
          <w:sz w:val="20"/>
          <w:szCs w:val="20"/>
          <w:lang w:val="ru-RU"/>
        </w:rPr>
      </w:pPr>
      <w:r w:rsidRPr="002C04FD">
        <w:rPr>
          <w:sz w:val="20"/>
          <w:szCs w:val="20"/>
          <w:lang w:val="ru-RU"/>
        </w:rPr>
        <w:t>Все дивиденды объявлены и выплачены в валюте Российской Федерации.</w:t>
      </w:r>
      <w:r>
        <w:rPr>
          <w:sz w:val="20"/>
          <w:szCs w:val="20"/>
          <w:lang w:val="ru-RU"/>
        </w:rPr>
        <w:t xml:space="preserve"> </w:t>
      </w:r>
      <w:r w:rsidRPr="002C04FD">
        <w:rPr>
          <w:sz w:val="20"/>
          <w:szCs w:val="20"/>
          <w:lang w:val="ru-RU"/>
        </w:rPr>
        <w:t>Внеочередным общим собранием акционеров ПАО «Норвик Банк» (протокол № 5 от 24.01.2018</w:t>
      </w:r>
      <w:r>
        <w:rPr>
          <w:sz w:val="20"/>
          <w:szCs w:val="20"/>
          <w:lang w:val="ru-RU"/>
        </w:rPr>
        <w:t xml:space="preserve"> </w:t>
      </w:r>
      <w:r w:rsidRPr="002C04FD">
        <w:rPr>
          <w:sz w:val="20"/>
          <w:szCs w:val="20"/>
          <w:lang w:val="ru-RU"/>
        </w:rPr>
        <w:t>г.) было принято решение о распределении нераспределенной прибыли, полученной ПАО «Норвик Банк» по результатам прошлых лет в размере 150 118 тыс. руб</w:t>
      </w:r>
      <w:r>
        <w:rPr>
          <w:sz w:val="20"/>
          <w:szCs w:val="20"/>
          <w:lang w:val="ru-RU"/>
        </w:rPr>
        <w:t>лей</w:t>
      </w:r>
      <w:r w:rsidRPr="002C04FD">
        <w:rPr>
          <w:sz w:val="20"/>
          <w:szCs w:val="20"/>
          <w:lang w:val="ru-RU"/>
        </w:rPr>
        <w:t xml:space="preserve"> (149 940 тыс. руб</w:t>
      </w:r>
      <w:r>
        <w:rPr>
          <w:sz w:val="20"/>
          <w:szCs w:val="20"/>
          <w:lang w:val="ru-RU"/>
        </w:rPr>
        <w:t>лей</w:t>
      </w:r>
      <w:r w:rsidRPr="002C04FD">
        <w:rPr>
          <w:sz w:val="20"/>
          <w:szCs w:val="20"/>
          <w:lang w:val="ru-RU"/>
        </w:rPr>
        <w:t xml:space="preserve"> - по обыкновенным акциям, 178 тыс.</w:t>
      </w:r>
      <w:r>
        <w:rPr>
          <w:sz w:val="20"/>
          <w:szCs w:val="20"/>
          <w:lang w:val="ru-RU"/>
        </w:rPr>
        <w:t xml:space="preserve"> </w:t>
      </w:r>
      <w:r w:rsidRPr="002C04FD">
        <w:rPr>
          <w:sz w:val="20"/>
          <w:szCs w:val="20"/>
          <w:lang w:val="ru-RU"/>
        </w:rPr>
        <w:t>руб</w:t>
      </w:r>
      <w:r>
        <w:rPr>
          <w:sz w:val="20"/>
          <w:szCs w:val="20"/>
          <w:lang w:val="ru-RU"/>
        </w:rPr>
        <w:t>лей</w:t>
      </w:r>
      <w:r w:rsidRPr="002C04FD">
        <w:rPr>
          <w:sz w:val="20"/>
          <w:szCs w:val="20"/>
          <w:lang w:val="ru-RU"/>
        </w:rPr>
        <w:t xml:space="preserve"> - по привилегированным акциям) и выплате дивидендов на одну обыкновенную акцию – 0,041 руб</w:t>
      </w:r>
      <w:r>
        <w:rPr>
          <w:sz w:val="20"/>
          <w:szCs w:val="20"/>
          <w:lang w:val="ru-RU"/>
        </w:rPr>
        <w:t>ля</w:t>
      </w:r>
      <w:r w:rsidRPr="002C04FD">
        <w:rPr>
          <w:sz w:val="20"/>
          <w:szCs w:val="20"/>
          <w:lang w:val="ru-RU"/>
        </w:rPr>
        <w:t>, на одну привилегированную акцию – 0,296 руб</w:t>
      </w:r>
      <w:r>
        <w:rPr>
          <w:sz w:val="20"/>
          <w:szCs w:val="20"/>
          <w:lang w:val="ru-RU"/>
        </w:rPr>
        <w:t>ля</w:t>
      </w:r>
      <w:r w:rsidRPr="002C04FD">
        <w:rPr>
          <w:sz w:val="20"/>
          <w:szCs w:val="20"/>
          <w:lang w:val="ru-RU"/>
        </w:rPr>
        <w:t>.</w:t>
      </w:r>
    </w:p>
    <w:p w:rsidR="003E30CD" w:rsidRDefault="003E30CD" w:rsidP="001F20BD">
      <w:pPr>
        <w:pStyle w:val="2normal"/>
        <w:spacing w:line="228" w:lineRule="auto"/>
        <w:jc w:val="both"/>
        <w:rPr>
          <w:b/>
          <w:sz w:val="20"/>
          <w:szCs w:val="20"/>
          <w:highlight w:val="yellow"/>
          <w:lang w:val="ru-RU"/>
        </w:rPr>
      </w:pPr>
    </w:p>
    <w:p w:rsidR="004D79D1" w:rsidRPr="00A64790" w:rsidRDefault="004D79D1" w:rsidP="004D79D1">
      <w:pPr>
        <w:pStyle w:val="2normal"/>
        <w:jc w:val="both"/>
        <w:rPr>
          <w:rFonts w:cs="Arial"/>
          <w:b/>
          <w:sz w:val="20"/>
          <w:szCs w:val="20"/>
          <w:lang w:val="ru-RU"/>
        </w:rPr>
      </w:pPr>
      <w:r w:rsidRPr="00A64790">
        <w:rPr>
          <w:rFonts w:cs="Arial"/>
          <w:b/>
          <w:sz w:val="20"/>
          <w:szCs w:val="20"/>
          <w:lang w:val="ru-RU"/>
        </w:rPr>
        <w:t>Информация о непризнанных дивидендах по кумулятивным привилегированным акциям в отчете о финансовых результатах.</w:t>
      </w:r>
    </w:p>
    <w:p w:rsidR="004D79D1" w:rsidRPr="00A64790" w:rsidRDefault="004D79D1" w:rsidP="004D79D1">
      <w:pPr>
        <w:pStyle w:val="2normal"/>
        <w:jc w:val="both"/>
        <w:rPr>
          <w:rFonts w:cs="Arial"/>
          <w:b/>
          <w:sz w:val="20"/>
          <w:szCs w:val="20"/>
          <w:lang w:val="ru-RU"/>
        </w:rPr>
      </w:pPr>
    </w:p>
    <w:p w:rsidR="004D79D1" w:rsidRPr="00A64790" w:rsidRDefault="004D79D1" w:rsidP="004D79D1">
      <w:pPr>
        <w:pStyle w:val="2normal"/>
        <w:spacing w:line="228" w:lineRule="auto"/>
        <w:jc w:val="both"/>
        <w:rPr>
          <w:sz w:val="20"/>
          <w:szCs w:val="20"/>
          <w:lang w:val="ru-RU"/>
        </w:rPr>
      </w:pPr>
      <w:r w:rsidRPr="00A64790">
        <w:rPr>
          <w:sz w:val="20"/>
          <w:szCs w:val="20"/>
          <w:lang w:val="ru-RU"/>
        </w:rPr>
        <w:t>В Уставном капитале кумулятивных привилегированных акций нет.</w:t>
      </w:r>
    </w:p>
    <w:p w:rsidR="004D79D1" w:rsidRPr="003E30CD" w:rsidRDefault="004D79D1" w:rsidP="001F20BD">
      <w:pPr>
        <w:pStyle w:val="2normal"/>
        <w:spacing w:line="228" w:lineRule="auto"/>
        <w:jc w:val="both"/>
        <w:rPr>
          <w:b/>
          <w:sz w:val="20"/>
          <w:szCs w:val="20"/>
          <w:highlight w:val="yellow"/>
          <w:lang w:val="ru-RU"/>
        </w:rPr>
      </w:pPr>
    </w:p>
    <w:p w:rsidR="00970300" w:rsidRDefault="003E30CD" w:rsidP="003E30CD">
      <w:pPr>
        <w:pStyle w:val="a"/>
        <w:numPr>
          <w:ilvl w:val="0"/>
          <w:numId w:val="0"/>
        </w:numPr>
        <w:rPr>
          <w:sz w:val="20"/>
          <w:szCs w:val="20"/>
        </w:rPr>
      </w:pPr>
      <w:r w:rsidRPr="003E30CD">
        <w:rPr>
          <w:sz w:val="20"/>
          <w:szCs w:val="20"/>
        </w:rPr>
        <w:t xml:space="preserve">9. </w:t>
      </w:r>
      <w:r w:rsidR="00A2178E" w:rsidRPr="003E30CD">
        <w:rPr>
          <w:sz w:val="20"/>
          <w:szCs w:val="20"/>
        </w:rPr>
        <w:t>Информация по сегментам деятельности Банка</w:t>
      </w:r>
    </w:p>
    <w:p w:rsidR="003D5AC4" w:rsidRPr="003E30CD" w:rsidRDefault="003D5AC4" w:rsidP="003E30CD">
      <w:pPr>
        <w:pStyle w:val="a"/>
        <w:numPr>
          <w:ilvl w:val="0"/>
          <w:numId w:val="0"/>
        </w:numPr>
        <w:rPr>
          <w:sz w:val="20"/>
          <w:szCs w:val="20"/>
        </w:rPr>
      </w:pPr>
    </w:p>
    <w:p w:rsidR="00032EC1" w:rsidRPr="003E30CD" w:rsidRDefault="00970300" w:rsidP="008A5837">
      <w:pPr>
        <w:pStyle w:val="2"/>
        <w:numPr>
          <w:ilvl w:val="0"/>
          <w:numId w:val="0"/>
        </w:numPr>
        <w:rPr>
          <w:b w:val="0"/>
          <w:sz w:val="20"/>
        </w:rPr>
      </w:pPr>
      <w:r w:rsidRPr="003E30CD">
        <w:rPr>
          <w:b w:val="0"/>
          <w:sz w:val="20"/>
        </w:rPr>
        <w:t xml:space="preserve">Банк не раскрывает данную информацию, так как акции Банка не обращаются на фондовом рынке (МСФО 8). </w:t>
      </w:r>
    </w:p>
    <w:p w:rsidR="00513023" w:rsidRDefault="00513023" w:rsidP="008A5837">
      <w:pPr>
        <w:pStyle w:val="2"/>
        <w:numPr>
          <w:ilvl w:val="0"/>
          <w:numId w:val="0"/>
        </w:numPr>
        <w:rPr>
          <w:b w:val="0"/>
          <w:sz w:val="20"/>
        </w:rPr>
      </w:pPr>
    </w:p>
    <w:p w:rsidR="003E30CD" w:rsidRDefault="003E30CD" w:rsidP="003E30CD">
      <w:pPr>
        <w:pStyle w:val="a"/>
        <w:numPr>
          <w:ilvl w:val="0"/>
          <w:numId w:val="0"/>
        </w:numPr>
      </w:pPr>
      <w:r w:rsidRPr="00734191">
        <w:t>10. Информация об операциях со связанными с Банком сторонами</w:t>
      </w:r>
    </w:p>
    <w:p w:rsidR="003D5AC4" w:rsidRPr="00734191" w:rsidRDefault="003D5AC4" w:rsidP="003E30CD">
      <w:pPr>
        <w:pStyle w:val="a"/>
        <w:numPr>
          <w:ilvl w:val="0"/>
          <w:numId w:val="0"/>
        </w:numPr>
      </w:pPr>
    </w:p>
    <w:p w:rsidR="003E30CD" w:rsidRPr="00734191" w:rsidRDefault="003E30CD" w:rsidP="003E30CD">
      <w:pPr>
        <w:pStyle w:val="2"/>
        <w:numPr>
          <w:ilvl w:val="0"/>
          <w:numId w:val="0"/>
        </w:numPr>
        <w:jc w:val="both"/>
        <w:rPr>
          <w:b w:val="0"/>
          <w:sz w:val="20"/>
        </w:rPr>
      </w:pPr>
      <w:r w:rsidRPr="00734191">
        <w:rPr>
          <w:b w:val="0"/>
          <w:sz w:val="20"/>
        </w:rPr>
        <w:t>Связанные с Банком стороны определяются в значении понятия «связанные стороны», определяемым МСФО (</w:t>
      </w:r>
      <w:r w:rsidRPr="00734191">
        <w:rPr>
          <w:b w:val="0"/>
          <w:sz w:val="20"/>
          <w:lang w:val="en-US"/>
        </w:rPr>
        <w:t>IAS</w:t>
      </w:r>
      <w:r w:rsidRPr="00734191">
        <w:rPr>
          <w:b w:val="0"/>
          <w:sz w:val="20"/>
        </w:rPr>
        <w:t xml:space="preserve">) 24 «Раскрытие информации о связанных сторонах». Операции со связанными сторонами включают операции по осуществлению расчетов, предоставлению кредитов, привлечению депозитов.  </w:t>
      </w:r>
    </w:p>
    <w:p w:rsidR="003E30CD" w:rsidRPr="00734191" w:rsidRDefault="003E30CD" w:rsidP="003E30CD">
      <w:pPr>
        <w:pStyle w:val="2"/>
        <w:numPr>
          <w:ilvl w:val="0"/>
          <w:numId w:val="0"/>
        </w:numPr>
        <w:jc w:val="both"/>
        <w:rPr>
          <w:b w:val="0"/>
          <w:sz w:val="20"/>
        </w:rPr>
      </w:pPr>
    </w:p>
    <w:p w:rsidR="003E30CD" w:rsidRPr="00734191" w:rsidRDefault="003E30CD" w:rsidP="003E30CD">
      <w:pPr>
        <w:pStyle w:val="2"/>
        <w:numPr>
          <w:ilvl w:val="0"/>
          <w:numId w:val="0"/>
        </w:numPr>
        <w:rPr>
          <w:sz w:val="20"/>
        </w:rPr>
      </w:pPr>
      <w:r w:rsidRPr="00734191">
        <w:rPr>
          <w:sz w:val="20"/>
        </w:rPr>
        <w:t>Операции со связанными сторонами:</w:t>
      </w:r>
    </w:p>
    <w:p w:rsidR="003E30CD" w:rsidRPr="00734191" w:rsidRDefault="003E30CD" w:rsidP="003E30CD">
      <w:pPr>
        <w:pStyle w:val="2"/>
        <w:numPr>
          <w:ilvl w:val="0"/>
          <w:numId w:val="0"/>
        </w:numPr>
        <w:rPr>
          <w:sz w:val="20"/>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847"/>
        <w:gridCol w:w="990"/>
        <w:gridCol w:w="987"/>
        <w:gridCol w:w="987"/>
        <w:gridCol w:w="901"/>
        <w:gridCol w:w="989"/>
        <w:gridCol w:w="927"/>
      </w:tblGrid>
      <w:tr w:rsidR="003E30CD" w:rsidRPr="00734191" w:rsidTr="003D5AC4">
        <w:trPr>
          <w:tblHeader/>
        </w:trPr>
        <w:tc>
          <w:tcPr>
            <w:tcW w:w="2943" w:type="dxa"/>
            <w:tcBorders>
              <w:top w:val="single" w:sz="4" w:space="0" w:color="auto"/>
            </w:tcBorders>
          </w:tcPr>
          <w:p w:rsidR="003E30CD" w:rsidRPr="00734191" w:rsidRDefault="003E30CD" w:rsidP="003E30CD">
            <w:pPr>
              <w:pStyle w:val="2"/>
              <w:numPr>
                <w:ilvl w:val="0"/>
                <w:numId w:val="0"/>
              </w:numPr>
              <w:outlineLvl w:val="1"/>
              <w:rPr>
                <w:sz w:val="14"/>
                <w:szCs w:val="14"/>
              </w:rPr>
            </w:pPr>
          </w:p>
        </w:tc>
        <w:tc>
          <w:tcPr>
            <w:tcW w:w="3811" w:type="dxa"/>
            <w:gridSpan w:val="4"/>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2018 год</w:t>
            </w:r>
          </w:p>
        </w:tc>
        <w:tc>
          <w:tcPr>
            <w:tcW w:w="2817" w:type="dxa"/>
            <w:gridSpan w:val="3"/>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2017 год</w:t>
            </w:r>
          </w:p>
        </w:tc>
      </w:tr>
      <w:tr w:rsidR="003E30CD" w:rsidRPr="00734191" w:rsidTr="003D5AC4">
        <w:trPr>
          <w:tblHeader/>
        </w:trPr>
        <w:tc>
          <w:tcPr>
            <w:tcW w:w="2943" w:type="dxa"/>
            <w:tcBorders>
              <w:bottom w:val="single" w:sz="4" w:space="0" w:color="auto"/>
            </w:tcBorders>
          </w:tcPr>
          <w:p w:rsidR="003E30CD" w:rsidRPr="00734191" w:rsidRDefault="003E30CD" w:rsidP="003E30CD">
            <w:pPr>
              <w:pStyle w:val="2"/>
              <w:numPr>
                <w:ilvl w:val="0"/>
                <w:numId w:val="0"/>
              </w:numPr>
              <w:outlineLvl w:val="1"/>
              <w:rPr>
                <w:sz w:val="14"/>
                <w:szCs w:val="14"/>
              </w:rPr>
            </w:pPr>
          </w:p>
        </w:tc>
        <w:tc>
          <w:tcPr>
            <w:tcW w:w="847"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Акцио</w:t>
            </w:r>
          </w:p>
          <w:p w:rsidR="003E30CD" w:rsidRPr="00734191" w:rsidRDefault="003E30CD" w:rsidP="003E30CD">
            <w:pPr>
              <w:pStyle w:val="2"/>
              <w:numPr>
                <w:ilvl w:val="0"/>
                <w:numId w:val="0"/>
              </w:numPr>
              <w:jc w:val="center"/>
              <w:outlineLvl w:val="1"/>
              <w:rPr>
                <w:sz w:val="14"/>
                <w:szCs w:val="14"/>
              </w:rPr>
            </w:pPr>
            <w:r w:rsidRPr="00734191">
              <w:rPr>
                <w:sz w:val="14"/>
                <w:szCs w:val="14"/>
              </w:rPr>
              <w:t>неры</w:t>
            </w:r>
          </w:p>
        </w:tc>
        <w:tc>
          <w:tcPr>
            <w:tcW w:w="990"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Компании под общим контролем</w:t>
            </w:r>
          </w:p>
        </w:tc>
        <w:tc>
          <w:tcPr>
            <w:tcW w:w="987" w:type="dxa"/>
            <w:tcBorders>
              <w:top w:val="single" w:sz="4" w:space="0" w:color="auto"/>
              <w:bottom w:val="single" w:sz="4" w:space="0" w:color="auto"/>
            </w:tcBorders>
          </w:tcPr>
          <w:p w:rsidR="003E30CD" w:rsidRPr="00734191" w:rsidRDefault="003E30CD" w:rsidP="003E30CD">
            <w:pPr>
              <w:overflowPunct/>
              <w:jc w:val="center"/>
              <w:rPr>
                <w:rFonts w:eastAsiaTheme="minorHAnsi" w:cs="Arial"/>
                <w:b/>
                <w:bCs/>
                <w:sz w:val="14"/>
                <w:szCs w:val="14"/>
                <w:lang w:val="ru-RU"/>
              </w:rPr>
            </w:pPr>
            <w:r w:rsidRPr="00734191">
              <w:rPr>
                <w:rFonts w:eastAsiaTheme="minorHAnsi" w:cs="Arial"/>
                <w:b/>
                <w:bCs/>
                <w:sz w:val="14"/>
                <w:szCs w:val="14"/>
                <w:lang w:val="ru-RU"/>
              </w:rPr>
              <w:t>Ассоции</w:t>
            </w:r>
          </w:p>
          <w:p w:rsidR="003E30CD" w:rsidRPr="00734191" w:rsidRDefault="003E30CD" w:rsidP="003E30CD">
            <w:pPr>
              <w:overflowPunct/>
              <w:jc w:val="center"/>
              <w:rPr>
                <w:rFonts w:eastAsiaTheme="minorHAnsi" w:cs="Arial"/>
                <w:b/>
                <w:bCs/>
                <w:sz w:val="14"/>
                <w:szCs w:val="14"/>
                <w:lang w:val="ru-RU"/>
              </w:rPr>
            </w:pPr>
            <w:r w:rsidRPr="00734191">
              <w:rPr>
                <w:rFonts w:eastAsiaTheme="minorHAnsi" w:cs="Arial"/>
                <w:b/>
                <w:bCs/>
                <w:sz w:val="14"/>
                <w:szCs w:val="14"/>
                <w:lang w:val="ru-RU"/>
              </w:rPr>
              <w:t>рованные</w:t>
            </w:r>
          </w:p>
          <w:p w:rsidR="003E30CD" w:rsidRPr="00734191" w:rsidRDefault="003E30CD" w:rsidP="003E30CD">
            <w:pPr>
              <w:pStyle w:val="2"/>
              <w:numPr>
                <w:ilvl w:val="0"/>
                <w:numId w:val="0"/>
              </w:numPr>
              <w:jc w:val="center"/>
              <w:outlineLvl w:val="1"/>
              <w:rPr>
                <w:sz w:val="14"/>
                <w:szCs w:val="14"/>
              </w:rPr>
            </w:pPr>
          </w:p>
        </w:tc>
        <w:tc>
          <w:tcPr>
            <w:tcW w:w="987"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Ключевой управлен</w:t>
            </w:r>
          </w:p>
          <w:p w:rsidR="003E30CD" w:rsidRPr="00734191" w:rsidRDefault="003E30CD" w:rsidP="003E30CD">
            <w:pPr>
              <w:pStyle w:val="2"/>
              <w:numPr>
                <w:ilvl w:val="0"/>
                <w:numId w:val="0"/>
              </w:numPr>
              <w:jc w:val="center"/>
              <w:outlineLvl w:val="1"/>
              <w:rPr>
                <w:sz w:val="14"/>
                <w:szCs w:val="14"/>
              </w:rPr>
            </w:pPr>
            <w:r w:rsidRPr="00734191">
              <w:rPr>
                <w:sz w:val="14"/>
                <w:szCs w:val="14"/>
              </w:rPr>
              <w:t>ческий персонал</w:t>
            </w:r>
          </w:p>
        </w:tc>
        <w:tc>
          <w:tcPr>
            <w:tcW w:w="901"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Акцио</w:t>
            </w:r>
          </w:p>
          <w:p w:rsidR="003E30CD" w:rsidRPr="00734191" w:rsidRDefault="003E30CD" w:rsidP="003E30CD">
            <w:pPr>
              <w:pStyle w:val="2"/>
              <w:numPr>
                <w:ilvl w:val="0"/>
                <w:numId w:val="0"/>
              </w:numPr>
              <w:jc w:val="center"/>
              <w:outlineLvl w:val="1"/>
              <w:rPr>
                <w:sz w:val="14"/>
                <w:szCs w:val="14"/>
              </w:rPr>
            </w:pPr>
            <w:r w:rsidRPr="00734191">
              <w:rPr>
                <w:sz w:val="14"/>
                <w:szCs w:val="14"/>
              </w:rPr>
              <w:t>неры</w:t>
            </w:r>
          </w:p>
        </w:tc>
        <w:tc>
          <w:tcPr>
            <w:tcW w:w="989"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Компании под общим контролем</w:t>
            </w:r>
          </w:p>
        </w:tc>
        <w:tc>
          <w:tcPr>
            <w:tcW w:w="927" w:type="dxa"/>
            <w:tcBorders>
              <w:top w:val="single" w:sz="4" w:space="0" w:color="auto"/>
              <w:bottom w:val="single" w:sz="4" w:space="0" w:color="auto"/>
            </w:tcBorders>
          </w:tcPr>
          <w:p w:rsidR="003E30CD" w:rsidRPr="00734191" w:rsidRDefault="003E30CD" w:rsidP="003E30CD">
            <w:pPr>
              <w:pStyle w:val="2"/>
              <w:numPr>
                <w:ilvl w:val="0"/>
                <w:numId w:val="0"/>
              </w:numPr>
              <w:jc w:val="center"/>
              <w:outlineLvl w:val="1"/>
              <w:rPr>
                <w:sz w:val="14"/>
                <w:szCs w:val="14"/>
              </w:rPr>
            </w:pPr>
            <w:r w:rsidRPr="00734191">
              <w:rPr>
                <w:sz w:val="14"/>
                <w:szCs w:val="14"/>
              </w:rPr>
              <w:t>Ключевой управлен</w:t>
            </w:r>
          </w:p>
          <w:p w:rsidR="003E30CD" w:rsidRPr="00734191" w:rsidRDefault="003E30CD" w:rsidP="003E30CD">
            <w:pPr>
              <w:pStyle w:val="2"/>
              <w:numPr>
                <w:ilvl w:val="0"/>
                <w:numId w:val="0"/>
              </w:numPr>
              <w:jc w:val="center"/>
              <w:outlineLvl w:val="1"/>
              <w:rPr>
                <w:sz w:val="14"/>
                <w:szCs w:val="14"/>
              </w:rPr>
            </w:pPr>
            <w:r w:rsidRPr="00734191">
              <w:rPr>
                <w:sz w:val="14"/>
                <w:szCs w:val="14"/>
              </w:rPr>
              <w:t>ческий персонал</w:t>
            </w:r>
          </w:p>
        </w:tc>
      </w:tr>
      <w:tr w:rsidR="003E30CD" w:rsidRPr="00734191" w:rsidTr="003E30CD">
        <w:tc>
          <w:tcPr>
            <w:tcW w:w="2943" w:type="dxa"/>
            <w:tcBorders>
              <w:top w:val="single" w:sz="4" w:space="0" w:color="auto"/>
            </w:tcBorders>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Кредиты за 31 декабря</w:t>
            </w:r>
          </w:p>
          <w:p w:rsidR="003E30CD" w:rsidRPr="00734191" w:rsidRDefault="003E30CD" w:rsidP="003E30CD">
            <w:pPr>
              <w:overflowPunct/>
              <w:autoSpaceDE/>
              <w:autoSpaceDN/>
              <w:adjustRightInd/>
              <w:rPr>
                <w:rFonts w:cs="Arial"/>
                <w:sz w:val="14"/>
                <w:szCs w:val="14"/>
                <w:lang w:val="ru-RU" w:eastAsia="ru-RU"/>
              </w:rPr>
            </w:pPr>
          </w:p>
        </w:tc>
        <w:tc>
          <w:tcPr>
            <w:tcW w:w="847"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44 444</w:t>
            </w:r>
          </w:p>
        </w:tc>
        <w:tc>
          <w:tcPr>
            <w:tcW w:w="990"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tc>
        <w:tc>
          <w:tcPr>
            <w:tcW w:w="987"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6 414</w:t>
            </w:r>
          </w:p>
        </w:tc>
        <w:tc>
          <w:tcPr>
            <w:tcW w:w="901"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51 497</w:t>
            </w:r>
          </w:p>
        </w:tc>
        <w:tc>
          <w:tcPr>
            <w:tcW w:w="989"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8 199</w:t>
            </w:r>
          </w:p>
        </w:tc>
        <w:tc>
          <w:tcPr>
            <w:tcW w:w="927" w:type="dxa"/>
            <w:tcBorders>
              <w:top w:val="single" w:sz="4" w:space="0" w:color="auto"/>
            </w:tcBorders>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23 912</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Кредиты, выданные в течение периода</w:t>
            </w:r>
          </w:p>
          <w:p w:rsidR="003E30CD" w:rsidRPr="00734191" w:rsidRDefault="003E30CD" w:rsidP="003E30CD">
            <w:pPr>
              <w:overflowPunct/>
              <w:autoSpaceDE/>
              <w:autoSpaceDN/>
              <w:adjustRightInd/>
              <w:rPr>
                <w:rFonts w:cs="Arial"/>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Cs/>
                <w:sz w:val="14"/>
                <w:szCs w:val="14"/>
                <w:lang w:val="ru-RU" w:eastAsia="ru-RU"/>
              </w:rPr>
            </w:pPr>
            <w:r w:rsidRPr="00734191">
              <w:rPr>
                <w:rFonts w:cs="Arial"/>
                <w:bCs/>
                <w:sz w:val="14"/>
                <w:szCs w:val="14"/>
                <w:lang w:val="ru-RU" w:eastAsia="ru-RU"/>
              </w:rPr>
              <w:t>9 685</w:t>
            </w:r>
          </w:p>
        </w:tc>
        <w:tc>
          <w:tcPr>
            <w:tcW w:w="990" w:type="dxa"/>
            <w:vAlign w:val="center"/>
          </w:tcPr>
          <w:p w:rsidR="003E30CD" w:rsidRPr="00734191" w:rsidRDefault="003E30CD" w:rsidP="003E30CD">
            <w:pPr>
              <w:overflowPunct/>
              <w:autoSpaceDE/>
              <w:autoSpaceDN/>
              <w:adjustRightInd/>
              <w:jc w:val="center"/>
              <w:rPr>
                <w:rFonts w:cs="Arial"/>
                <w:bCs/>
                <w:sz w:val="14"/>
                <w:szCs w:val="14"/>
                <w:lang w:val="en-US" w:eastAsia="ru-RU"/>
              </w:rPr>
            </w:pPr>
            <w:r w:rsidRPr="00734191">
              <w:rPr>
                <w:rFonts w:cs="Arial"/>
                <w:bCs/>
                <w:sz w:val="14"/>
                <w:szCs w:val="14"/>
                <w:lang w:val="en-US" w:eastAsia="ru-RU"/>
              </w:rPr>
              <w:t>515</w:t>
            </w:r>
          </w:p>
        </w:tc>
        <w:tc>
          <w:tcPr>
            <w:tcW w:w="987" w:type="dxa"/>
            <w:vAlign w:val="center"/>
          </w:tcPr>
          <w:p w:rsidR="003E30CD" w:rsidRPr="00734191" w:rsidRDefault="003E30CD" w:rsidP="003E30CD">
            <w:pPr>
              <w:overflowPunct/>
              <w:autoSpaceDE/>
              <w:autoSpaceDN/>
              <w:adjustRightInd/>
              <w:jc w:val="center"/>
              <w:rPr>
                <w:rFonts w:cs="Arial"/>
                <w:bCs/>
                <w:sz w:val="14"/>
                <w:szCs w:val="14"/>
                <w:lang w:val="ru-RU" w:eastAsia="ru-RU"/>
              </w:rPr>
            </w:pPr>
            <w:r w:rsidRPr="00734191">
              <w:rPr>
                <w:rFonts w:cs="Arial"/>
                <w:bCs/>
                <w:sz w:val="14"/>
                <w:szCs w:val="14"/>
                <w:lang w:val="ru-RU" w:eastAsia="ru-RU"/>
              </w:rPr>
              <w:t>0</w:t>
            </w:r>
          </w:p>
        </w:tc>
        <w:tc>
          <w:tcPr>
            <w:tcW w:w="987" w:type="dxa"/>
            <w:vAlign w:val="center"/>
          </w:tcPr>
          <w:p w:rsidR="003E30CD" w:rsidRPr="00734191" w:rsidRDefault="003E30CD" w:rsidP="003E30CD">
            <w:pPr>
              <w:overflowPunct/>
              <w:autoSpaceDE/>
              <w:autoSpaceDN/>
              <w:adjustRightInd/>
              <w:jc w:val="center"/>
              <w:rPr>
                <w:rFonts w:cs="Arial"/>
                <w:bCs/>
                <w:sz w:val="14"/>
                <w:szCs w:val="14"/>
                <w:lang w:val="en-US" w:eastAsia="ru-RU"/>
              </w:rPr>
            </w:pPr>
            <w:r w:rsidRPr="00734191">
              <w:rPr>
                <w:rFonts w:cs="Arial"/>
                <w:bCs/>
                <w:sz w:val="14"/>
                <w:szCs w:val="14"/>
                <w:lang w:val="en-US" w:eastAsia="ru-RU"/>
              </w:rPr>
              <w:t>20 777</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103 172</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2 214</w:t>
            </w:r>
          </w:p>
        </w:tc>
        <w:tc>
          <w:tcPr>
            <w:tcW w:w="927"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24 065</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Кредиты, погашенные в течение периода</w:t>
            </w:r>
          </w:p>
          <w:p w:rsidR="003E30CD" w:rsidRPr="00734191" w:rsidRDefault="003E30CD" w:rsidP="003E30CD">
            <w:pPr>
              <w:overflowPunct/>
              <w:autoSpaceDE/>
              <w:autoSpaceDN/>
              <w:adjustRightInd/>
              <w:rPr>
                <w:rFonts w:cs="Arial"/>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(26 352)</w:t>
            </w:r>
          </w:p>
        </w:tc>
        <w:tc>
          <w:tcPr>
            <w:tcW w:w="990"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(515)</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0</w:t>
            </w:r>
          </w:p>
        </w:tc>
        <w:tc>
          <w:tcPr>
            <w:tcW w:w="987"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(12 074)</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(110 225)</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(10 413)</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(40 021)</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изменение отношений со связанными сторонами в течение периода</w:t>
            </w:r>
          </w:p>
        </w:tc>
        <w:tc>
          <w:tcPr>
            <w:tcW w:w="847" w:type="dxa"/>
          </w:tcPr>
          <w:p w:rsidR="003E30CD" w:rsidRPr="00734191" w:rsidRDefault="003E30CD" w:rsidP="003E30CD">
            <w:pPr>
              <w:pStyle w:val="2"/>
              <w:numPr>
                <w:ilvl w:val="0"/>
                <w:numId w:val="0"/>
              </w:numPr>
              <w:jc w:val="center"/>
              <w:outlineLvl w:val="1"/>
              <w:rPr>
                <w:sz w:val="14"/>
                <w:szCs w:val="14"/>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r w:rsidRPr="00734191">
              <w:rPr>
                <w:rFonts w:cs="Arial"/>
                <w:sz w:val="14"/>
                <w:szCs w:val="14"/>
                <w:lang w:val="en-US" w:eastAsia="ru-RU"/>
              </w:rPr>
              <w:t>1 183</w:t>
            </w:r>
            <w:r w:rsidRPr="00734191">
              <w:rPr>
                <w:rFonts w:cs="Arial"/>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(1 542)</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Кредиты на конец периода</w:t>
            </w:r>
          </w:p>
          <w:p w:rsidR="003E30CD" w:rsidRPr="00734191" w:rsidRDefault="003E30CD" w:rsidP="003E30CD">
            <w:pPr>
              <w:overflowPunct/>
              <w:autoSpaceDE/>
              <w:autoSpaceDN/>
              <w:adjustRightInd/>
              <w:rPr>
                <w:rFonts w:cs="Arial"/>
                <w:b/>
                <w:bCs/>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27 777</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0</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13 934</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44 444</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6 414</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в т.ч. просроченная задолженность</w:t>
            </w:r>
          </w:p>
        </w:tc>
        <w:tc>
          <w:tcPr>
            <w:tcW w:w="847" w:type="dxa"/>
          </w:tcPr>
          <w:p w:rsidR="003E30CD" w:rsidRPr="00734191" w:rsidRDefault="003E30CD" w:rsidP="003E30CD">
            <w:pPr>
              <w:pStyle w:val="2"/>
              <w:numPr>
                <w:ilvl w:val="0"/>
                <w:numId w:val="0"/>
              </w:numPr>
              <w:jc w:val="center"/>
              <w:outlineLvl w:val="1"/>
              <w:rPr>
                <w:sz w:val="14"/>
                <w:szCs w:val="14"/>
              </w:rPr>
            </w:pPr>
            <w:r w:rsidRPr="00734191">
              <w:rPr>
                <w:sz w:val="14"/>
                <w:szCs w:val="14"/>
              </w:rPr>
              <w:t>-</w:t>
            </w:r>
          </w:p>
        </w:tc>
        <w:tc>
          <w:tcPr>
            <w:tcW w:w="990" w:type="dxa"/>
          </w:tcPr>
          <w:p w:rsidR="003E30CD" w:rsidRPr="00734191" w:rsidRDefault="003E30CD" w:rsidP="003E30CD">
            <w:pPr>
              <w:pStyle w:val="2"/>
              <w:numPr>
                <w:ilvl w:val="0"/>
                <w:numId w:val="0"/>
              </w:numPr>
              <w:jc w:val="center"/>
              <w:outlineLvl w:val="1"/>
              <w:rPr>
                <w:sz w:val="14"/>
                <w:szCs w:val="14"/>
                <w:lang w:val="en-US"/>
              </w:rPr>
            </w:pPr>
            <w:r w:rsidRPr="00734191">
              <w:rPr>
                <w:sz w:val="14"/>
                <w:szCs w:val="14"/>
                <w:lang w:val="en-US"/>
              </w:rPr>
              <w:t>-</w:t>
            </w:r>
          </w:p>
        </w:tc>
        <w:tc>
          <w:tcPr>
            <w:tcW w:w="987" w:type="dxa"/>
          </w:tcPr>
          <w:p w:rsidR="003E30CD" w:rsidRPr="00734191" w:rsidRDefault="003E30CD" w:rsidP="003E30CD">
            <w:pPr>
              <w:pStyle w:val="2"/>
              <w:numPr>
                <w:ilvl w:val="0"/>
                <w:numId w:val="0"/>
              </w:numPr>
              <w:jc w:val="center"/>
              <w:outlineLvl w:val="1"/>
              <w:rPr>
                <w:sz w:val="14"/>
                <w:szCs w:val="14"/>
              </w:rPr>
            </w:pPr>
            <w:r w:rsidRPr="00734191">
              <w:rPr>
                <w:sz w:val="14"/>
                <w:szCs w:val="14"/>
              </w:rPr>
              <w:t>-</w:t>
            </w:r>
          </w:p>
        </w:tc>
        <w:tc>
          <w:tcPr>
            <w:tcW w:w="987" w:type="dxa"/>
          </w:tcPr>
          <w:p w:rsidR="003E30CD" w:rsidRPr="00734191" w:rsidRDefault="003E30CD" w:rsidP="003E30CD">
            <w:pPr>
              <w:pStyle w:val="2"/>
              <w:numPr>
                <w:ilvl w:val="0"/>
                <w:numId w:val="0"/>
              </w:numPr>
              <w:jc w:val="center"/>
              <w:outlineLvl w:val="1"/>
              <w:rPr>
                <w:sz w:val="14"/>
                <w:szCs w:val="14"/>
                <w:lang w:val="en-US"/>
              </w:rPr>
            </w:pPr>
            <w:r w:rsidRPr="00734191">
              <w:rPr>
                <w:sz w:val="14"/>
                <w:szCs w:val="14"/>
                <w:lang w:val="en-US"/>
              </w:rPr>
              <w:t>-</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 xml:space="preserve">Резервы на возможные потери по кредитам </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277</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151</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444</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70</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tcPr>
          <w:p w:rsidR="003E30CD" w:rsidRPr="00734191" w:rsidRDefault="003E30CD" w:rsidP="003E30CD">
            <w:pPr>
              <w:pStyle w:val="2"/>
              <w:numPr>
                <w:ilvl w:val="0"/>
                <w:numId w:val="0"/>
              </w:numPr>
              <w:jc w:val="center"/>
              <w:outlineLvl w:val="1"/>
              <w:rPr>
                <w:sz w:val="14"/>
                <w:szCs w:val="14"/>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 xml:space="preserve">Вложения в ценные бумаги (по справедливой стоимости, удерживаемые до погашения, имеющиеся в наличии для продажи) </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tcPr>
          <w:p w:rsidR="003E30CD" w:rsidRPr="00734191" w:rsidRDefault="003E30CD" w:rsidP="003E30CD">
            <w:pPr>
              <w:pStyle w:val="2"/>
              <w:numPr>
                <w:ilvl w:val="0"/>
                <w:numId w:val="0"/>
              </w:numPr>
              <w:jc w:val="center"/>
              <w:outlineLvl w:val="1"/>
              <w:rPr>
                <w:sz w:val="14"/>
                <w:szCs w:val="14"/>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Прочие активы на конец периода</w:t>
            </w:r>
          </w:p>
        </w:tc>
        <w:tc>
          <w:tcPr>
            <w:tcW w:w="847" w:type="dxa"/>
          </w:tcPr>
          <w:p w:rsidR="003E30CD" w:rsidRPr="00734191" w:rsidRDefault="003E30CD" w:rsidP="003E30CD">
            <w:pPr>
              <w:pStyle w:val="2"/>
              <w:numPr>
                <w:ilvl w:val="0"/>
                <w:numId w:val="0"/>
              </w:numPr>
              <w:jc w:val="center"/>
              <w:outlineLvl w:val="1"/>
              <w:rPr>
                <w:sz w:val="14"/>
                <w:szCs w:val="14"/>
              </w:rPr>
            </w:pPr>
            <w:r w:rsidRPr="00734191">
              <w:rPr>
                <w:sz w:val="14"/>
                <w:szCs w:val="14"/>
              </w:rPr>
              <w:t>36</w:t>
            </w: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r w:rsidRPr="00734191">
              <w:rPr>
                <w:sz w:val="14"/>
                <w:szCs w:val="14"/>
              </w:rPr>
              <w:t>10</w:t>
            </w:r>
          </w:p>
        </w:tc>
        <w:tc>
          <w:tcPr>
            <w:tcW w:w="987" w:type="dxa"/>
          </w:tcPr>
          <w:p w:rsidR="003E30CD" w:rsidRPr="00734191" w:rsidRDefault="003E30CD" w:rsidP="003E30CD">
            <w:pPr>
              <w:pStyle w:val="2"/>
              <w:numPr>
                <w:ilvl w:val="0"/>
                <w:numId w:val="0"/>
              </w:numPr>
              <w:jc w:val="center"/>
              <w:outlineLvl w:val="1"/>
              <w:rPr>
                <w:sz w:val="14"/>
                <w:szCs w:val="14"/>
                <w:lang w:val="en-US"/>
              </w:rPr>
            </w:pPr>
            <w:r w:rsidRPr="00734191">
              <w:rPr>
                <w:sz w:val="14"/>
                <w:szCs w:val="14"/>
                <w:lang w:val="en-US"/>
              </w:rPr>
              <w:t>18</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230</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90</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Резервы на возможные потери по прочим активам</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0</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0</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0</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65</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Средства на счетах за 31 декабря</w:t>
            </w:r>
          </w:p>
          <w:p w:rsidR="003E30CD" w:rsidRPr="00734191" w:rsidRDefault="003E30CD" w:rsidP="003E30CD">
            <w:pPr>
              <w:overflowPunct/>
              <w:autoSpaceDE/>
              <w:autoSpaceDN/>
              <w:adjustRightInd/>
              <w:rPr>
                <w:rFonts w:cs="Arial"/>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3 222</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75 927</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10 651</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38</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2 140</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14 273</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lastRenderedPageBreak/>
              <w:t>Поступления в течение периода</w:t>
            </w:r>
          </w:p>
          <w:p w:rsidR="003E30CD" w:rsidRPr="00734191" w:rsidRDefault="003E30CD" w:rsidP="003E30CD">
            <w:pPr>
              <w:overflowPunct/>
              <w:autoSpaceDE/>
              <w:autoSpaceDN/>
              <w:adjustRightInd/>
              <w:rPr>
                <w:rFonts w:cs="Arial"/>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61 565</w:t>
            </w:r>
          </w:p>
        </w:tc>
        <w:tc>
          <w:tcPr>
            <w:tcW w:w="990"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173 029</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0</w:t>
            </w:r>
          </w:p>
        </w:tc>
        <w:tc>
          <w:tcPr>
            <w:tcW w:w="987"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438 174</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478 055</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916 201</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229 706</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Перечисления в течение периода</w:t>
            </w:r>
          </w:p>
          <w:p w:rsidR="003E30CD" w:rsidRPr="00734191" w:rsidRDefault="003E30CD" w:rsidP="003E30CD">
            <w:pPr>
              <w:overflowPunct/>
              <w:autoSpaceDE/>
              <w:autoSpaceDN/>
              <w:adjustRightInd/>
              <w:rPr>
                <w:rFonts w:cs="Arial"/>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(64 324)</w:t>
            </w:r>
          </w:p>
        </w:tc>
        <w:tc>
          <w:tcPr>
            <w:tcW w:w="990"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(241 967)</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0</w:t>
            </w:r>
          </w:p>
        </w:tc>
        <w:tc>
          <w:tcPr>
            <w:tcW w:w="987"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(433 800)</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(474 871)</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(842 414)</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(233 372)</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изменение отношений со связанными сторонами в течение периода</w:t>
            </w: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90"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(776)</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44</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Средства на счетах на конец периода</w:t>
            </w:r>
          </w:p>
        </w:tc>
        <w:tc>
          <w:tcPr>
            <w:tcW w:w="847" w:type="dxa"/>
          </w:tcPr>
          <w:p w:rsidR="003E30CD" w:rsidRPr="00734191" w:rsidRDefault="003E30CD" w:rsidP="003E30CD">
            <w:pPr>
              <w:pStyle w:val="2"/>
              <w:numPr>
                <w:ilvl w:val="0"/>
                <w:numId w:val="0"/>
              </w:numPr>
              <w:jc w:val="center"/>
              <w:outlineLvl w:val="1"/>
              <w:rPr>
                <w:sz w:val="14"/>
                <w:szCs w:val="14"/>
              </w:rPr>
            </w:pPr>
            <w:r w:rsidRPr="00734191">
              <w:rPr>
                <w:sz w:val="14"/>
                <w:szCs w:val="14"/>
              </w:rPr>
              <w:t>463</w:t>
            </w:r>
          </w:p>
        </w:tc>
        <w:tc>
          <w:tcPr>
            <w:tcW w:w="990" w:type="dxa"/>
          </w:tcPr>
          <w:p w:rsidR="003E30CD" w:rsidRPr="00734191" w:rsidRDefault="003E30CD" w:rsidP="003E30CD">
            <w:pPr>
              <w:pStyle w:val="2"/>
              <w:numPr>
                <w:ilvl w:val="0"/>
                <w:numId w:val="0"/>
              </w:numPr>
              <w:jc w:val="center"/>
              <w:outlineLvl w:val="1"/>
              <w:rPr>
                <w:sz w:val="14"/>
                <w:szCs w:val="14"/>
                <w:lang w:val="en-US"/>
              </w:rPr>
            </w:pPr>
            <w:r w:rsidRPr="00734191">
              <w:rPr>
                <w:sz w:val="14"/>
                <w:szCs w:val="14"/>
                <w:lang w:val="en-US"/>
              </w:rPr>
              <w:t xml:space="preserve">6 989 </w:t>
            </w:r>
          </w:p>
        </w:tc>
        <w:tc>
          <w:tcPr>
            <w:tcW w:w="987" w:type="dxa"/>
          </w:tcPr>
          <w:p w:rsidR="003E30CD" w:rsidRPr="00734191" w:rsidRDefault="003E30CD" w:rsidP="003E30CD">
            <w:pPr>
              <w:pStyle w:val="2"/>
              <w:numPr>
                <w:ilvl w:val="0"/>
                <w:numId w:val="0"/>
              </w:numPr>
              <w:jc w:val="center"/>
              <w:outlineLvl w:val="1"/>
              <w:rPr>
                <w:sz w:val="14"/>
                <w:szCs w:val="14"/>
              </w:rPr>
            </w:pPr>
            <w:r w:rsidRPr="00734191">
              <w:rPr>
                <w:sz w:val="14"/>
                <w:szCs w:val="14"/>
              </w:rPr>
              <w:t>0</w:t>
            </w:r>
          </w:p>
        </w:tc>
        <w:tc>
          <w:tcPr>
            <w:tcW w:w="987" w:type="dxa"/>
          </w:tcPr>
          <w:p w:rsidR="003E30CD" w:rsidRPr="00734191" w:rsidRDefault="003E30CD" w:rsidP="003E30CD">
            <w:pPr>
              <w:pStyle w:val="2"/>
              <w:numPr>
                <w:ilvl w:val="0"/>
                <w:numId w:val="0"/>
              </w:numPr>
              <w:jc w:val="center"/>
              <w:outlineLvl w:val="1"/>
              <w:rPr>
                <w:sz w:val="14"/>
                <w:szCs w:val="14"/>
                <w:lang w:val="en-US"/>
              </w:rPr>
            </w:pPr>
            <w:r w:rsidRPr="00734191">
              <w:rPr>
                <w:sz w:val="14"/>
                <w:szCs w:val="14"/>
                <w:lang w:val="en-US"/>
              </w:rPr>
              <w:t>14 249</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3 222</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75 927</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10 651</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tcPr>
          <w:p w:rsidR="003E30CD" w:rsidRPr="00734191" w:rsidRDefault="003E30CD" w:rsidP="003E30CD">
            <w:pPr>
              <w:pStyle w:val="2"/>
              <w:numPr>
                <w:ilvl w:val="0"/>
                <w:numId w:val="0"/>
              </w:numPr>
              <w:jc w:val="center"/>
              <w:outlineLvl w:val="1"/>
              <w:rPr>
                <w:sz w:val="14"/>
                <w:szCs w:val="14"/>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Средства акционеров (участников) на конец периода</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1 325 466</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10 675</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1 325 466</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16 108</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Субординированные кредиты за 31 декабря</w:t>
            </w: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333 613</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перечисления в течение периода</w:t>
            </w:r>
          </w:p>
        </w:tc>
        <w:tc>
          <w:tcPr>
            <w:tcW w:w="84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(333 613)</w:t>
            </w:r>
          </w:p>
        </w:tc>
        <w:tc>
          <w:tcPr>
            <w:tcW w:w="927" w:type="dxa"/>
            <w:vAlign w:val="center"/>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Субординированные кредиты на конец периода</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p>
          <w:p w:rsidR="003E30CD" w:rsidRPr="00734191" w:rsidRDefault="003E30CD" w:rsidP="003E30CD">
            <w:pPr>
              <w:overflowPunct/>
              <w:autoSpaceDE/>
              <w:autoSpaceDN/>
              <w:adjustRightInd/>
              <w:rPr>
                <w:rFonts w:cs="Arial"/>
                <w:b/>
                <w:bCs/>
                <w:sz w:val="14"/>
                <w:szCs w:val="14"/>
                <w:lang w:val="ru-RU" w:eastAsia="ru-RU"/>
              </w:rPr>
            </w:pP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Выпущенные долговые обязательства</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Полученные гарантии</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Предоставленные гарантии</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vAlign w:val="center"/>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Безнадежная к взысканию дебиторская задолженность</w:t>
            </w:r>
          </w:p>
        </w:tc>
        <w:tc>
          <w:tcPr>
            <w:tcW w:w="84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90"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01"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89"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927" w:type="dxa"/>
            <w:vAlign w:val="center"/>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r>
      <w:tr w:rsidR="003E30CD" w:rsidRPr="00734191" w:rsidTr="003E30CD">
        <w:tc>
          <w:tcPr>
            <w:tcW w:w="2943" w:type="dxa"/>
            <w:tcBorders>
              <w:bottom w:val="double" w:sz="4" w:space="0" w:color="auto"/>
            </w:tcBorders>
          </w:tcPr>
          <w:p w:rsidR="003E30CD" w:rsidRPr="00734191" w:rsidRDefault="003E30CD" w:rsidP="003E30CD">
            <w:pPr>
              <w:pStyle w:val="2"/>
              <w:numPr>
                <w:ilvl w:val="0"/>
                <w:numId w:val="0"/>
              </w:numPr>
              <w:outlineLvl w:val="1"/>
              <w:rPr>
                <w:sz w:val="14"/>
                <w:szCs w:val="14"/>
              </w:rPr>
            </w:pPr>
          </w:p>
        </w:tc>
        <w:tc>
          <w:tcPr>
            <w:tcW w:w="847"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90"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7"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7"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01"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9"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27" w:type="dxa"/>
            <w:tcBorders>
              <w:bottom w:val="double" w:sz="4" w:space="0" w:color="auto"/>
            </w:tcBorders>
          </w:tcPr>
          <w:p w:rsidR="003E30CD" w:rsidRPr="00734191" w:rsidRDefault="003E30CD" w:rsidP="003E30CD">
            <w:pPr>
              <w:pStyle w:val="2"/>
              <w:numPr>
                <w:ilvl w:val="0"/>
                <w:numId w:val="0"/>
              </w:numPr>
              <w:jc w:val="center"/>
              <w:outlineLvl w:val="1"/>
              <w:rPr>
                <w:sz w:val="14"/>
                <w:szCs w:val="14"/>
              </w:rPr>
            </w:pPr>
          </w:p>
        </w:tc>
      </w:tr>
      <w:tr w:rsidR="003E30CD" w:rsidRPr="00734191" w:rsidTr="003E30CD">
        <w:tc>
          <w:tcPr>
            <w:tcW w:w="2943" w:type="dxa"/>
            <w:tcBorders>
              <w:top w:val="double" w:sz="4" w:space="0" w:color="auto"/>
            </w:tcBorders>
          </w:tcPr>
          <w:p w:rsidR="003E30CD" w:rsidRPr="00734191" w:rsidRDefault="003E30CD" w:rsidP="003E30CD">
            <w:pPr>
              <w:pStyle w:val="2"/>
              <w:numPr>
                <w:ilvl w:val="0"/>
                <w:numId w:val="0"/>
              </w:numPr>
              <w:outlineLvl w:val="1"/>
              <w:rPr>
                <w:sz w:val="14"/>
                <w:szCs w:val="14"/>
              </w:rPr>
            </w:pPr>
          </w:p>
        </w:tc>
        <w:tc>
          <w:tcPr>
            <w:tcW w:w="847"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90"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7"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7"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01"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89"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c>
          <w:tcPr>
            <w:tcW w:w="927" w:type="dxa"/>
            <w:tcBorders>
              <w:top w:val="double" w:sz="4" w:space="0" w:color="auto"/>
            </w:tcBorders>
          </w:tcPr>
          <w:p w:rsidR="003E30CD" w:rsidRPr="00734191" w:rsidRDefault="003E30CD" w:rsidP="003E30CD">
            <w:pPr>
              <w:pStyle w:val="2"/>
              <w:numPr>
                <w:ilvl w:val="0"/>
                <w:numId w:val="0"/>
              </w:numPr>
              <w:jc w:val="center"/>
              <w:outlineLvl w:val="1"/>
              <w:rPr>
                <w:sz w:val="14"/>
                <w:szCs w:val="14"/>
              </w:rPr>
            </w:pPr>
          </w:p>
        </w:tc>
      </w:tr>
      <w:tr w:rsidR="003E30CD" w:rsidRPr="00734191" w:rsidTr="003E30CD">
        <w:tc>
          <w:tcPr>
            <w:tcW w:w="2943" w:type="dxa"/>
          </w:tcPr>
          <w:p w:rsidR="003E30CD" w:rsidRPr="00734191" w:rsidRDefault="003E30CD" w:rsidP="003E30CD">
            <w:pPr>
              <w:pStyle w:val="2"/>
              <w:numPr>
                <w:ilvl w:val="0"/>
                <w:numId w:val="0"/>
              </w:numPr>
              <w:outlineLvl w:val="1"/>
              <w:rPr>
                <w:sz w:val="14"/>
                <w:szCs w:val="14"/>
              </w:rPr>
            </w:pPr>
          </w:p>
        </w:tc>
        <w:tc>
          <w:tcPr>
            <w:tcW w:w="847" w:type="dxa"/>
          </w:tcPr>
          <w:p w:rsidR="003E30CD" w:rsidRPr="00734191" w:rsidRDefault="003E30CD" w:rsidP="003E30CD">
            <w:pPr>
              <w:pStyle w:val="2"/>
              <w:numPr>
                <w:ilvl w:val="0"/>
                <w:numId w:val="0"/>
              </w:numPr>
              <w:jc w:val="center"/>
              <w:outlineLvl w:val="1"/>
              <w:rPr>
                <w:sz w:val="14"/>
                <w:szCs w:val="14"/>
              </w:rPr>
            </w:pPr>
          </w:p>
        </w:tc>
        <w:tc>
          <w:tcPr>
            <w:tcW w:w="990"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87" w:type="dxa"/>
          </w:tcPr>
          <w:p w:rsidR="003E30CD" w:rsidRPr="00734191" w:rsidRDefault="003E30CD" w:rsidP="003E30CD">
            <w:pPr>
              <w:pStyle w:val="2"/>
              <w:numPr>
                <w:ilvl w:val="0"/>
                <w:numId w:val="0"/>
              </w:numPr>
              <w:jc w:val="center"/>
              <w:outlineLvl w:val="1"/>
              <w:rPr>
                <w:sz w:val="14"/>
                <w:szCs w:val="14"/>
              </w:rPr>
            </w:pPr>
          </w:p>
        </w:tc>
        <w:tc>
          <w:tcPr>
            <w:tcW w:w="901" w:type="dxa"/>
          </w:tcPr>
          <w:p w:rsidR="003E30CD" w:rsidRPr="00734191" w:rsidRDefault="003E30CD" w:rsidP="003E30CD">
            <w:pPr>
              <w:pStyle w:val="2"/>
              <w:numPr>
                <w:ilvl w:val="0"/>
                <w:numId w:val="0"/>
              </w:numPr>
              <w:jc w:val="center"/>
              <w:outlineLvl w:val="1"/>
              <w:rPr>
                <w:sz w:val="14"/>
                <w:szCs w:val="14"/>
              </w:rPr>
            </w:pPr>
          </w:p>
        </w:tc>
        <w:tc>
          <w:tcPr>
            <w:tcW w:w="989" w:type="dxa"/>
          </w:tcPr>
          <w:p w:rsidR="003E30CD" w:rsidRPr="00734191" w:rsidRDefault="003E30CD" w:rsidP="003E30CD">
            <w:pPr>
              <w:pStyle w:val="2"/>
              <w:numPr>
                <w:ilvl w:val="0"/>
                <w:numId w:val="0"/>
              </w:numPr>
              <w:jc w:val="center"/>
              <w:outlineLvl w:val="1"/>
              <w:rPr>
                <w:sz w:val="14"/>
                <w:szCs w:val="14"/>
              </w:rPr>
            </w:pPr>
          </w:p>
        </w:tc>
        <w:tc>
          <w:tcPr>
            <w:tcW w:w="927" w:type="dxa"/>
          </w:tcPr>
          <w:p w:rsidR="003E30CD" w:rsidRPr="00734191" w:rsidRDefault="003E30CD" w:rsidP="003E30CD">
            <w:pPr>
              <w:pStyle w:val="2"/>
              <w:numPr>
                <w:ilvl w:val="0"/>
                <w:numId w:val="0"/>
              </w:numPr>
              <w:jc w:val="center"/>
              <w:outlineLvl w:val="1"/>
              <w:rPr>
                <w:sz w:val="14"/>
                <w:szCs w:val="14"/>
              </w:rPr>
            </w:pPr>
          </w:p>
        </w:tc>
      </w:tr>
    </w:tbl>
    <w:p w:rsidR="003E30CD" w:rsidRPr="00734191" w:rsidRDefault="003E30CD" w:rsidP="003E30CD">
      <w:pPr>
        <w:pStyle w:val="2"/>
        <w:numPr>
          <w:ilvl w:val="0"/>
          <w:numId w:val="0"/>
        </w:numPr>
        <w:jc w:val="both"/>
        <w:rPr>
          <w:sz w:val="20"/>
        </w:rPr>
      </w:pPr>
      <w:r w:rsidRPr="00734191">
        <w:rPr>
          <w:sz w:val="20"/>
        </w:rPr>
        <w:t>Дополнительная информация об операциях (сделках) со связанными с Банком сторонами:</w:t>
      </w:r>
    </w:p>
    <w:p w:rsidR="003E30CD" w:rsidRPr="00734191" w:rsidRDefault="003E30CD" w:rsidP="003E30CD">
      <w:pPr>
        <w:pStyle w:val="2"/>
        <w:numPr>
          <w:ilvl w:val="0"/>
          <w:numId w:val="0"/>
        </w:numPr>
        <w:jc w:val="both"/>
        <w:rPr>
          <w:sz w:val="20"/>
        </w:rPr>
      </w:pPr>
    </w:p>
    <w:tbl>
      <w:tblPr>
        <w:tblW w:w="9654" w:type="dxa"/>
        <w:tblInd w:w="93" w:type="dxa"/>
        <w:tblLook w:val="04A0" w:firstRow="1" w:lastRow="0" w:firstColumn="1" w:lastColumn="0" w:noHBand="0" w:noVBand="1"/>
      </w:tblPr>
      <w:tblGrid>
        <w:gridCol w:w="2983"/>
        <w:gridCol w:w="2342"/>
        <w:gridCol w:w="1156"/>
        <w:gridCol w:w="809"/>
        <w:gridCol w:w="2364"/>
      </w:tblGrid>
      <w:tr w:rsidR="003E30CD" w:rsidRPr="00734191" w:rsidTr="003E30CD">
        <w:trPr>
          <w:trHeight w:val="255"/>
        </w:trPr>
        <w:tc>
          <w:tcPr>
            <w:tcW w:w="2983"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rPr>
                <w:rFonts w:cs="Arial"/>
                <w:sz w:val="16"/>
                <w:szCs w:val="16"/>
                <w:lang w:val="ru-RU" w:eastAsia="ru-RU"/>
              </w:rPr>
            </w:pPr>
          </w:p>
        </w:tc>
        <w:tc>
          <w:tcPr>
            <w:tcW w:w="6671" w:type="dxa"/>
            <w:gridSpan w:val="4"/>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2017 год</w:t>
            </w:r>
          </w:p>
        </w:tc>
      </w:tr>
      <w:tr w:rsidR="003E30CD" w:rsidRPr="00734191" w:rsidTr="003E30CD">
        <w:trPr>
          <w:trHeight w:val="197"/>
        </w:trPr>
        <w:tc>
          <w:tcPr>
            <w:tcW w:w="2983"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вид сделки</w:t>
            </w:r>
          </w:p>
        </w:tc>
        <w:tc>
          <w:tcPr>
            <w:tcW w:w="2342"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цель</w:t>
            </w:r>
          </w:p>
        </w:tc>
        <w:tc>
          <w:tcPr>
            <w:tcW w:w="1156"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сумма</w:t>
            </w:r>
          </w:p>
        </w:tc>
        <w:tc>
          <w:tcPr>
            <w:tcW w:w="809"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валюта</w:t>
            </w:r>
          </w:p>
        </w:tc>
        <w:tc>
          <w:tcPr>
            <w:tcW w:w="2364"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 </w:t>
            </w:r>
          </w:p>
        </w:tc>
      </w:tr>
      <w:tr w:rsidR="003E30CD" w:rsidRPr="00734191" w:rsidTr="003E30CD">
        <w:trPr>
          <w:trHeight w:val="255"/>
        </w:trPr>
        <w:tc>
          <w:tcPr>
            <w:tcW w:w="2983" w:type="dxa"/>
            <w:tcBorders>
              <w:top w:val="single" w:sz="4" w:space="0" w:color="auto"/>
            </w:tcBorders>
            <w:shd w:val="clear" w:color="auto" w:fill="auto"/>
            <w:vAlign w:val="bottom"/>
            <w:hideMark/>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 xml:space="preserve">Депозиты физических лиц </w:t>
            </w:r>
          </w:p>
        </w:tc>
        <w:tc>
          <w:tcPr>
            <w:tcW w:w="2342" w:type="dxa"/>
            <w:tcBorders>
              <w:top w:val="single" w:sz="4" w:space="0" w:color="auto"/>
            </w:tcBorders>
            <w:shd w:val="clear" w:color="auto" w:fill="auto"/>
            <w:vAlign w:val="bottom"/>
            <w:hideMark/>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до востребования</w:t>
            </w:r>
          </w:p>
        </w:tc>
        <w:tc>
          <w:tcPr>
            <w:tcW w:w="1156" w:type="dxa"/>
            <w:tcBorders>
              <w:top w:val="single" w:sz="4" w:space="0" w:color="auto"/>
            </w:tcBorders>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sidRPr="00734191">
              <w:rPr>
                <w:rFonts w:cs="Arial"/>
                <w:sz w:val="16"/>
                <w:szCs w:val="16"/>
                <w:lang w:val="ru-RU" w:eastAsia="ru-RU"/>
              </w:rPr>
              <w:t>без ограничения</w:t>
            </w:r>
          </w:p>
        </w:tc>
        <w:tc>
          <w:tcPr>
            <w:tcW w:w="809" w:type="dxa"/>
            <w:tcBorders>
              <w:top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sz w:val="16"/>
                <w:szCs w:val="16"/>
                <w:lang w:val="ru-RU" w:eastAsia="ru-RU"/>
              </w:rPr>
            </w:pPr>
            <w:r w:rsidRPr="00734191">
              <w:rPr>
                <w:rFonts w:cs="Arial"/>
                <w:sz w:val="16"/>
                <w:szCs w:val="16"/>
                <w:lang w:val="ru-RU" w:eastAsia="ru-RU"/>
              </w:rPr>
              <w:t>840</w:t>
            </w:r>
          </w:p>
        </w:tc>
        <w:tc>
          <w:tcPr>
            <w:tcW w:w="2364" w:type="dxa"/>
            <w:tcBorders>
              <w:top w:val="single" w:sz="4" w:space="0" w:color="auto"/>
            </w:tcBorders>
            <w:shd w:val="clear" w:color="auto" w:fill="auto"/>
            <w:noWrap/>
            <w:vAlign w:val="bottom"/>
            <w:hideMark/>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сделки одобрены СД Банка</w:t>
            </w:r>
          </w:p>
        </w:tc>
      </w:tr>
      <w:tr w:rsidR="003E30CD" w:rsidRPr="00734191" w:rsidTr="003E30CD">
        <w:trPr>
          <w:trHeight w:val="450"/>
        </w:trPr>
        <w:tc>
          <w:tcPr>
            <w:tcW w:w="2983"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Выпуск дебетовой карты</w:t>
            </w:r>
          </w:p>
        </w:tc>
        <w:tc>
          <w:tcPr>
            <w:tcW w:w="2342"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 кредитным лимитом</w:t>
            </w:r>
          </w:p>
        </w:tc>
        <w:tc>
          <w:tcPr>
            <w:tcW w:w="1156" w:type="dxa"/>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sidRPr="00734191">
              <w:rPr>
                <w:rFonts w:cs="Arial"/>
                <w:sz w:val="16"/>
                <w:szCs w:val="16"/>
                <w:lang w:val="ru-RU" w:eastAsia="ru-RU"/>
              </w:rPr>
              <w:t>200</w:t>
            </w:r>
          </w:p>
        </w:tc>
        <w:tc>
          <w:tcPr>
            <w:tcW w:w="809" w:type="dxa"/>
            <w:shd w:val="clear" w:color="auto" w:fill="auto"/>
            <w:noWrap/>
            <w:vAlign w:val="bottom"/>
          </w:tcPr>
          <w:p w:rsidR="003E30CD" w:rsidRPr="00734191" w:rsidRDefault="003E30CD" w:rsidP="003E30CD">
            <w:pPr>
              <w:overflowPunct/>
              <w:autoSpaceDE/>
              <w:autoSpaceDN/>
              <w:adjustRightInd/>
              <w:jc w:val="center"/>
              <w:rPr>
                <w:rFonts w:cs="Arial"/>
                <w:sz w:val="16"/>
                <w:szCs w:val="16"/>
                <w:lang w:val="ru-RU" w:eastAsia="ru-RU"/>
              </w:rPr>
            </w:pPr>
            <w:r w:rsidRPr="00734191">
              <w:rPr>
                <w:rFonts w:cs="Arial"/>
                <w:sz w:val="16"/>
                <w:szCs w:val="16"/>
                <w:lang w:val="ru-RU" w:eastAsia="ru-RU"/>
              </w:rPr>
              <w:t>810</w:t>
            </w:r>
          </w:p>
        </w:tc>
        <w:tc>
          <w:tcPr>
            <w:tcW w:w="2364"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сделка одобрена СД Банка</w:t>
            </w:r>
          </w:p>
        </w:tc>
      </w:tr>
      <w:tr w:rsidR="003E30CD" w:rsidRPr="00734191" w:rsidTr="003E30CD">
        <w:trPr>
          <w:trHeight w:val="450"/>
        </w:trPr>
        <w:tc>
          <w:tcPr>
            <w:tcW w:w="2983"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Депозит субординированный</w:t>
            </w:r>
          </w:p>
        </w:tc>
        <w:tc>
          <w:tcPr>
            <w:tcW w:w="2342"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расторгнут досрочно</w:t>
            </w:r>
          </w:p>
        </w:tc>
        <w:tc>
          <w:tcPr>
            <w:tcW w:w="1156" w:type="dxa"/>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sidRPr="00734191">
              <w:rPr>
                <w:rFonts w:cs="Arial"/>
                <w:sz w:val="16"/>
                <w:szCs w:val="16"/>
                <w:lang w:val="ru-RU" w:eastAsia="ru-RU"/>
              </w:rPr>
              <w:t>5 500</w:t>
            </w:r>
          </w:p>
        </w:tc>
        <w:tc>
          <w:tcPr>
            <w:tcW w:w="809" w:type="dxa"/>
            <w:shd w:val="clear" w:color="auto" w:fill="auto"/>
            <w:noWrap/>
            <w:vAlign w:val="bottom"/>
          </w:tcPr>
          <w:p w:rsidR="003E30CD" w:rsidRPr="00734191" w:rsidRDefault="003E30CD" w:rsidP="003E30CD">
            <w:pPr>
              <w:overflowPunct/>
              <w:autoSpaceDE/>
              <w:autoSpaceDN/>
              <w:adjustRightInd/>
              <w:jc w:val="center"/>
              <w:rPr>
                <w:rFonts w:cs="Arial"/>
                <w:sz w:val="16"/>
                <w:szCs w:val="16"/>
                <w:lang w:val="ru-RU" w:eastAsia="ru-RU"/>
              </w:rPr>
            </w:pPr>
            <w:r w:rsidRPr="00734191">
              <w:rPr>
                <w:rFonts w:cs="Arial"/>
                <w:sz w:val="16"/>
                <w:szCs w:val="16"/>
                <w:lang w:val="ru-RU" w:eastAsia="ru-RU"/>
              </w:rPr>
              <w:t>840</w:t>
            </w:r>
          </w:p>
        </w:tc>
        <w:tc>
          <w:tcPr>
            <w:tcW w:w="2364" w:type="dxa"/>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сделка одобрена СД Банка</w:t>
            </w:r>
          </w:p>
        </w:tc>
      </w:tr>
      <w:tr w:rsidR="003E30CD" w:rsidRPr="00734191" w:rsidTr="003E30CD">
        <w:trPr>
          <w:trHeight w:val="450"/>
        </w:trPr>
        <w:tc>
          <w:tcPr>
            <w:tcW w:w="2983" w:type="dxa"/>
            <w:tcBorders>
              <w:bottom w:val="sing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 xml:space="preserve">Кредиты </w:t>
            </w:r>
          </w:p>
        </w:tc>
        <w:tc>
          <w:tcPr>
            <w:tcW w:w="2342" w:type="dxa"/>
            <w:tcBorders>
              <w:bottom w:val="sing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продление срока</w:t>
            </w:r>
          </w:p>
        </w:tc>
        <w:tc>
          <w:tcPr>
            <w:tcW w:w="1156" w:type="dxa"/>
            <w:tcBorders>
              <w:bottom w:val="single" w:sz="4" w:space="0" w:color="auto"/>
            </w:tcBorders>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sidRPr="00734191">
              <w:rPr>
                <w:rFonts w:cs="Arial"/>
                <w:sz w:val="16"/>
                <w:szCs w:val="16"/>
                <w:lang w:val="ru-RU" w:eastAsia="ru-RU"/>
              </w:rPr>
              <w:t>50 604</w:t>
            </w:r>
          </w:p>
        </w:tc>
        <w:tc>
          <w:tcPr>
            <w:tcW w:w="809" w:type="dxa"/>
            <w:tcBorders>
              <w:bottom w:val="single" w:sz="4" w:space="0" w:color="auto"/>
            </w:tcBorders>
            <w:shd w:val="clear" w:color="auto" w:fill="auto"/>
            <w:noWrap/>
            <w:vAlign w:val="bottom"/>
          </w:tcPr>
          <w:p w:rsidR="003E30CD" w:rsidRPr="00734191" w:rsidRDefault="003E30CD" w:rsidP="003E30CD">
            <w:pPr>
              <w:overflowPunct/>
              <w:autoSpaceDE/>
              <w:autoSpaceDN/>
              <w:adjustRightInd/>
              <w:jc w:val="center"/>
              <w:rPr>
                <w:rFonts w:cs="Arial"/>
                <w:sz w:val="16"/>
                <w:szCs w:val="16"/>
                <w:lang w:val="ru-RU" w:eastAsia="ru-RU"/>
              </w:rPr>
            </w:pPr>
            <w:r w:rsidRPr="00734191">
              <w:rPr>
                <w:rFonts w:cs="Arial"/>
                <w:sz w:val="16"/>
                <w:szCs w:val="16"/>
                <w:lang w:val="ru-RU" w:eastAsia="ru-RU"/>
              </w:rPr>
              <w:t>810</w:t>
            </w:r>
          </w:p>
        </w:tc>
        <w:tc>
          <w:tcPr>
            <w:tcW w:w="2364" w:type="dxa"/>
            <w:tcBorders>
              <w:bottom w:val="sing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сделки одобрены СД Банка</w:t>
            </w:r>
          </w:p>
        </w:tc>
      </w:tr>
      <w:tr w:rsidR="003E30CD" w:rsidRPr="00734191" w:rsidTr="003E30CD">
        <w:trPr>
          <w:trHeight w:val="255"/>
        </w:trPr>
        <w:tc>
          <w:tcPr>
            <w:tcW w:w="2983"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rPr>
                <w:rFonts w:cs="Arial"/>
                <w:sz w:val="16"/>
                <w:szCs w:val="16"/>
                <w:lang w:val="ru-RU" w:eastAsia="ru-RU"/>
              </w:rPr>
            </w:pPr>
          </w:p>
        </w:tc>
        <w:tc>
          <w:tcPr>
            <w:tcW w:w="6671" w:type="dxa"/>
            <w:gridSpan w:val="4"/>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2018 год</w:t>
            </w:r>
          </w:p>
        </w:tc>
      </w:tr>
      <w:tr w:rsidR="003E30CD" w:rsidRPr="00734191" w:rsidTr="003E30CD">
        <w:trPr>
          <w:trHeight w:val="197"/>
        </w:trPr>
        <w:tc>
          <w:tcPr>
            <w:tcW w:w="2983"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вид сделки</w:t>
            </w:r>
          </w:p>
        </w:tc>
        <w:tc>
          <w:tcPr>
            <w:tcW w:w="2342"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цель</w:t>
            </w:r>
          </w:p>
        </w:tc>
        <w:tc>
          <w:tcPr>
            <w:tcW w:w="1156"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сумма</w:t>
            </w:r>
          </w:p>
        </w:tc>
        <w:tc>
          <w:tcPr>
            <w:tcW w:w="809"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валюта</w:t>
            </w:r>
          </w:p>
        </w:tc>
        <w:tc>
          <w:tcPr>
            <w:tcW w:w="2364" w:type="dxa"/>
            <w:tcBorders>
              <w:top w:val="single" w:sz="4" w:space="0" w:color="auto"/>
              <w:bottom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b/>
                <w:bCs/>
                <w:sz w:val="16"/>
                <w:szCs w:val="16"/>
                <w:lang w:val="ru-RU" w:eastAsia="ru-RU"/>
              </w:rPr>
            </w:pPr>
            <w:r w:rsidRPr="00734191">
              <w:rPr>
                <w:rFonts w:cs="Arial"/>
                <w:b/>
                <w:bCs/>
                <w:sz w:val="16"/>
                <w:szCs w:val="16"/>
                <w:lang w:val="ru-RU" w:eastAsia="ru-RU"/>
              </w:rPr>
              <w:t> </w:t>
            </w:r>
          </w:p>
        </w:tc>
      </w:tr>
      <w:tr w:rsidR="003E30CD" w:rsidRPr="00734191" w:rsidTr="003E30CD">
        <w:trPr>
          <w:trHeight w:val="255"/>
        </w:trPr>
        <w:tc>
          <w:tcPr>
            <w:tcW w:w="2983" w:type="dxa"/>
            <w:tcBorders>
              <w:top w:val="single" w:sz="4" w:space="0" w:color="auto"/>
            </w:tcBorders>
            <w:shd w:val="clear" w:color="auto" w:fill="auto"/>
            <w:vAlign w:val="bottom"/>
            <w:hideMark/>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Учреждение ООО</w:t>
            </w:r>
            <w:r>
              <w:rPr>
                <w:rFonts w:cs="Arial"/>
                <w:sz w:val="16"/>
                <w:szCs w:val="16"/>
                <w:lang w:val="ru-RU" w:eastAsia="ru-RU"/>
              </w:rPr>
              <w:t xml:space="preserve"> </w:t>
            </w:r>
            <w:r w:rsidRPr="00734191">
              <w:rPr>
                <w:rFonts w:cs="Arial"/>
                <w:sz w:val="16"/>
                <w:szCs w:val="16"/>
                <w:lang w:val="ru-RU" w:eastAsia="ru-RU"/>
              </w:rPr>
              <w:t>«Сингл» , единственный учредитель ПАО «Норвик Банк»</w:t>
            </w:r>
          </w:p>
        </w:tc>
        <w:tc>
          <w:tcPr>
            <w:tcW w:w="2342" w:type="dxa"/>
            <w:tcBorders>
              <w:top w:val="sing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прочее участие</w:t>
            </w:r>
          </w:p>
        </w:tc>
        <w:tc>
          <w:tcPr>
            <w:tcW w:w="1156" w:type="dxa"/>
            <w:tcBorders>
              <w:top w:val="single" w:sz="4" w:space="0" w:color="auto"/>
            </w:tcBorders>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sidRPr="00734191">
              <w:rPr>
                <w:rFonts w:cs="Arial"/>
                <w:sz w:val="16"/>
                <w:szCs w:val="16"/>
                <w:lang w:val="ru-RU" w:eastAsia="ru-RU"/>
              </w:rPr>
              <w:t>10</w:t>
            </w:r>
            <w:r>
              <w:rPr>
                <w:rFonts w:cs="Arial"/>
                <w:sz w:val="16"/>
                <w:szCs w:val="16"/>
                <w:lang w:val="ru-RU" w:eastAsia="ru-RU"/>
              </w:rPr>
              <w:t xml:space="preserve"> 000</w:t>
            </w:r>
            <w:r w:rsidRPr="00734191">
              <w:rPr>
                <w:rFonts w:cs="Arial"/>
                <w:sz w:val="16"/>
                <w:szCs w:val="16"/>
                <w:lang w:val="ru-RU" w:eastAsia="ru-RU"/>
              </w:rPr>
              <w:t xml:space="preserve"> </w:t>
            </w:r>
          </w:p>
        </w:tc>
        <w:tc>
          <w:tcPr>
            <w:tcW w:w="809" w:type="dxa"/>
            <w:tcBorders>
              <w:top w:val="single" w:sz="4" w:space="0" w:color="auto"/>
            </w:tcBorders>
            <w:shd w:val="clear" w:color="auto" w:fill="auto"/>
            <w:noWrap/>
            <w:vAlign w:val="bottom"/>
            <w:hideMark/>
          </w:tcPr>
          <w:p w:rsidR="003E30CD" w:rsidRPr="00734191" w:rsidRDefault="003E30CD" w:rsidP="003E30CD">
            <w:pPr>
              <w:overflowPunct/>
              <w:autoSpaceDE/>
              <w:autoSpaceDN/>
              <w:adjustRightInd/>
              <w:jc w:val="center"/>
              <w:rPr>
                <w:rFonts w:cs="Arial"/>
                <w:sz w:val="16"/>
                <w:szCs w:val="16"/>
                <w:lang w:val="ru-RU" w:eastAsia="ru-RU"/>
              </w:rPr>
            </w:pPr>
            <w:r w:rsidRPr="00734191">
              <w:rPr>
                <w:rFonts w:cs="Arial"/>
                <w:sz w:val="16"/>
                <w:szCs w:val="16"/>
                <w:lang w:val="ru-RU" w:eastAsia="ru-RU"/>
              </w:rPr>
              <w:t>810</w:t>
            </w:r>
          </w:p>
        </w:tc>
        <w:tc>
          <w:tcPr>
            <w:tcW w:w="2364" w:type="dxa"/>
            <w:tcBorders>
              <w:top w:val="single" w:sz="4" w:space="0" w:color="auto"/>
            </w:tcBorders>
            <w:shd w:val="clear" w:color="auto" w:fill="auto"/>
            <w:noWrap/>
            <w:vAlign w:val="bottom"/>
            <w:hideMark/>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сделка одобрена СД Банка</w:t>
            </w:r>
          </w:p>
        </w:tc>
      </w:tr>
      <w:tr w:rsidR="003E30CD" w:rsidRPr="00DF6D9B" w:rsidTr="003E30CD">
        <w:trPr>
          <w:trHeight w:val="255"/>
        </w:trPr>
        <w:tc>
          <w:tcPr>
            <w:tcW w:w="2983" w:type="dxa"/>
            <w:tcBorders>
              <w:bottom w:val="doub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r>
              <w:rPr>
                <w:rFonts w:cs="Arial"/>
                <w:sz w:val="16"/>
                <w:szCs w:val="16"/>
                <w:lang w:val="ru-RU" w:eastAsia="ru-RU"/>
              </w:rPr>
              <w:t>Изменение  уставного капитала ООО «Сингл»</w:t>
            </w:r>
          </w:p>
        </w:tc>
        <w:tc>
          <w:tcPr>
            <w:tcW w:w="2342" w:type="dxa"/>
            <w:tcBorders>
              <w:bottom w:val="double" w:sz="4" w:space="0" w:color="auto"/>
            </w:tcBorders>
            <w:shd w:val="clear" w:color="auto" w:fill="auto"/>
            <w:vAlign w:val="bottom"/>
          </w:tcPr>
          <w:p w:rsidR="003E30CD" w:rsidRPr="00734191" w:rsidRDefault="003E30CD" w:rsidP="003E30CD">
            <w:pPr>
              <w:overflowPunct/>
              <w:autoSpaceDE/>
              <w:autoSpaceDN/>
              <w:adjustRightInd/>
              <w:rPr>
                <w:rFonts w:cs="Arial"/>
                <w:sz w:val="16"/>
                <w:szCs w:val="16"/>
                <w:lang w:val="ru-RU" w:eastAsia="ru-RU"/>
              </w:rPr>
            </w:pPr>
          </w:p>
        </w:tc>
        <w:tc>
          <w:tcPr>
            <w:tcW w:w="1156" w:type="dxa"/>
            <w:tcBorders>
              <w:bottom w:val="double" w:sz="4" w:space="0" w:color="auto"/>
            </w:tcBorders>
            <w:shd w:val="clear" w:color="auto" w:fill="auto"/>
            <w:noWrap/>
            <w:vAlign w:val="bottom"/>
          </w:tcPr>
          <w:p w:rsidR="003E30CD" w:rsidRPr="00734191" w:rsidRDefault="003E30CD" w:rsidP="003E30CD">
            <w:pPr>
              <w:overflowPunct/>
              <w:autoSpaceDE/>
              <w:autoSpaceDN/>
              <w:adjustRightInd/>
              <w:jc w:val="right"/>
              <w:rPr>
                <w:rFonts w:cs="Arial"/>
                <w:sz w:val="16"/>
                <w:szCs w:val="16"/>
                <w:lang w:val="ru-RU" w:eastAsia="ru-RU"/>
              </w:rPr>
            </w:pPr>
            <w:r>
              <w:rPr>
                <w:rFonts w:cs="Arial"/>
                <w:sz w:val="16"/>
                <w:szCs w:val="16"/>
                <w:lang w:val="ru-RU" w:eastAsia="ru-RU"/>
              </w:rPr>
              <w:t>10</w:t>
            </w:r>
          </w:p>
        </w:tc>
        <w:tc>
          <w:tcPr>
            <w:tcW w:w="809" w:type="dxa"/>
            <w:tcBorders>
              <w:bottom w:val="double" w:sz="4" w:space="0" w:color="auto"/>
            </w:tcBorders>
            <w:shd w:val="clear" w:color="auto" w:fill="auto"/>
            <w:noWrap/>
            <w:vAlign w:val="bottom"/>
          </w:tcPr>
          <w:p w:rsidR="003E30CD" w:rsidRPr="00734191" w:rsidRDefault="003E30CD" w:rsidP="003E30CD">
            <w:pPr>
              <w:overflowPunct/>
              <w:autoSpaceDE/>
              <w:autoSpaceDN/>
              <w:adjustRightInd/>
              <w:jc w:val="center"/>
              <w:rPr>
                <w:rFonts w:cs="Arial"/>
                <w:sz w:val="16"/>
                <w:szCs w:val="16"/>
                <w:lang w:val="ru-RU" w:eastAsia="ru-RU"/>
              </w:rPr>
            </w:pPr>
            <w:r>
              <w:rPr>
                <w:rFonts w:cs="Arial"/>
                <w:sz w:val="16"/>
                <w:szCs w:val="16"/>
                <w:lang w:val="ru-RU" w:eastAsia="ru-RU"/>
              </w:rPr>
              <w:t>810</w:t>
            </w:r>
          </w:p>
        </w:tc>
        <w:tc>
          <w:tcPr>
            <w:tcW w:w="2364" w:type="dxa"/>
            <w:tcBorders>
              <w:bottom w:val="double" w:sz="4" w:space="0" w:color="auto"/>
            </w:tcBorders>
            <w:shd w:val="clear" w:color="auto" w:fill="auto"/>
            <w:noWrap/>
            <w:vAlign w:val="bottom"/>
          </w:tcPr>
          <w:p w:rsidR="003E30CD" w:rsidRPr="00734191" w:rsidRDefault="003E30CD" w:rsidP="003E30CD">
            <w:pPr>
              <w:overflowPunct/>
              <w:autoSpaceDE/>
              <w:autoSpaceDN/>
              <w:adjustRightInd/>
              <w:rPr>
                <w:rFonts w:cs="Arial"/>
                <w:sz w:val="16"/>
                <w:szCs w:val="16"/>
                <w:lang w:val="ru-RU" w:eastAsia="ru-RU"/>
              </w:rPr>
            </w:pPr>
            <w:r w:rsidRPr="00734191">
              <w:rPr>
                <w:rFonts w:cs="Arial"/>
                <w:sz w:val="16"/>
                <w:szCs w:val="16"/>
                <w:lang w:val="ru-RU" w:eastAsia="ru-RU"/>
              </w:rPr>
              <w:t>сделка одобрена СД Банка</w:t>
            </w:r>
          </w:p>
        </w:tc>
      </w:tr>
    </w:tbl>
    <w:p w:rsidR="003E30CD" w:rsidRDefault="003E30CD" w:rsidP="003E30CD">
      <w:pPr>
        <w:pStyle w:val="2normal"/>
        <w:jc w:val="both"/>
        <w:rPr>
          <w:rFonts w:cs="Arial"/>
          <w:sz w:val="20"/>
          <w:szCs w:val="20"/>
          <w:lang w:val="ru-RU"/>
        </w:rPr>
      </w:pPr>
    </w:p>
    <w:p w:rsidR="003E30CD" w:rsidRPr="00734191" w:rsidRDefault="003E30CD" w:rsidP="003E30CD">
      <w:pPr>
        <w:pStyle w:val="2normal"/>
        <w:jc w:val="both"/>
        <w:rPr>
          <w:rFonts w:cs="Arial"/>
          <w:sz w:val="20"/>
          <w:szCs w:val="20"/>
          <w:lang w:val="ru-RU"/>
        </w:rPr>
      </w:pPr>
      <w:r w:rsidRPr="00734191">
        <w:rPr>
          <w:rFonts w:cs="Arial"/>
          <w:sz w:val="20"/>
          <w:szCs w:val="20"/>
          <w:lang w:val="ru-RU"/>
        </w:rPr>
        <w:t>Операции со связанными сторонами осуществляются Банком в рамках обычных видов деятельности и не характеризуются повышенным риском непогашения в срок или прочими неблагоприятными условиями. О</w:t>
      </w:r>
      <w:r w:rsidRPr="00734191">
        <w:rPr>
          <w:rFonts w:eastAsiaTheme="minorHAnsi" w:cs="Arial"/>
          <w:sz w:val="20"/>
          <w:szCs w:val="20"/>
          <w:lang w:val="ru-RU"/>
        </w:rPr>
        <w:t>перации со связанными сторонами осуществлялись на условиях, аналогичных условиям проведения операций с независимыми сторонами.</w:t>
      </w:r>
    </w:p>
    <w:p w:rsidR="003E30CD" w:rsidRPr="00734191" w:rsidRDefault="003E30CD" w:rsidP="003E30CD">
      <w:pPr>
        <w:pStyle w:val="2normal"/>
        <w:jc w:val="both"/>
        <w:rPr>
          <w:rFonts w:cs="Arial"/>
          <w:sz w:val="20"/>
          <w:szCs w:val="20"/>
          <w:lang w:val="ru-RU"/>
        </w:rPr>
      </w:pPr>
    </w:p>
    <w:p w:rsidR="003E30CD" w:rsidRPr="00734191" w:rsidRDefault="003E30CD" w:rsidP="003E30CD">
      <w:pPr>
        <w:pStyle w:val="2normal"/>
        <w:jc w:val="both"/>
        <w:rPr>
          <w:rFonts w:cs="Arial"/>
          <w:sz w:val="20"/>
          <w:szCs w:val="20"/>
          <w:lang w:val="ru-RU"/>
        </w:rPr>
      </w:pPr>
      <w:r w:rsidRPr="00734191">
        <w:rPr>
          <w:rFonts w:cs="Arial"/>
          <w:sz w:val="20"/>
          <w:szCs w:val="20"/>
          <w:lang w:val="ru-RU"/>
        </w:rPr>
        <w:t>Процентные ставки и сроки погашения по операциям со связанными сторонами:</w:t>
      </w:r>
    </w:p>
    <w:p w:rsidR="003E30CD" w:rsidRPr="00734191" w:rsidRDefault="003E30CD" w:rsidP="003E30CD">
      <w:pPr>
        <w:pStyle w:val="2normal"/>
        <w:numPr>
          <w:ilvl w:val="0"/>
          <w:numId w:val="15"/>
        </w:numPr>
        <w:ind w:left="714" w:hanging="357"/>
        <w:jc w:val="both"/>
        <w:textAlignment w:val="auto"/>
        <w:rPr>
          <w:rFonts w:cs="Arial"/>
          <w:sz w:val="20"/>
          <w:szCs w:val="20"/>
          <w:lang w:val="ru-RU"/>
        </w:rPr>
      </w:pPr>
      <w:r w:rsidRPr="00734191">
        <w:rPr>
          <w:rFonts w:cs="Arial"/>
          <w:sz w:val="20"/>
          <w:szCs w:val="20"/>
          <w:lang w:val="ru-RU"/>
        </w:rPr>
        <w:t>кредиты в 2018 году выданы с процентной ставкой 9-12%, сроки погашения – май, июнь 2019 года, в 2017 году оформлена банковская карта с кредитным лимитом, ставка за пользование денежными средствами 16%, кредиты на потребительские нужды не выдавались</w:t>
      </w:r>
    </w:p>
    <w:p w:rsidR="003E30CD" w:rsidRPr="00734191" w:rsidRDefault="003E30CD" w:rsidP="003E30CD">
      <w:pPr>
        <w:pStyle w:val="2normal"/>
        <w:numPr>
          <w:ilvl w:val="0"/>
          <w:numId w:val="15"/>
        </w:numPr>
        <w:ind w:left="714" w:hanging="357"/>
        <w:jc w:val="both"/>
        <w:textAlignment w:val="auto"/>
        <w:rPr>
          <w:rFonts w:cs="Arial"/>
          <w:sz w:val="20"/>
          <w:szCs w:val="20"/>
          <w:lang w:val="ru-RU"/>
        </w:rPr>
      </w:pPr>
      <w:r w:rsidRPr="00734191">
        <w:rPr>
          <w:rFonts w:cs="Arial"/>
          <w:sz w:val="20"/>
          <w:szCs w:val="20"/>
          <w:lang w:val="ru-RU"/>
        </w:rPr>
        <w:t xml:space="preserve">депозиты юридических лиц в 2018-2017 годах не привлекались </w:t>
      </w:r>
    </w:p>
    <w:p w:rsidR="003E30CD" w:rsidRPr="00734191" w:rsidRDefault="003E30CD" w:rsidP="003E30CD">
      <w:pPr>
        <w:pStyle w:val="2normal"/>
        <w:numPr>
          <w:ilvl w:val="0"/>
          <w:numId w:val="15"/>
        </w:numPr>
        <w:ind w:left="714" w:hanging="357"/>
        <w:jc w:val="both"/>
        <w:textAlignment w:val="auto"/>
        <w:rPr>
          <w:rFonts w:cs="Arial"/>
          <w:sz w:val="20"/>
          <w:szCs w:val="20"/>
          <w:lang w:val="ru-RU"/>
        </w:rPr>
      </w:pPr>
      <w:r w:rsidRPr="00734191">
        <w:rPr>
          <w:rFonts w:cs="Arial"/>
          <w:sz w:val="20"/>
          <w:szCs w:val="20"/>
          <w:lang w:val="ru-RU"/>
        </w:rPr>
        <w:t>субординированный займ: процентная ставка - 12%, погашен досрочно – 1 августа 2017 года</w:t>
      </w:r>
    </w:p>
    <w:p w:rsidR="003E30CD" w:rsidRPr="00734191" w:rsidRDefault="003E30CD" w:rsidP="003E30CD">
      <w:pPr>
        <w:pStyle w:val="2normal"/>
        <w:numPr>
          <w:ilvl w:val="0"/>
          <w:numId w:val="15"/>
        </w:numPr>
        <w:ind w:left="714" w:hanging="357"/>
        <w:jc w:val="both"/>
        <w:textAlignment w:val="auto"/>
        <w:rPr>
          <w:rFonts w:cs="Arial"/>
          <w:b/>
          <w:bCs/>
          <w:sz w:val="20"/>
          <w:szCs w:val="20"/>
          <w:lang w:val="ru-RU" w:eastAsia="ru-RU"/>
        </w:rPr>
      </w:pPr>
      <w:r w:rsidRPr="00734191">
        <w:rPr>
          <w:rFonts w:cs="Arial"/>
          <w:sz w:val="20"/>
          <w:szCs w:val="20"/>
          <w:lang w:val="ru-RU"/>
        </w:rPr>
        <w:t>в 2018 году вклады привлекались на стандартных условиях «срочные» ставка 4% на срок до июня 2019 года, в 2017 году - на условиях «до востребования» и процентной ставкой 0,001%</w:t>
      </w:r>
    </w:p>
    <w:p w:rsidR="003E30CD" w:rsidRDefault="003E30CD" w:rsidP="003E30CD">
      <w:pPr>
        <w:pStyle w:val="2normal"/>
        <w:ind w:left="714"/>
        <w:jc w:val="both"/>
        <w:rPr>
          <w:rFonts w:cs="Arial"/>
          <w:b/>
          <w:bCs/>
          <w:sz w:val="20"/>
          <w:szCs w:val="20"/>
          <w:lang w:val="ru-RU" w:eastAsia="ru-RU"/>
        </w:rPr>
      </w:pPr>
    </w:p>
    <w:p w:rsidR="003D5AC4" w:rsidRDefault="003D5AC4" w:rsidP="003E30CD">
      <w:pPr>
        <w:pStyle w:val="2normal"/>
        <w:ind w:left="714"/>
        <w:jc w:val="both"/>
        <w:rPr>
          <w:rFonts w:cs="Arial"/>
          <w:b/>
          <w:bCs/>
          <w:sz w:val="20"/>
          <w:szCs w:val="20"/>
          <w:lang w:val="ru-RU" w:eastAsia="ru-RU"/>
        </w:rPr>
      </w:pPr>
    </w:p>
    <w:p w:rsidR="003D5AC4" w:rsidRDefault="003D5AC4" w:rsidP="003E30CD">
      <w:pPr>
        <w:pStyle w:val="2normal"/>
        <w:ind w:left="714"/>
        <w:jc w:val="both"/>
        <w:rPr>
          <w:rFonts w:cs="Arial"/>
          <w:b/>
          <w:bCs/>
          <w:sz w:val="20"/>
          <w:szCs w:val="20"/>
          <w:lang w:val="ru-RU" w:eastAsia="ru-RU"/>
        </w:rPr>
      </w:pPr>
    </w:p>
    <w:p w:rsidR="003D5AC4" w:rsidRDefault="003D5AC4" w:rsidP="003E30CD">
      <w:pPr>
        <w:pStyle w:val="2normal"/>
        <w:ind w:left="714"/>
        <w:jc w:val="both"/>
        <w:rPr>
          <w:rFonts w:cs="Arial"/>
          <w:b/>
          <w:bCs/>
          <w:sz w:val="20"/>
          <w:szCs w:val="20"/>
          <w:lang w:val="ru-RU" w:eastAsia="ru-RU"/>
        </w:rPr>
      </w:pPr>
    </w:p>
    <w:p w:rsidR="003D5AC4" w:rsidRPr="00734191" w:rsidRDefault="003D5AC4" w:rsidP="003E30CD">
      <w:pPr>
        <w:pStyle w:val="2normal"/>
        <w:ind w:left="714"/>
        <w:jc w:val="both"/>
        <w:rPr>
          <w:rFonts w:cs="Arial"/>
          <w:b/>
          <w:bCs/>
          <w:sz w:val="20"/>
          <w:szCs w:val="20"/>
          <w:lang w:val="ru-RU" w:eastAsia="ru-RU"/>
        </w:rPr>
      </w:pPr>
    </w:p>
    <w:p w:rsidR="003E30CD" w:rsidRPr="00734191" w:rsidRDefault="003E30CD" w:rsidP="003E30CD">
      <w:pPr>
        <w:rPr>
          <w:rFonts w:cs="Arial"/>
          <w:b/>
          <w:bCs/>
          <w:sz w:val="20"/>
          <w:szCs w:val="20"/>
          <w:lang w:val="ru-RU" w:eastAsia="ru-RU"/>
        </w:rPr>
      </w:pPr>
      <w:r w:rsidRPr="00734191">
        <w:rPr>
          <w:rFonts w:cs="Arial"/>
          <w:b/>
          <w:bCs/>
          <w:sz w:val="20"/>
          <w:szCs w:val="20"/>
          <w:lang w:val="ru-RU" w:eastAsia="ru-RU"/>
        </w:rPr>
        <w:lastRenderedPageBreak/>
        <w:t>Сведения о доходах и расходах от операций (сделок) со связанными сторонами:</w:t>
      </w:r>
    </w:p>
    <w:p w:rsidR="003E30CD" w:rsidRPr="00734191" w:rsidRDefault="003E30CD" w:rsidP="003E30CD">
      <w:pPr>
        <w:rPr>
          <w:rFonts w:cs="Arial"/>
          <w:b/>
          <w:bCs/>
          <w:sz w:val="20"/>
          <w:szCs w:val="20"/>
          <w:lang w:val="ru-RU" w:eastAsia="ru-RU"/>
        </w:rPr>
      </w:pPr>
    </w:p>
    <w:tbl>
      <w:tblPr>
        <w:tblW w:w="10073" w:type="dxa"/>
        <w:tblInd w:w="-34" w:type="dxa"/>
        <w:tblLayout w:type="fixed"/>
        <w:tblLook w:val="04A0" w:firstRow="1" w:lastRow="0" w:firstColumn="1" w:lastColumn="0" w:noHBand="0" w:noVBand="1"/>
      </w:tblPr>
      <w:tblGrid>
        <w:gridCol w:w="2552"/>
        <w:gridCol w:w="709"/>
        <w:gridCol w:w="992"/>
        <w:gridCol w:w="709"/>
        <w:gridCol w:w="850"/>
        <w:gridCol w:w="709"/>
        <w:gridCol w:w="851"/>
        <w:gridCol w:w="992"/>
        <w:gridCol w:w="992"/>
        <w:gridCol w:w="717"/>
      </w:tblGrid>
      <w:tr w:rsidR="003E30CD" w:rsidRPr="00734191" w:rsidTr="003E30CD">
        <w:trPr>
          <w:trHeight w:val="255"/>
        </w:trPr>
        <w:tc>
          <w:tcPr>
            <w:tcW w:w="2552" w:type="dxa"/>
            <w:tcBorders>
              <w:top w:val="single" w:sz="4" w:space="0" w:color="auto"/>
            </w:tcBorders>
            <w:shd w:val="clear" w:color="auto" w:fill="auto"/>
            <w:vAlign w:val="bottom"/>
            <w:hideMark/>
          </w:tcPr>
          <w:p w:rsidR="003E30CD" w:rsidRPr="00734191" w:rsidRDefault="003E30CD" w:rsidP="003E30CD">
            <w:pPr>
              <w:overflowPunct/>
              <w:autoSpaceDE/>
              <w:autoSpaceDN/>
              <w:adjustRightInd/>
              <w:jc w:val="both"/>
              <w:rPr>
                <w:rFonts w:cs="Arial"/>
                <w:sz w:val="14"/>
                <w:szCs w:val="14"/>
                <w:lang w:val="ru-RU" w:eastAsia="ru-RU"/>
              </w:rPr>
            </w:pPr>
          </w:p>
        </w:tc>
        <w:tc>
          <w:tcPr>
            <w:tcW w:w="3969" w:type="dxa"/>
            <w:gridSpan w:val="5"/>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2018 год</w:t>
            </w:r>
          </w:p>
        </w:tc>
        <w:tc>
          <w:tcPr>
            <w:tcW w:w="3552" w:type="dxa"/>
            <w:gridSpan w:val="4"/>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2017 год</w:t>
            </w:r>
          </w:p>
        </w:tc>
      </w:tr>
      <w:tr w:rsidR="003E30CD" w:rsidRPr="00734191" w:rsidTr="003E30CD">
        <w:trPr>
          <w:trHeight w:val="609"/>
        </w:trPr>
        <w:tc>
          <w:tcPr>
            <w:tcW w:w="2552" w:type="dxa"/>
            <w:tcBorders>
              <w:bottom w:val="single" w:sz="4" w:space="0" w:color="auto"/>
            </w:tcBorders>
            <w:shd w:val="clear" w:color="auto" w:fill="auto"/>
            <w:vAlign w:val="bottom"/>
            <w:hideMark/>
          </w:tcPr>
          <w:p w:rsidR="003E30CD" w:rsidRPr="00734191" w:rsidRDefault="003E30CD" w:rsidP="003E30CD">
            <w:pPr>
              <w:overflowPunct/>
              <w:autoSpaceDE/>
              <w:autoSpaceDN/>
              <w:adjustRightInd/>
              <w:jc w:val="both"/>
              <w:rPr>
                <w:rFonts w:cs="Arial"/>
                <w:sz w:val="14"/>
                <w:szCs w:val="14"/>
                <w:lang w:val="ru-RU" w:eastAsia="ru-RU"/>
              </w:rPr>
            </w:pPr>
          </w:p>
        </w:tc>
        <w:tc>
          <w:tcPr>
            <w:tcW w:w="709"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Акцио</w:t>
            </w:r>
          </w:p>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неры</w:t>
            </w:r>
          </w:p>
        </w:tc>
        <w:tc>
          <w:tcPr>
            <w:tcW w:w="992"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Компании под общим контролем</w:t>
            </w:r>
          </w:p>
        </w:tc>
        <w:tc>
          <w:tcPr>
            <w:tcW w:w="709" w:type="dxa"/>
            <w:tcBorders>
              <w:top w:val="single" w:sz="4" w:space="0" w:color="auto"/>
              <w:bottom w:val="single" w:sz="4" w:space="0" w:color="auto"/>
            </w:tcBorders>
            <w:shd w:val="clear" w:color="auto" w:fill="auto"/>
            <w:vAlign w:val="bottom"/>
          </w:tcPr>
          <w:p w:rsidR="003E30CD" w:rsidRPr="00734191" w:rsidRDefault="003E30CD" w:rsidP="003E30CD">
            <w:pPr>
              <w:overflowPunct/>
              <w:jc w:val="center"/>
              <w:rPr>
                <w:rFonts w:eastAsiaTheme="minorHAnsi" w:cs="Arial"/>
                <w:b/>
                <w:bCs/>
                <w:sz w:val="12"/>
                <w:szCs w:val="12"/>
                <w:lang w:val="ru-RU"/>
              </w:rPr>
            </w:pPr>
            <w:r w:rsidRPr="00734191">
              <w:rPr>
                <w:rFonts w:eastAsiaTheme="minorHAnsi" w:cs="Arial"/>
                <w:b/>
                <w:bCs/>
                <w:sz w:val="12"/>
                <w:szCs w:val="12"/>
                <w:lang w:val="ru-RU"/>
              </w:rPr>
              <w:t>Ассоциирован</w:t>
            </w:r>
          </w:p>
          <w:p w:rsidR="003E30CD" w:rsidRPr="00734191" w:rsidRDefault="003E30CD" w:rsidP="003E30CD">
            <w:pPr>
              <w:overflowPunct/>
              <w:jc w:val="center"/>
              <w:rPr>
                <w:rFonts w:eastAsiaTheme="minorHAnsi" w:cs="Arial"/>
                <w:b/>
                <w:bCs/>
                <w:sz w:val="12"/>
                <w:szCs w:val="12"/>
                <w:lang w:val="ru-RU"/>
              </w:rPr>
            </w:pPr>
            <w:r w:rsidRPr="00734191">
              <w:rPr>
                <w:rFonts w:eastAsiaTheme="minorHAnsi" w:cs="Arial"/>
                <w:b/>
                <w:bCs/>
                <w:sz w:val="12"/>
                <w:szCs w:val="12"/>
                <w:lang w:val="ru-RU"/>
              </w:rPr>
              <w:t>ные</w:t>
            </w:r>
          </w:p>
        </w:tc>
        <w:tc>
          <w:tcPr>
            <w:tcW w:w="850"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Ключевой управлен</w:t>
            </w:r>
          </w:p>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ческий персонал</w:t>
            </w:r>
          </w:p>
        </w:tc>
        <w:tc>
          <w:tcPr>
            <w:tcW w:w="709"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Итого</w:t>
            </w:r>
          </w:p>
        </w:tc>
        <w:tc>
          <w:tcPr>
            <w:tcW w:w="851"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Акцио</w:t>
            </w:r>
          </w:p>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неры</w:t>
            </w:r>
          </w:p>
        </w:tc>
        <w:tc>
          <w:tcPr>
            <w:tcW w:w="992"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Компании под общим контролем</w:t>
            </w:r>
          </w:p>
        </w:tc>
        <w:tc>
          <w:tcPr>
            <w:tcW w:w="992"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Ключевой управлен</w:t>
            </w:r>
          </w:p>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ческий персонал</w:t>
            </w:r>
          </w:p>
        </w:tc>
        <w:tc>
          <w:tcPr>
            <w:tcW w:w="717" w:type="dxa"/>
            <w:tcBorders>
              <w:top w:val="single" w:sz="4" w:space="0" w:color="auto"/>
              <w:bottom w:val="single" w:sz="4" w:space="0" w:color="auto"/>
            </w:tcBorders>
            <w:shd w:val="clear" w:color="auto" w:fill="auto"/>
            <w:vAlign w:val="bottom"/>
            <w:hideMark/>
          </w:tcPr>
          <w:p w:rsidR="003E30CD" w:rsidRPr="00734191" w:rsidRDefault="003E30CD" w:rsidP="003E30CD">
            <w:pPr>
              <w:overflowPunct/>
              <w:autoSpaceDE/>
              <w:autoSpaceDN/>
              <w:adjustRightInd/>
              <w:jc w:val="center"/>
              <w:rPr>
                <w:rFonts w:cs="Arial"/>
                <w:b/>
                <w:bCs/>
                <w:sz w:val="12"/>
                <w:szCs w:val="12"/>
                <w:lang w:val="ru-RU" w:eastAsia="ru-RU"/>
              </w:rPr>
            </w:pPr>
            <w:r w:rsidRPr="00734191">
              <w:rPr>
                <w:rFonts w:cs="Arial"/>
                <w:b/>
                <w:bCs/>
                <w:sz w:val="12"/>
                <w:szCs w:val="12"/>
                <w:lang w:val="ru-RU" w:eastAsia="ru-RU"/>
              </w:rPr>
              <w:t>Итого</w:t>
            </w:r>
          </w:p>
        </w:tc>
      </w:tr>
      <w:tr w:rsidR="003E30CD" w:rsidRPr="00734191" w:rsidTr="003E30CD">
        <w:trPr>
          <w:trHeight w:val="180"/>
        </w:trPr>
        <w:tc>
          <w:tcPr>
            <w:tcW w:w="2552" w:type="dxa"/>
            <w:tcBorders>
              <w:top w:val="single" w:sz="4" w:space="0" w:color="auto"/>
            </w:tcBorders>
            <w:shd w:val="clear" w:color="auto" w:fill="auto"/>
            <w:vAlign w:val="bottom"/>
          </w:tcPr>
          <w:p w:rsidR="003E30CD" w:rsidRPr="00734191" w:rsidRDefault="003E30CD" w:rsidP="003E30CD">
            <w:pPr>
              <w:overflowPunct/>
              <w:autoSpaceDE/>
              <w:autoSpaceDN/>
              <w:adjustRightInd/>
              <w:jc w:val="both"/>
              <w:rPr>
                <w:rFonts w:cs="Arial"/>
                <w:b/>
                <w:bCs/>
                <w:sz w:val="14"/>
                <w:szCs w:val="14"/>
                <w:lang w:val="ru-RU" w:eastAsia="ru-RU"/>
              </w:rPr>
            </w:pPr>
            <w:r w:rsidRPr="00734191">
              <w:rPr>
                <w:rFonts w:cs="Arial"/>
                <w:b/>
                <w:bCs/>
                <w:sz w:val="14"/>
                <w:szCs w:val="14"/>
                <w:lang w:val="ru-RU" w:eastAsia="ru-RU"/>
              </w:rPr>
              <w:t>Процентные доходы, в т.ч.</w:t>
            </w:r>
          </w:p>
        </w:tc>
        <w:tc>
          <w:tcPr>
            <w:tcW w:w="709"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4 422</w:t>
            </w:r>
          </w:p>
        </w:tc>
        <w:tc>
          <w:tcPr>
            <w:tcW w:w="992"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2</w:t>
            </w:r>
          </w:p>
        </w:tc>
        <w:tc>
          <w:tcPr>
            <w:tcW w:w="709"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850"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720</w:t>
            </w:r>
          </w:p>
        </w:tc>
        <w:tc>
          <w:tcPr>
            <w:tcW w:w="709"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5 144</w:t>
            </w:r>
          </w:p>
        </w:tc>
        <w:tc>
          <w:tcPr>
            <w:tcW w:w="851"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5 943</w:t>
            </w:r>
          </w:p>
        </w:tc>
        <w:tc>
          <w:tcPr>
            <w:tcW w:w="992"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18</w:t>
            </w:r>
            <w:r w:rsidRPr="00734191">
              <w:rPr>
                <w:rFonts w:cs="Arial"/>
                <w:b/>
                <w:bCs/>
                <w:sz w:val="14"/>
                <w:szCs w:val="14"/>
                <w:lang w:val="en-US" w:eastAsia="ru-RU"/>
              </w:rPr>
              <w:t>4</w:t>
            </w:r>
          </w:p>
        </w:tc>
        <w:tc>
          <w:tcPr>
            <w:tcW w:w="992"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 xml:space="preserve">1 </w:t>
            </w:r>
            <w:r w:rsidRPr="00734191">
              <w:rPr>
                <w:rFonts w:cs="Arial"/>
                <w:b/>
                <w:bCs/>
                <w:sz w:val="14"/>
                <w:szCs w:val="14"/>
                <w:lang w:val="en-US" w:eastAsia="ru-RU"/>
              </w:rPr>
              <w:t>531</w:t>
            </w:r>
          </w:p>
        </w:tc>
        <w:tc>
          <w:tcPr>
            <w:tcW w:w="717" w:type="dxa"/>
            <w:tcBorders>
              <w:top w:val="sing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en-US" w:eastAsia="ru-RU"/>
              </w:rPr>
              <w:t>7 658</w:t>
            </w:r>
            <w:r w:rsidRPr="00734191">
              <w:rPr>
                <w:rFonts w:cs="Arial"/>
                <w:b/>
                <w:bCs/>
                <w:sz w:val="14"/>
                <w:szCs w:val="14"/>
                <w:lang w:val="ru-RU" w:eastAsia="ru-RU"/>
              </w:rPr>
              <w:t xml:space="preserve">  </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по кредитам</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4 422</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2</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720</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5 942</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18</w:t>
            </w:r>
            <w:r w:rsidRPr="00734191">
              <w:rPr>
                <w:rFonts w:cs="Arial"/>
                <w:sz w:val="14"/>
                <w:szCs w:val="14"/>
                <w:lang w:val="en-US" w:eastAsia="ru-RU"/>
              </w:rPr>
              <w:t>4</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 xml:space="preserve">1 </w:t>
            </w:r>
            <w:r w:rsidRPr="00734191">
              <w:rPr>
                <w:rFonts w:cs="Arial"/>
                <w:sz w:val="14"/>
                <w:szCs w:val="14"/>
                <w:lang w:val="en-US" w:eastAsia="ru-RU"/>
              </w:rPr>
              <w:t>531</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вложения в ценные бумаги</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b/>
                <w:bCs/>
                <w:sz w:val="14"/>
                <w:szCs w:val="14"/>
                <w:lang w:val="ru-RU" w:eastAsia="ru-RU"/>
              </w:rPr>
            </w:pPr>
            <w:r w:rsidRPr="00734191">
              <w:rPr>
                <w:rFonts w:cs="Arial"/>
                <w:b/>
                <w:bCs/>
                <w:sz w:val="14"/>
                <w:szCs w:val="14"/>
                <w:lang w:val="ru-RU" w:eastAsia="ru-RU"/>
              </w:rPr>
              <w:t>Процентные расходы, в т.ч</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23</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319</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335</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677</w:t>
            </w: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118</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 xml:space="preserve">25 </w:t>
            </w:r>
            <w:r w:rsidRPr="00734191">
              <w:rPr>
                <w:rFonts w:cs="Arial"/>
                <w:b/>
                <w:bCs/>
                <w:sz w:val="14"/>
                <w:szCs w:val="14"/>
                <w:lang w:val="en-US" w:eastAsia="ru-RU"/>
              </w:rPr>
              <w:t>856</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22</w:t>
            </w:r>
            <w:r w:rsidRPr="00734191">
              <w:rPr>
                <w:rFonts w:cs="Arial"/>
                <w:b/>
                <w:bCs/>
                <w:sz w:val="14"/>
                <w:szCs w:val="14"/>
                <w:lang w:val="en-US" w:eastAsia="ru-RU"/>
              </w:rPr>
              <w:t>0</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 xml:space="preserve">26 </w:t>
            </w:r>
            <w:r w:rsidRPr="00734191">
              <w:rPr>
                <w:rFonts w:cs="Arial"/>
                <w:b/>
                <w:bCs/>
                <w:sz w:val="14"/>
                <w:szCs w:val="14"/>
                <w:lang w:val="en-US" w:eastAsia="ru-RU"/>
              </w:rPr>
              <w:t>194</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по депозитам</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296</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25 562</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1</w:t>
            </w:r>
            <w:r w:rsidRPr="00734191">
              <w:rPr>
                <w:rFonts w:cs="Arial"/>
                <w:sz w:val="14"/>
                <w:szCs w:val="14"/>
                <w:lang w:val="en-US" w:eastAsia="ru-RU"/>
              </w:rPr>
              <w:t>15</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по выпущенным долговым обязательствам</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b/>
                <w:bCs/>
                <w:sz w:val="14"/>
                <w:szCs w:val="14"/>
                <w:lang w:val="ru-RU" w:eastAsia="ru-RU"/>
              </w:rPr>
            </w:pPr>
            <w:r w:rsidRPr="00734191">
              <w:rPr>
                <w:rFonts w:cs="Arial"/>
                <w:b/>
                <w:bCs/>
                <w:sz w:val="14"/>
                <w:szCs w:val="14"/>
                <w:lang w:val="ru-RU" w:eastAsia="ru-RU"/>
              </w:rPr>
              <w:t xml:space="preserve">Чистые доходы/расходы: </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от операций с иностранной валютой</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39</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188</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r w:rsidRPr="00734191">
              <w:rPr>
                <w:rFonts w:cs="Arial"/>
                <w:sz w:val="14"/>
                <w:szCs w:val="14"/>
                <w:lang w:val="en-US" w:eastAsia="ru-RU"/>
              </w:rPr>
              <w:t>258</w:t>
            </w: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r w:rsidRPr="00734191">
              <w:rPr>
                <w:rFonts w:cs="Arial"/>
                <w:b/>
                <w:bCs/>
                <w:sz w:val="14"/>
                <w:szCs w:val="14"/>
                <w:lang w:val="en-US" w:eastAsia="ru-RU"/>
              </w:rPr>
              <w:t>31)</w:t>
            </w: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83</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308</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135</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en-US" w:eastAsia="ru-RU"/>
              </w:rPr>
              <w:t>526</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от участия в уставном капитале юридических лиц</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rPr>
                <w:rFonts w:cs="Arial"/>
                <w:sz w:val="14"/>
                <w:szCs w:val="14"/>
                <w:lang w:val="ru-RU" w:eastAsia="ru-RU"/>
              </w:rPr>
            </w:pPr>
            <w:r w:rsidRPr="00734191">
              <w:rPr>
                <w:rFonts w:cs="Arial"/>
                <w:sz w:val="14"/>
                <w:szCs w:val="14"/>
                <w:lang w:val="ru-RU" w:eastAsia="ru-RU"/>
              </w:rPr>
              <w:t>- от операций с финансовыми активами</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Создание/восстановление резерва на возможные потери по кредитам</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166</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2</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(93)</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75</w:t>
            </w: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71</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82</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153</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306</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rPr>
                <w:rFonts w:cs="Arial"/>
                <w:b/>
                <w:bCs/>
                <w:sz w:val="14"/>
                <w:szCs w:val="14"/>
                <w:lang w:val="ru-RU" w:eastAsia="ru-RU"/>
              </w:rPr>
            </w:pPr>
            <w:r w:rsidRPr="00734191">
              <w:rPr>
                <w:rFonts w:cs="Arial"/>
                <w:b/>
                <w:bCs/>
                <w:sz w:val="14"/>
                <w:szCs w:val="14"/>
                <w:lang w:val="ru-RU" w:eastAsia="ru-RU"/>
              </w:rPr>
              <w:t>Создание/восстановление резерва на возможные потери по условным обязательствам кредитного характера и прочим активам</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30</w:t>
            </w:r>
          </w:p>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67</w:t>
            </w:r>
          </w:p>
          <w:p w:rsidR="003E30CD" w:rsidRPr="00734191" w:rsidRDefault="003E30CD" w:rsidP="003E30CD">
            <w:pPr>
              <w:overflowPunct/>
              <w:autoSpaceDE/>
              <w:autoSpaceDN/>
              <w:adjustRightInd/>
              <w:jc w:val="center"/>
              <w:rPr>
                <w:rFonts w:cs="Arial"/>
                <w:b/>
                <w:bCs/>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p w:rsidR="003E30CD" w:rsidRPr="00734191" w:rsidRDefault="003E30CD" w:rsidP="003E30CD">
            <w:pPr>
              <w:overflowPunct/>
              <w:autoSpaceDE/>
              <w:autoSpaceDN/>
              <w:adjustRightInd/>
              <w:jc w:val="center"/>
              <w:rPr>
                <w:rFonts w:cs="Arial"/>
                <w:b/>
                <w:bCs/>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27</w:t>
            </w:r>
          </w:p>
          <w:p w:rsidR="003E30CD" w:rsidRPr="00734191" w:rsidRDefault="003E30CD" w:rsidP="003E30CD">
            <w:pPr>
              <w:overflowPunct/>
              <w:autoSpaceDE/>
              <w:autoSpaceDN/>
              <w:adjustRightInd/>
              <w:jc w:val="center"/>
              <w:rPr>
                <w:rFonts w:cs="Arial"/>
                <w:b/>
                <w:bCs/>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124</w:t>
            </w:r>
          </w:p>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35</w:t>
            </w:r>
          </w:p>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(52)</w:t>
            </w:r>
          </w:p>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w:t>
            </w:r>
          </w:p>
          <w:p w:rsidR="003E30CD" w:rsidRPr="00734191" w:rsidRDefault="003E30CD" w:rsidP="003E30CD">
            <w:pPr>
              <w:overflowPunct/>
              <w:autoSpaceDE/>
              <w:autoSpaceDN/>
              <w:adjustRightInd/>
              <w:jc w:val="center"/>
              <w:rPr>
                <w:rFonts w:cs="Arial"/>
                <w:b/>
                <w:bCs/>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(16)</w:t>
            </w:r>
          </w:p>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rPr>
                <w:rFonts w:cs="Arial"/>
                <w:b/>
                <w:bCs/>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b/>
                <w:bCs/>
                <w:sz w:val="14"/>
                <w:szCs w:val="14"/>
                <w:lang w:val="ru-RU" w:eastAsia="ru-RU"/>
              </w:rPr>
            </w:pPr>
            <w:r w:rsidRPr="00734191">
              <w:rPr>
                <w:rFonts w:cs="Arial"/>
                <w:b/>
                <w:bCs/>
                <w:sz w:val="14"/>
                <w:szCs w:val="14"/>
                <w:lang w:val="ru-RU" w:eastAsia="ru-RU"/>
              </w:rPr>
              <w:t>Операционные доходы, в т.ч.</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11</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3 116</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171</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3 298</w:t>
            </w: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94</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203</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74</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371</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комиссионные</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11</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3 116</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171</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93</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203</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74</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прочие</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0</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b/>
                <w:bCs/>
                <w:sz w:val="14"/>
                <w:szCs w:val="14"/>
                <w:lang w:val="ru-RU" w:eastAsia="ru-RU"/>
              </w:rPr>
            </w:pPr>
            <w:r w:rsidRPr="00734191">
              <w:rPr>
                <w:rFonts w:cs="Arial"/>
                <w:b/>
                <w:bCs/>
                <w:sz w:val="14"/>
                <w:szCs w:val="14"/>
                <w:lang w:val="ru-RU" w:eastAsia="ru-RU"/>
              </w:rPr>
              <w:t>Операционные расходы, в т.ч.</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0</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112</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1 154</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en-US" w:eastAsia="ru-RU"/>
              </w:rPr>
              <w:t>1 266</w:t>
            </w:r>
          </w:p>
        </w:tc>
        <w:tc>
          <w:tcPr>
            <w:tcW w:w="851"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en-US" w:eastAsia="ru-RU"/>
              </w:rPr>
            </w:pPr>
            <w:r w:rsidRPr="00734191">
              <w:rPr>
                <w:rFonts w:cs="Arial"/>
                <w:b/>
                <w:bCs/>
                <w:sz w:val="14"/>
                <w:szCs w:val="14"/>
                <w:lang w:val="ru-RU" w:eastAsia="ru-RU"/>
              </w:rPr>
              <w:t>2</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301</w:t>
            </w:r>
          </w:p>
        </w:tc>
        <w:tc>
          <w:tcPr>
            <w:tcW w:w="992"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697</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en-US" w:eastAsia="ru-RU"/>
              </w:rPr>
              <w:t xml:space="preserve">1 </w:t>
            </w:r>
            <w:r w:rsidRPr="00734191">
              <w:rPr>
                <w:rFonts w:cs="Arial"/>
                <w:b/>
                <w:bCs/>
                <w:sz w:val="14"/>
                <w:szCs w:val="14"/>
                <w:lang w:val="ru-RU" w:eastAsia="ru-RU"/>
              </w:rPr>
              <w:t>000</w:t>
            </w:r>
          </w:p>
        </w:tc>
      </w:tr>
      <w:tr w:rsidR="003E30CD" w:rsidRPr="00734191" w:rsidTr="003E30CD">
        <w:trPr>
          <w:trHeight w:val="180"/>
        </w:trPr>
        <w:tc>
          <w:tcPr>
            <w:tcW w:w="2552" w:type="dxa"/>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комиссионные</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1</w:t>
            </w:r>
          </w:p>
        </w:tc>
        <w:tc>
          <w:tcPr>
            <w:tcW w:w="709"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5</w:t>
            </w:r>
          </w:p>
        </w:tc>
        <w:tc>
          <w:tcPr>
            <w:tcW w:w="709"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c>
          <w:tcPr>
            <w:tcW w:w="851" w:type="dxa"/>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2</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ru-RU" w:eastAsia="ru-RU"/>
              </w:rPr>
              <w:t>1</w:t>
            </w:r>
          </w:p>
        </w:tc>
        <w:tc>
          <w:tcPr>
            <w:tcW w:w="992" w:type="dxa"/>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10</w:t>
            </w:r>
          </w:p>
        </w:tc>
        <w:tc>
          <w:tcPr>
            <w:tcW w:w="717" w:type="dxa"/>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p>
        </w:tc>
      </w:tr>
      <w:tr w:rsidR="003E30CD" w:rsidRPr="00734191" w:rsidTr="003E30CD">
        <w:trPr>
          <w:trHeight w:val="180"/>
        </w:trPr>
        <w:tc>
          <w:tcPr>
            <w:tcW w:w="2552" w:type="dxa"/>
            <w:tcBorders>
              <w:bottom w:val="double" w:sz="4" w:space="0" w:color="auto"/>
            </w:tcBorders>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r w:rsidRPr="00734191">
              <w:rPr>
                <w:rFonts w:cs="Arial"/>
                <w:sz w:val="14"/>
                <w:szCs w:val="14"/>
                <w:lang w:val="ru-RU" w:eastAsia="ru-RU"/>
              </w:rPr>
              <w:t>- прочие</w:t>
            </w:r>
          </w:p>
        </w:tc>
        <w:tc>
          <w:tcPr>
            <w:tcW w:w="709"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111</w:t>
            </w:r>
          </w:p>
        </w:tc>
        <w:tc>
          <w:tcPr>
            <w:tcW w:w="709"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850"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1 149</w:t>
            </w:r>
          </w:p>
        </w:tc>
        <w:tc>
          <w:tcPr>
            <w:tcW w:w="709"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 </w:t>
            </w:r>
          </w:p>
        </w:tc>
        <w:tc>
          <w:tcPr>
            <w:tcW w:w="851"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w:t>
            </w:r>
          </w:p>
        </w:tc>
        <w:tc>
          <w:tcPr>
            <w:tcW w:w="992"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en-US" w:eastAsia="ru-RU"/>
              </w:rPr>
            </w:pPr>
            <w:r w:rsidRPr="00734191">
              <w:rPr>
                <w:rFonts w:cs="Arial"/>
                <w:sz w:val="14"/>
                <w:szCs w:val="14"/>
                <w:lang w:val="en-US" w:eastAsia="ru-RU"/>
              </w:rPr>
              <w:t>300</w:t>
            </w:r>
          </w:p>
        </w:tc>
        <w:tc>
          <w:tcPr>
            <w:tcW w:w="992"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sz w:val="14"/>
                <w:szCs w:val="14"/>
                <w:lang w:val="ru-RU" w:eastAsia="ru-RU"/>
              </w:rPr>
            </w:pPr>
            <w:r w:rsidRPr="00734191">
              <w:rPr>
                <w:rFonts w:cs="Arial"/>
                <w:sz w:val="14"/>
                <w:szCs w:val="14"/>
                <w:lang w:val="ru-RU" w:eastAsia="ru-RU"/>
              </w:rPr>
              <w:t>687</w:t>
            </w:r>
          </w:p>
        </w:tc>
        <w:tc>
          <w:tcPr>
            <w:tcW w:w="717" w:type="dxa"/>
            <w:tcBorders>
              <w:bottom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4"/>
                <w:szCs w:val="14"/>
                <w:lang w:val="ru-RU" w:eastAsia="ru-RU"/>
              </w:rPr>
            </w:pPr>
            <w:r w:rsidRPr="00734191">
              <w:rPr>
                <w:rFonts w:cs="Arial"/>
                <w:b/>
                <w:bCs/>
                <w:sz w:val="14"/>
                <w:szCs w:val="14"/>
                <w:lang w:val="ru-RU" w:eastAsia="ru-RU"/>
              </w:rPr>
              <w:t> </w:t>
            </w:r>
          </w:p>
        </w:tc>
      </w:tr>
      <w:tr w:rsidR="003E30CD" w:rsidRPr="00734191" w:rsidTr="003E30CD">
        <w:trPr>
          <w:trHeight w:val="180"/>
        </w:trPr>
        <w:tc>
          <w:tcPr>
            <w:tcW w:w="2552" w:type="dxa"/>
            <w:tcBorders>
              <w:top w:val="double" w:sz="4" w:space="0" w:color="auto"/>
            </w:tcBorders>
            <w:shd w:val="clear" w:color="auto" w:fill="auto"/>
            <w:vAlign w:val="bottom"/>
          </w:tcPr>
          <w:p w:rsidR="003E30CD" w:rsidRPr="00734191" w:rsidRDefault="003E30CD" w:rsidP="003E30CD">
            <w:pPr>
              <w:overflowPunct/>
              <w:autoSpaceDE/>
              <w:autoSpaceDN/>
              <w:adjustRightInd/>
              <w:jc w:val="both"/>
              <w:rPr>
                <w:rFonts w:cs="Arial"/>
                <w:sz w:val="14"/>
                <w:szCs w:val="14"/>
                <w:lang w:val="ru-RU" w:eastAsia="ru-RU"/>
              </w:rPr>
            </w:pPr>
          </w:p>
        </w:tc>
        <w:tc>
          <w:tcPr>
            <w:tcW w:w="709"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992"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709"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850"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709"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851"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992"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992"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c>
          <w:tcPr>
            <w:tcW w:w="717" w:type="dxa"/>
            <w:tcBorders>
              <w:top w:val="double" w:sz="4" w:space="0" w:color="auto"/>
            </w:tcBorders>
            <w:shd w:val="clear" w:color="auto" w:fill="auto"/>
            <w:vAlign w:val="bottom"/>
          </w:tcPr>
          <w:p w:rsidR="003E30CD" w:rsidRPr="00734191" w:rsidRDefault="003E30CD" w:rsidP="003E30CD">
            <w:pPr>
              <w:overflowPunct/>
              <w:autoSpaceDE/>
              <w:autoSpaceDN/>
              <w:adjustRightInd/>
              <w:jc w:val="center"/>
              <w:rPr>
                <w:rFonts w:cs="Arial"/>
                <w:b/>
                <w:bCs/>
                <w:sz w:val="16"/>
                <w:szCs w:val="16"/>
                <w:lang w:val="ru-RU" w:eastAsia="ru-RU"/>
              </w:rPr>
            </w:pPr>
          </w:p>
        </w:tc>
      </w:tr>
    </w:tbl>
    <w:p w:rsidR="003E30CD" w:rsidRPr="00734191" w:rsidRDefault="003E30CD" w:rsidP="003E30CD">
      <w:pPr>
        <w:overflowPunct/>
        <w:spacing w:before="200"/>
        <w:jc w:val="both"/>
        <w:rPr>
          <w:rFonts w:eastAsiaTheme="minorHAnsi" w:cs="Arial"/>
          <w:sz w:val="20"/>
          <w:szCs w:val="20"/>
          <w:lang w:val="ru-RU"/>
        </w:rPr>
      </w:pPr>
      <w:r w:rsidRPr="00734191">
        <w:rPr>
          <w:rFonts w:eastAsiaTheme="minorHAnsi" w:cs="Arial"/>
          <w:sz w:val="20"/>
          <w:szCs w:val="20"/>
          <w:lang w:val="ru-RU"/>
        </w:rPr>
        <w:t>Расходов, признанных в течение отчетного периода в отношении безнадежной и сомнительной задолженности связанных с Банком сторон нет.</w:t>
      </w:r>
    </w:p>
    <w:p w:rsidR="003E30CD" w:rsidRPr="00734191" w:rsidRDefault="003E30CD" w:rsidP="003E30CD">
      <w:pPr>
        <w:overflowPunct/>
        <w:spacing w:before="200"/>
        <w:jc w:val="both"/>
        <w:rPr>
          <w:rFonts w:eastAsiaTheme="minorHAnsi" w:cs="Arial"/>
          <w:b/>
          <w:sz w:val="20"/>
          <w:szCs w:val="20"/>
          <w:lang w:val="ru-RU"/>
        </w:rPr>
      </w:pPr>
      <w:r w:rsidRPr="00734191">
        <w:rPr>
          <w:rFonts w:eastAsiaTheme="minorHAnsi" w:cs="Arial"/>
          <w:b/>
          <w:sz w:val="20"/>
          <w:szCs w:val="20"/>
          <w:lang w:val="ru-RU"/>
        </w:rPr>
        <w:t xml:space="preserve">Вознаграждения ключевому управленческому персоналу кредитной организации: </w:t>
      </w:r>
    </w:p>
    <w:p w:rsidR="003E30CD" w:rsidRPr="00734191" w:rsidRDefault="003E30CD" w:rsidP="003E30CD">
      <w:pPr>
        <w:overflowPunct/>
        <w:jc w:val="both"/>
        <w:rPr>
          <w:rFonts w:eastAsiaTheme="minorHAnsi" w:cs="Arial"/>
          <w:b/>
          <w:sz w:val="20"/>
          <w:szCs w:val="20"/>
          <w:lang w:val="ru-RU"/>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8"/>
        <w:gridCol w:w="1916"/>
        <w:gridCol w:w="2047"/>
      </w:tblGrid>
      <w:tr w:rsidR="003E30CD" w:rsidRPr="00734191" w:rsidTr="003E30CD">
        <w:tc>
          <w:tcPr>
            <w:tcW w:w="5608" w:type="dxa"/>
            <w:tcBorders>
              <w:top w:val="single" w:sz="4" w:space="0" w:color="auto"/>
              <w:bottom w:val="single" w:sz="4" w:space="0" w:color="auto"/>
            </w:tcBorders>
          </w:tcPr>
          <w:p w:rsidR="003E30CD" w:rsidRPr="00734191" w:rsidRDefault="003E30CD" w:rsidP="003E30CD">
            <w:pPr>
              <w:overflowPunct/>
              <w:jc w:val="center"/>
              <w:rPr>
                <w:rFonts w:eastAsiaTheme="minorHAnsi" w:cs="Arial"/>
                <w:b/>
                <w:sz w:val="16"/>
                <w:szCs w:val="16"/>
                <w:lang w:val="ru-RU"/>
              </w:rPr>
            </w:pPr>
            <w:r w:rsidRPr="00734191">
              <w:rPr>
                <w:rFonts w:eastAsiaTheme="minorHAnsi" w:cs="Arial"/>
                <w:b/>
                <w:sz w:val="16"/>
                <w:szCs w:val="16"/>
                <w:lang w:val="ru-RU"/>
              </w:rPr>
              <w:t>Категория вознаграждений</w:t>
            </w:r>
          </w:p>
        </w:tc>
        <w:tc>
          <w:tcPr>
            <w:tcW w:w="1916" w:type="dxa"/>
            <w:tcBorders>
              <w:top w:val="single" w:sz="4" w:space="0" w:color="auto"/>
              <w:bottom w:val="single" w:sz="4" w:space="0" w:color="auto"/>
            </w:tcBorders>
          </w:tcPr>
          <w:p w:rsidR="003E30CD" w:rsidRPr="00734191" w:rsidRDefault="003E30CD" w:rsidP="003E30CD">
            <w:pPr>
              <w:overflowPunct/>
              <w:jc w:val="center"/>
              <w:rPr>
                <w:rFonts w:eastAsiaTheme="minorHAnsi" w:cs="Arial"/>
                <w:b/>
                <w:sz w:val="16"/>
                <w:szCs w:val="16"/>
                <w:lang w:val="ru-RU"/>
              </w:rPr>
            </w:pPr>
            <w:r w:rsidRPr="00734191">
              <w:rPr>
                <w:rFonts w:eastAsiaTheme="minorHAnsi" w:cs="Arial"/>
                <w:b/>
                <w:sz w:val="16"/>
                <w:szCs w:val="16"/>
                <w:lang w:val="ru-RU"/>
              </w:rPr>
              <w:t>2018</w:t>
            </w:r>
          </w:p>
        </w:tc>
        <w:tc>
          <w:tcPr>
            <w:tcW w:w="2047" w:type="dxa"/>
            <w:tcBorders>
              <w:top w:val="single" w:sz="4" w:space="0" w:color="auto"/>
              <w:bottom w:val="single" w:sz="4" w:space="0" w:color="auto"/>
            </w:tcBorders>
          </w:tcPr>
          <w:p w:rsidR="003E30CD" w:rsidRPr="00734191" w:rsidRDefault="003E30CD" w:rsidP="003E30CD">
            <w:pPr>
              <w:overflowPunct/>
              <w:jc w:val="center"/>
              <w:rPr>
                <w:rFonts w:eastAsiaTheme="minorHAnsi" w:cs="Arial"/>
                <w:b/>
                <w:sz w:val="16"/>
                <w:szCs w:val="16"/>
                <w:lang w:val="ru-RU"/>
              </w:rPr>
            </w:pPr>
            <w:r w:rsidRPr="00734191">
              <w:rPr>
                <w:rFonts w:eastAsiaTheme="minorHAnsi" w:cs="Arial"/>
                <w:b/>
                <w:sz w:val="16"/>
                <w:szCs w:val="16"/>
                <w:lang w:val="ru-RU"/>
              </w:rPr>
              <w:t>2017</w:t>
            </w:r>
          </w:p>
        </w:tc>
      </w:tr>
      <w:tr w:rsidR="003E30CD" w:rsidRPr="00734191" w:rsidTr="003E30CD">
        <w:tc>
          <w:tcPr>
            <w:tcW w:w="5608" w:type="dxa"/>
            <w:tcBorders>
              <w:top w:val="single" w:sz="4" w:space="0" w:color="auto"/>
            </w:tcBorders>
          </w:tcPr>
          <w:p w:rsidR="003E30CD" w:rsidRPr="00734191" w:rsidRDefault="003E30CD" w:rsidP="003E30CD">
            <w:pPr>
              <w:overflowPunct/>
              <w:jc w:val="both"/>
              <w:rPr>
                <w:rFonts w:eastAsiaTheme="minorHAnsi" w:cs="Arial"/>
                <w:sz w:val="16"/>
                <w:szCs w:val="16"/>
                <w:lang w:val="ru-RU"/>
              </w:rPr>
            </w:pPr>
            <w:r w:rsidRPr="00734191">
              <w:rPr>
                <w:rFonts w:eastAsiaTheme="minorHAnsi" w:cs="Arial"/>
                <w:sz w:val="16"/>
                <w:szCs w:val="16"/>
                <w:lang w:val="ru-RU"/>
              </w:rPr>
              <w:t>краткосрочные вознаграждения</w:t>
            </w:r>
          </w:p>
        </w:tc>
        <w:tc>
          <w:tcPr>
            <w:tcW w:w="1916" w:type="dxa"/>
            <w:tcBorders>
              <w:top w:val="single" w:sz="4" w:space="0" w:color="auto"/>
            </w:tcBorders>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195 341</w:t>
            </w:r>
          </w:p>
        </w:tc>
        <w:tc>
          <w:tcPr>
            <w:tcW w:w="2047" w:type="dxa"/>
            <w:tcBorders>
              <w:top w:val="single" w:sz="4" w:space="0" w:color="auto"/>
            </w:tcBorders>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189 516</w:t>
            </w:r>
          </w:p>
        </w:tc>
      </w:tr>
      <w:tr w:rsidR="003E30CD" w:rsidRPr="00734191" w:rsidTr="003E30CD">
        <w:tc>
          <w:tcPr>
            <w:tcW w:w="5608" w:type="dxa"/>
          </w:tcPr>
          <w:p w:rsidR="003E30CD" w:rsidRPr="00734191" w:rsidRDefault="003E30CD" w:rsidP="003E30CD">
            <w:pPr>
              <w:overflowPunct/>
              <w:jc w:val="both"/>
              <w:rPr>
                <w:rFonts w:eastAsiaTheme="minorHAnsi" w:cs="Arial"/>
                <w:sz w:val="16"/>
                <w:szCs w:val="16"/>
                <w:lang w:val="ru-RU"/>
              </w:rPr>
            </w:pPr>
            <w:r w:rsidRPr="00734191">
              <w:rPr>
                <w:rFonts w:eastAsiaTheme="minorHAnsi" w:cs="Arial"/>
                <w:sz w:val="16"/>
                <w:szCs w:val="16"/>
                <w:lang w:val="ru-RU"/>
              </w:rPr>
              <w:t>вознаграждения по окончании трудовой деятельности</w:t>
            </w:r>
          </w:p>
        </w:tc>
        <w:tc>
          <w:tcPr>
            <w:tcW w:w="1916"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c>
          <w:tcPr>
            <w:tcW w:w="2047"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r>
      <w:tr w:rsidR="003E30CD" w:rsidRPr="00734191" w:rsidTr="003E30CD">
        <w:tc>
          <w:tcPr>
            <w:tcW w:w="5608" w:type="dxa"/>
          </w:tcPr>
          <w:p w:rsidR="003E30CD" w:rsidRPr="00734191" w:rsidRDefault="003E30CD" w:rsidP="003E30CD">
            <w:pPr>
              <w:overflowPunct/>
              <w:jc w:val="both"/>
              <w:rPr>
                <w:rFonts w:eastAsiaTheme="minorHAnsi" w:cs="Arial"/>
                <w:sz w:val="16"/>
                <w:szCs w:val="16"/>
                <w:lang w:val="ru-RU"/>
              </w:rPr>
            </w:pPr>
            <w:r w:rsidRPr="00734191">
              <w:rPr>
                <w:rFonts w:eastAsiaTheme="minorHAnsi" w:cs="Arial"/>
                <w:sz w:val="16"/>
                <w:szCs w:val="16"/>
                <w:lang w:val="ru-RU"/>
              </w:rPr>
              <w:t>прочие долгосрочные вознаграждения</w:t>
            </w:r>
          </w:p>
        </w:tc>
        <w:tc>
          <w:tcPr>
            <w:tcW w:w="1916"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c>
          <w:tcPr>
            <w:tcW w:w="2047"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r>
      <w:tr w:rsidR="003E30CD" w:rsidRPr="00734191" w:rsidTr="003E30CD">
        <w:tc>
          <w:tcPr>
            <w:tcW w:w="5608" w:type="dxa"/>
          </w:tcPr>
          <w:p w:rsidR="003E30CD" w:rsidRPr="00734191" w:rsidRDefault="003E30CD" w:rsidP="003E30CD">
            <w:pPr>
              <w:overflowPunct/>
              <w:jc w:val="both"/>
              <w:rPr>
                <w:rFonts w:eastAsiaTheme="minorHAnsi" w:cs="Arial"/>
                <w:sz w:val="16"/>
                <w:szCs w:val="16"/>
                <w:lang w:val="ru-RU"/>
              </w:rPr>
            </w:pPr>
            <w:r w:rsidRPr="00734191">
              <w:rPr>
                <w:rFonts w:eastAsiaTheme="minorHAnsi" w:cs="Arial"/>
                <w:sz w:val="16"/>
                <w:szCs w:val="16"/>
                <w:lang w:val="ru-RU"/>
              </w:rPr>
              <w:t>выходные пособия</w:t>
            </w:r>
          </w:p>
        </w:tc>
        <w:tc>
          <w:tcPr>
            <w:tcW w:w="1916"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c>
          <w:tcPr>
            <w:tcW w:w="2047" w:type="dxa"/>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r>
      <w:tr w:rsidR="003E30CD" w:rsidRPr="00734191" w:rsidTr="003E30CD">
        <w:tc>
          <w:tcPr>
            <w:tcW w:w="5608" w:type="dxa"/>
            <w:tcBorders>
              <w:bottom w:val="double" w:sz="4" w:space="0" w:color="auto"/>
            </w:tcBorders>
          </w:tcPr>
          <w:p w:rsidR="003E30CD" w:rsidRPr="00734191" w:rsidRDefault="003E30CD" w:rsidP="003E30CD">
            <w:pPr>
              <w:overflowPunct/>
              <w:jc w:val="both"/>
              <w:rPr>
                <w:rFonts w:eastAsiaTheme="minorHAnsi" w:cs="Arial"/>
                <w:sz w:val="16"/>
                <w:szCs w:val="16"/>
                <w:lang w:val="ru-RU"/>
              </w:rPr>
            </w:pPr>
            <w:r w:rsidRPr="00734191">
              <w:rPr>
                <w:rFonts w:eastAsiaTheme="minorHAnsi" w:cs="Arial"/>
                <w:sz w:val="16"/>
                <w:szCs w:val="16"/>
                <w:lang w:val="ru-RU"/>
              </w:rPr>
              <w:t>выплаты на основе акций</w:t>
            </w:r>
          </w:p>
        </w:tc>
        <w:tc>
          <w:tcPr>
            <w:tcW w:w="1916" w:type="dxa"/>
            <w:tcBorders>
              <w:bottom w:val="double" w:sz="4" w:space="0" w:color="auto"/>
            </w:tcBorders>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4 179</w:t>
            </w:r>
          </w:p>
        </w:tc>
        <w:tc>
          <w:tcPr>
            <w:tcW w:w="2047" w:type="dxa"/>
            <w:tcBorders>
              <w:bottom w:val="double" w:sz="4" w:space="0" w:color="auto"/>
            </w:tcBorders>
          </w:tcPr>
          <w:p w:rsidR="003E30CD" w:rsidRPr="00734191" w:rsidRDefault="003E30CD" w:rsidP="003E30CD">
            <w:pPr>
              <w:overflowPunct/>
              <w:jc w:val="center"/>
              <w:rPr>
                <w:rFonts w:eastAsiaTheme="minorHAnsi" w:cs="Arial"/>
                <w:sz w:val="16"/>
                <w:szCs w:val="16"/>
                <w:lang w:val="ru-RU"/>
              </w:rPr>
            </w:pPr>
            <w:r w:rsidRPr="00734191">
              <w:rPr>
                <w:rFonts w:eastAsiaTheme="minorHAnsi" w:cs="Arial"/>
                <w:sz w:val="16"/>
                <w:szCs w:val="16"/>
                <w:lang w:val="ru-RU"/>
              </w:rPr>
              <w:t>нет</w:t>
            </w:r>
          </w:p>
        </w:tc>
      </w:tr>
    </w:tbl>
    <w:p w:rsidR="003E30CD" w:rsidRPr="00734191" w:rsidRDefault="003E30CD" w:rsidP="003E30CD">
      <w:pPr>
        <w:overflowPunct/>
        <w:spacing w:before="200"/>
        <w:jc w:val="both"/>
        <w:rPr>
          <w:rFonts w:eastAsiaTheme="minorHAnsi" w:cs="Arial"/>
          <w:sz w:val="20"/>
          <w:szCs w:val="20"/>
          <w:lang w:val="ru-RU"/>
        </w:rPr>
      </w:pPr>
      <w:r w:rsidRPr="00734191">
        <w:rPr>
          <w:rFonts w:eastAsiaTheme="minorHAnsi" w:cs="Arial"/>
          <w:sz w:val="20"/>
          <w:szCs w:val="20"/>
          <w:lang w:val="ru-RU"/>
        </w:rPr>
        <w:t>Выкуп собственных акций у связанных сторон в отчетном периоде не производился.</w:t>
      </w:r>
    </w:p>
    <w:p w:rsidR="003E30CD" w:rsidRPr="00734191" w:rsidRDefault="003E30CD" w:rsidP="003E30CD">
      <w:pPr>
        <w:overflowPunct/>
        <w:jc w:val="both"/>
        <w:rPr>
          <w:rFonts w:eastAsiaTheme="minorHAnsi" w:cs="Arial"/>
          <w:sz w:val="20"/>
          <w:szCs w:val="20"/>
          <w:lang w:val="ru-RU"/>
        </w:rPr>
      </w:pPr>
    </w:p>
    <w:p w:rsidR="003E30CD" w:rsidRDefault="003E30CD" w:rsidP="003E30CD">
      <w:pPr>
        <w:overflowPunct/>
        <w:jc w:val="both"/>
        <w:textAlignment w:val="auto"/>
        <w:rPr>
          <w:rFonts w:eastAsiaTheme="minorHAnsi" w:cs="Arial"/>
          <w:b/>
          <w:sz w:val="20"/>
          <w:szCs w:val="20"/>
          <w:lang w:val="ru-RU"/>
        </w:rPr>
      </w:pPr>
      <w:r w:rsidRPr="003E30CD">
        <w:rPr>
          <w:rFonts w:eastAsiaTheme="minorHAnsi" w:cs="Arial"/>
          <w:b/>
          <w:sz w:val="20"/>
          <w:szCs w:val="20"/>
          <w:lang w:val="ru-RU"/>
        </w:rPr>
        <w:t>11. Информация о долгосрочных вознаграждениях работникам кредитной организации</w:t>
      </w:r>
    </w:p>
    <w:p w:rsidR="00E41356" w:rsidRPr="003E30CD" w:rsidRDefault="00E41356" w:rsidP="003E30CD">
      <w:pPr>
        <w:overflowPunct/>
        <w:jc w:val="both"/>
        <w:textAlignment w:val="auto"/>
        <w:rPr>
          <w:rFonts w:eastAsiaTheme="minorHAnsi" w:cs="Arial"/>
          <w:b/>
          <w:sz w:val="20"/>
          <w:szCs w:val="20"/>
          <w:lang w:val="ru-RU"/>
        </w:rPr>
      </w:pPr>
    </w:p>
    <w:p w:rsidR="00CD702B" w:rsidRPr="00D532AE" w:rsidRDefault="00CD702B" w:rsidP="00CD702B">
      <w:pPr>
        <w:pStyle w:val="aff5"/>
        <w:rPr>
          <w:b w:val="0"/>
          <w:i w:val="0"/>
          <w:sz w:val="20"/>
          <w:szCs w:val="20"/>
        </w:rPr>
      </w:pPr>
      <w:r w:rsidRPr="00D532AE">
        <w:rPr>
          <w:b w:val="0"/>
          <w:i w:val="0"/>
          <w:sz w:val="20"/>
          <w:szCs w:val="20"/>
        </w:rPr>
        <w:t>Рассмотрение вопросов организации, мониторинга и контроля системы оплаты труда относится к компетенции Совета директоров Банка. В целях повышения уровня корпоративного управления, организации эффективной деятельности, а также создания эффективного механизма контроля за деятельностью исполнительных органов Банка, между членами Совета директоров распределены соответствующие полномочия.</w:t>
      </w:r>
    </w:p>
    <w:p w:rsidR="00CD702B" w:rsidRPr="00D532AE" w:rsidRDefault="00CD702B" w:rsidP="00CD702B">
      <w:pPr>
        <w:pStyle w:val="2normal"/>
        <w:spacing w:line="228" w:lineRule="auto"/>
        <w:jc w:val="both"/>
        <w:rPr>
          <w:rFonts w:cs="Arial"/>
          <w:color w:val="000000" w:themeColor="text1"/>
          <w:sz w:val="20"/>
          <w:szCs w:val="20"/>
          <w:lang w:val="ru-RU"/>
        </w:rPr>
      </w:pPr>
      <w:r w:rsidRPr="00D532AE">
        <w:rPr>
          <w:rFonts w:cs="Arial"/>
          <w:color w:val="000000" w:themeColor="text1"/>
          <w:sz w:val="20"/>
          <w:szCs w:val="20"/>
          <w:lang w:val="ru-RU"/>
        </w:rPr>
        <w:t>Специальный орган в Совете директоров Банка (Комитет по вознаграждениям), к компетенции которого относилось бы рассмотрение вопросов организации, мониторинга и контроля системы оплаты труда, не создавался.  Вопросы организации системы оплаты труда, выплат рассматривались на текущих заседаниях Совета директоров. По решению общего Собрания акционеров вознаграждения членам Совета директоров за их деятельность в 2017, 2018 годах не выплачивались.</w:t>
      </w:r>
    </w:p>
    <w:p w:rsidR="00CD702B" w:rsidRPr="00D532AE" w:rsidRDefault="00CD702B" w:rsidP="00CD702B">
      <w:pPr>
        <w:pStyle w:val="aff5"/>
        <w:rPr>
          <w:b w:val="0"/>
          <w:i w:val="0"/>
          <w:sz w:val="20"/>
          <w:szCs w:val="20"/>
        </w:rPr>
      </w:pPr>
      <w:r w:rsidRPr="00D532AE">
        <w:rPr>
          <w:b w:val="0"/>
          <w:i w:val="0"/>
          <w:sz w:val="20"/>
          <w:szCs w:val="20"/>
        </w:rPr>
        <w:t xml:space="preserve">Система оплаты труда и мотивации в Банке разработана для повышения заинтересованности работников в улучшении индивидуальной и коллективной работы, направленной на достижение стратегических и тактических планов Банка, предусматривает справедливое материальное и моральное поощрение сотрудников, учитывая личный вклад каждого сотрудника, направлена на обеспечение финансовой устойчивости Банка и соответствует характеру и масштабу </w:t>
      </w:r>
      <w:r w:rsidRPr="00D532AE">
        <w:rPr>
          <w:b w:val="0"/>
          <w:i w:val="0"/>
          <w:sz w:val="20"/>
          <w:szCs w:val="20"/>
        </w:rPr>
        <w:lastRenderedPageBreak/>
        <w:t>совершаемых  Банком операций, результатам его деятельности, уровню и сочетанию принимаемых рисков.</w:t>
      </w:r>
    </w:p>
    <w:p w:rsidR="00CD702B" w:rsidRPr="00D532AE" w:rsidRDefault="00CD702B" w:rsidP="00CD702B">
      <w:pPr>
        <w:jc w:val="both"/>
        <w:rPr>
          <w:rFonts w:cs="Arial"/>
          <w:sz w:val="20"/>
          <w:szCs w:val="20"/>
          <w:lang w:val="ru-RU"/>
        </w:rPr>
      </w:pPr>
      <w:r w:rsidRPr="00D532AE">
        <w:rPr>
          <w:rFonts w:cs="Arial"/>
          <w:sz w:val="20"/>
          <w:szCs w:val="20"/>
          <w:lang w:val="ru-RU"/>
        </w:rPr>
        <w:t>Система оплаты труда и мотивации в Банке пересмотрена и утверждена Советом директоров 19.01.2018г. (протокол Совета директоров №13) в соответствии с требованиями Инструкции Банка России от 17.06.2014г. №154-И.</w:t>
      </w:r>
    </w:p>
    <w:p w:rsidR="00CD702B" w:rsidRPr="00D532AE" w:rsidRDefault="00CD702B" w:rsidP="00CD702B">
      <w:pPr>
        <w:jc w:val="both"/>
        <w:rPr>
          <w:rFonts w:cs="Arial"/>
          <w:sz w:val="20"/>
          <w:szCs w:val="20"/>
          <w:lang w:val="ru-RU"/>
        </w:rPr>
      </w:pPr>
      <w:r w:rsidRPr="00D532AE">
        <w:rPr>
          <w:rFonts w:cs="Arial"/>
          <w:sz w:val="20"/>
          <w:szCs w:val="20"/>
          <w:lang w:val="ru-RU"/>
        </w:rPr>
        <w:t>Положение определяет формы оплаты труда, виды выплат, порядок определения размеров должностных окладов, расчет размера и порядок выплаты постоянной (фиксированной) и переменной (нефиксированной) частей вознаграждений работникам, а также регламентирует порядок выплаты дополнительных материальных вознаграждений и предоставления моральных поощрений.</w:t>
      </w:r>
    </w:p>
    <w:p w:rsidR="00CD702B" w:rsidRPr="00D532AE" w:rsidRDefault="00CD702B" w:rsidP="00CD702B">
      <w:pPr>
        <w:jc w:val="both"/>
        <w:rPr>
          <w:rFonts w:cs="Arial"/>
          <w:sz w:val="20"/>
          <w:szCs w:val="20"/>
          <w:lang w:val="ru-RU"/>
        </w:rPr>
      </w:pPr>
      <w:r w:rsidRPr="00D532AE">
        <w:rPr>
          <w:rFonts w:cs="Arial"/>
          <w:sz w:val="20"/>
          <w:szCs w:val="20"/>
          <w:lang w:val="ru-RU"/>
        </w:rPr>
        <w:t>К нефиксированным выплатам за выполнение трудовой функции относятся:</w:t>
      </w:r>
    </w:p>
    <w:p w:rsidR="00CD702B" w:rsidRPr="00D532AE" w:rsidRDefault="00CD702B" w:rsidP="00E41356">
      <w:pPr>
        <w:numPr>
          <w:ilvl w:val="0"/>
          <w:numId w:val="17"/>
        </w:numPr>
        <w:tabs>
          <w:tab w:val="clear" w:pos="720"/>
          <w:tab w:val="left" w:pos="851"/>
          <w:tab w:val="num" w:pos="1260"/>
        </w:tabs>
        <w:overflowPunct/>
        <w:autoSpaceDE/>
        <w:autoSpaceDN/>
        <w:adjustRightInd/>
        <w:ind w:left="0" w:firstLine="567"/>
        <w:jc w:val="both"/>
        <w:textAlignment w:val="auto"/>
        <w:rPr>
          <w:rFonts w:cs="Arial"/>
          <w:sz w:val="20"/>
          <w:szCs w:val="20"/>
          <w:lang w:val="ru-RU"/>
        </w:rPr>
      </w:pPr>
      <w:r>
        <w:rPr>
          <w:rFonts w:cs="Arial"/>
          <w:sz w:val="20"/>
          <w:szCs w:val="20"/>
          <w:lang w:val="ru-RU"/>
        </w:rPr>
        <w:t>е</w:t>
      </w:r>
      <w:r w:rsidRPr="00D532AE">
        <w:rPr>
          <w:rFonts w:cs="Arial"/>
          <w:sz w:val="20"/>
          <w:szCs w:val="20"/>
          <w:lang w:val="ru-RU"/>
        </w:rPr>
        <w:t>жемесячная премия за выполнения плановых показателей Банка;</w:t>
      </w:r>
    </w:p>
    <w:p w:rsidR="00CD702B" w:rsidRPr="00D532AE" w:rsidRDefault="00CD702B" w:rsidP="00E41356">
      <w:pPr>
        <w:numPr>
          <w:ilvl w:val="0"/>
          <w:numId w:val="17"/>
        </w:numPr>
        <w:tabs>
          <w:tab w:val="clear" w:pos="720"/>
          <w:tab w:val="left" w:pos="851"/>
          <w:tab w:val="num" w:pos="1276"/>
        </w:tabs>
        <w:overflowPunct/>
        <w:autoSpaceDE/>
        <w:autoSpaceDN/>
        <w:adjustRightInd/>
        <w:ind w:left="0" w:firstLine="567"/>
        <w:jc w:val="both"/>
        <w:textAlignment w:val="auto"/>
        <w:rPr>
          <w:rFonts w:cs="Arial"/>
          <w:sz w:val="20"/>
          <w:szCs w:val="20"/>
          <w:lang w:val="ru-RU"/>
        </w:rPr>
      </w:pPr>
      <w:r>
        <w:rPr>
          <w:rFonts w:cs="Arial"/>
          <w:sz w:val="20"/>
          <w:szCs w:val="20"/>
          <w:lang w:val="ru-RU"/>
        </w:rPr>
        <w:t>в</w:t>
      </w:r>
      <w:r w:rsidRPr="00D532AE">
        <w:rPr>
          <w:rFonts w:cs="Arial"/>
          <w:sz w:val="20"/>
          <w:szCs w:val="20"/>
          <w:lang w:val="ru-RU"/>
        </w:rPr>
        <w:t>ыплаты, учитывающие все значимые для Банка риски, а также доходность деятельности;</w:t>
      </w:r>
    </w:p>
    <w:p w:rsidR="00CD702B" w:rsidRPr="00D532AE" w:rsidRDefault="00CD702B" w:rsidP="00E41356">
      <w:pPr>
        <w:numPr>
          <w:ilvl w:val="0"/>
          <w:numId w:val="17"/>
        </w:numPr>
        <w:tabs>
          <w:tab w:val="clear" w:pos="720"/>
          <w:tab w:val="left" w:pos="851"/>
          <w:tab w:val="num" w:pos="1260"/>
        </w:tabs>
        <w:overflowPunct/>
        <w:autoSpaceDE/>
        <w:autoSpaceDN/>
        <w:adjustRightInd/>
        <w:ind w:left="0" w:firstLine="567"/>
        <w:jc w:val="both"/>
        <w:textAlignment w:val="auto"/>
        <w:rPr>
          <w:rFonts w:cs="Arial"/>
          <w:sz w:val="20"/>
          <w:szCs w:val="20"/>
        </w:rPr>
      </w:pPr>
      <w:r>
        <w:rPr>
          <w:rFonts w:cs="Arial"/>
          <w:sz w:val="20"/>
          <w:szCs w:val="20"/>
          <w:lang w:val="ru-RU"/>
        </w:rPr>
        <w:t>в</w:t>
      </w:r>
      <w:r w:rsidRPr="00D532AE">
        <w:rPr>
          <w:rFonts w:cs="Arial"/>
          <w:sz w:val="20"/>
          <w:szCs w:val="20"/>
        </w:rPr>
        <w:t>ыплаты, учитывающие специфику труда.</w:t>
      </w:r>
    </w:p>
    <w:p w:rsidR="00CD702B" w:rsidRPr="00D532AE" w:rsidRDefault="00CD702B" w:rsidP="00CD702B">
      <w:pPr>
        <w:tabs>
          <w:tab w:val="num" w:pos="1260"/>
        </w:tabs>
        <w:overflowPunct/>
        <w:autoSpaceDE/>
        <w:autoSpaceDN/>
        <w:adjustRightInd/>
        <w:ind w:left="720"/>
        <w:jc w:val="both"/>
        <w:textAlignment w:val="auto"/>
        <w:rPr>
          <w:rFonts w:cs="Arial"/>
          <w:sz w:val="20"/>
          <w:szCs w:val="20"/>
        </w:rPr>
      </w:pPr>
    </w:p>
    <w:p w:rsidR="00CD702B" w:rsidRPr="00D532AE" w:rsidRDefault="00CD702B" w:rsidP="00CD702B">
      <w:pPr>
        <w:pStyle w:val="aff0"/>
        <w:ind w:left="0"/>
        <w:jc w:val="both"/>
        <w:rPr>
          <w:rFonts w:cs="Arial"/>
          <w:sz w:val="20"/>
          <w:szCs w:val="20"/>
          <w:lang w:val="ru-RU"/>
        </w:rPr>
      </w:pPr>
      <w:r w:rsidRPr="00D532AE">
        <w:rPr>
          <w:rFonts w:cs="Arial"/>
          <w:sz w:val="20"/>
          <w:szCs w:val="20"/>
          <w:lang w:val="ru-RU"/>
        </w:rPr>
        <w:t xml:space="preserve">Плановый размер фонда оплаты труда Банка устанавливается Советом Директоров Банка ежегодно и отражается в утвержденном бюджете Банка. </w:t>
      </w:r>
    </w:p>
    <w:p w:rsidR="00CD702B" w:rsidRPr="00D532AE" w:rsidRDefault="00CD702B" w:rsidP="00CD702B">
      <w:pPr>
        <w:pStyle w:val="aff0"/>
        <w:ind w:left="0"/>
        <w:jc w:val="both"/>
        <w:rPr>
          <w:rFonts w:cs="Arial"/>
          <w:sz w:val="20"/>
          <w:szCs w:val="20"/>
          <w:lang w:val="ru-RU"/>
        </w:rPr>
      </w:pPr>
      <w:r w:rsidRPr="00D532AE">
        <w:rPr>
          <w:rFonts w:cs="Arial"/>
          <w:sz w:val="20"/>
          <w:szCs w:val="20"/>
          <w:lang w:val="ru-RU"/>
        </w:rPr>
        <w:t xml:space="preserve">Общий размер нефиксированной части оплаты труда состоит из </w:t>
      </w:r>
      <w:r>
        <w:rPr>
          <w:rFonts w:cs="Arial"/>
          <w:sz w:val="20"/>
          <w:szCs w:val="20"/>
          <w:lang w:val="ru-RU"/>
        </w:rPr>
        <w:t>двух</w:t>
      </w:r>
      <w:r w:rsidRPr="00D532AE">
        <w:rPr>
          <w:rFonts w:cs="Arial"/>
          <w:sz w:val="20"/>
          <w:szCs w:val="20"/>
          <w:lang w:val="ru-RU"/>
        </w:rPr>
        <w:t xml:space="preserve"> частей:</w:t>
      </w:r>
    </w:p>
    <w:p w:rsidR="00CD702B" w:rsidRPr="00D532AE" w:rsidRDefault="00CD702B" w:rsidP="00E41356">
      <w:pPr>
        <w:pStyle w:val="aff0"/>
        <w:numPr>
          <w:ilvl w:val="0"/>
          <w:numId w:val="17"/>
        </w:numPr>
        <w:tabs>
          <w:tab w:val="clear" w:pos="720"/>
          <w:tab w:val="num" w:pos="851"/>
        </w:tabs>
        <w:ind w:left="0" w:firstLine="567"/>
        <w:jc w:val="both"/>
        <w:rPr>
          <w:rFonts w:cs="Arial"/>
          <w:sz w:val="20"/>
          <w:szCs w:val="20"/>
          <w:lang w:val="ru-RU"/>
        </w:rPr>
      </w:pPr>
      <w:r>
        <w:rPr>
          <w:rFonts w:cs="Arial"/>
          <w:sz w:val="20"/>
          <w:szCs w:val="20"/>
          <w:lang w:val="ru-RU"/>
        </w:rPr>
        <w:t xml:space="preserve">первая </w:t>
      </w:r>
      <w:r w:rsidRPr="00D532AE">
        <w:rPr>
          <w:rFonts w:cs="Arial"/>
          <w:sz w:val="20"/>
          <w:szCs w:val="20"/>
          <w:lang w:val="ru-RU"/>
        </w:rPr>
        <w:t>часть нефиксированного ФОТ – ежемесячная премия включена в ФОТ, утвержденный Советом директоров Банка, отраженный в бюджете Банка на текущий год;</w:t>
      </w:r>
    </w:p>
    <w:p w:rsidR="00CD702B" w:rsidRPr="00D532AE" w:rsidRDefault="00CD702B" w:rsidP="00E41356">
      <w:pPr>
        <w:pStyle w:val="aff0"/>
        <w:numPr>
          <w:ilvl w:val="0"/>
          <w:numId w:val="17"/>
        </w:numPr>
        <w:tabs>
          <w:tab w:val="clear" w:pos="720"/>
          <w:tab w:val="num" w:pos="851"/>
        </w:tabs>
        <w:ind w:left="0" w:firstLine="567"/>
        <w:jc w:val="both"/>
        <w:rPr>
          <w:rFonts w:cs="Arial"/>
          <w:sz w:val="20"/>
          <w:szCs w:val="20"/>
          <w:lang w:val="ru-RU"/>
        </w:rPr>
      </w:pPr>
      <w:r>
        <w:rPr>
          <w:rFonts w:cs="Arial"/>
          <w:sz w:val="20"/>
          <w:szCs w:val="20"/>
          <w:lang w:val="ru-RU"/>
        </w:rPr>
        <w:t>вторая</w:t>
      </w:r>
      <w:r w:rsidRPr="00D532AE">
        <w:rPr>
          <w:rFonts w:cs="Arial"/>
          <w:sz w:val="20"/>
          <w:szCs w:val="20"/>
          <w:lang w:val="ru-RU"/>
        </w:rPr>
        <w:t xml:space="preserve"> часть нефиксированного ФОТ – выплаты, учитывающие принятие сотрудниками всех значимых для банка рисков, выплачивается по итогам отчетного периода в размере не превышающем 85 % чистого финансового результата за исключением К</w:t>
      </w:r>
      <w:r w:rsidRPr="00D532AE">
        <w:rPr>
          <w:rFonts w:cs="Arial"/>
          <w:sz w:val="20"/>
          <w:szCs w:val="20"/>
          <w:lang w:val="en-US"/>
        </w:rPr>
        <w:t>PI</w:t>
      </w:r>
      <w:r w:rsidRPr="00D532AE">
        <w:rPr>
          <w:rFonts w:cs="Arial"/>
          <w:sz w:val="20"/>
          <w:szCs w:val="20"/>
          <w:lang w:val="ru-RU"/>
        </w:rPr>
        <w:t xml:space="preserve"> выплаты которых предусмотрена траншами и утверждается Советом Директоров Банка.</w:t>
      </w:r>
    </w:p>
    <w:p w:rsidR="00CD702B" w:rsidRPr="00D532AE" w:rsidRDefault="00CD702B" w:rsidP="00CD702B">
      <w:pPr>
        <w:pStyle w:val="aff0"/>
        <w:ind w:left="0"/>
        <w:jc w:val="both"/>
        <w:rPr>
          <w:rFonts w:cs="Arial"/>
          <w:sz w:val="20"/>
          <w:szCs w:val="20"/>
          <w:lang w:val="ru-RU"/>
        </w:rPr>
      </w:pPr>
      <w:r w:rsidRPr="00D532AE">
        <w:rPr>
          <w:rFonts w:cs="Arial"/>
          <w:sz w:val="20"/>
          <w:szCs w:val="20"/>
          <w:lang w:val="ru-RU"/>
        </w:rPr>
        <w:t>Максимальная величина 2 части нефиксированного ФОТ составляет:</w:t>
      </w:r>
    </w:p>
    <w:p w:rsidR="00CD702B" w:rsidRPr="00D532AE" w:rsidRDefault="00CD702B" w:rsidP="00E41356">
      <w:pPr>
        <w:pStyle w:val="aff0"/>
        <w:numPr>
          <w:ilvl w:val="0"/>
          <w:numId w:val="17"/>
        </w:numPr>
        <w:tabs>
          <w:tab w:val="clear" w:pos="720"/>
          <w:tab w:val="num" w:pos="851"/>
        </w:tabs>
        <w:ind w:left="0" w:firstLine="567"/>
        <w:jc w:val="both"/>
        <w:rPr>
          <w:rFonts w:cs="Arial"/>
          <w:sz w:val="20"/>
          <w:szCs w:val="20"/>
          <w:lang w:val="ru-RU"/>
        </w:rPr>
      </w:pPr>
      <w:r w:rsidRPr="00D532AE">
        <w:rPr>
          <w:rFonts w:cs="Arial"/>
          <w:sz w:val="20"/>
          <w:szCs w:val="20"/>
          <w:lang w:val="ru-RU"/>
        </w:rPr>
        <w:t>по работникам 1 уровня рисков – 3,6 ФОТ по должностным окладам;</w:t>
      </w:r>
    </w:p>
    <w:p w:rsidR="00CD702B" w:rsidRPr="00D532AE" w:rsidRDefault="00CD702B" w:rsidP="00E41356">
      <w:pPr>
        <w:pStyle w:val="aff0"/>
        <w:numPr>
          <w:ilvl w:val="0"/>
          <w:numId w:val="17"/>
        </w:numPr>
        <w:tabs>
          <w:tab w:val="clear" w:pos="720"/>
          <w:tab w:val="num" w:pos="851"/>
        </w:tabs>
        <w:ind w:left="0" w:firstLine="567"/>
        <w:jc w:val="both"/>
        <w:rPr>
          <w:rFonts w:cs="Arial"/>
          <w:sz w:val="20"/>
          <w:szCs w:val="20"/>
          <w:lang w:val="ru-RU"/>
        </w:rPr>
      </w:pPr>
      <w:r w:rsidRPr="00D532AE">
        <w:rPr>
          <w:rFonts w:cs="Arial"/>
          <w:sz w:val="20"/>
          <w:szCs w:val="20"/>
          <w:lang w:val="ru-RU"/>
        </w:rPr>
        <w:t>по работникам 2 уровня рисков – 1,9 ФОТ по должностным окладам;</w:t>
      </w:r>
    </w:p>
    <w:p w:rsidR="00CD702B" w:rsidRPr="00D532AE" w:rsidRDefault="00CD702B" w:rsidP="00E41356">
      <w:pPr>
        <w:pStyle w:val="aff0"/>
        <w:numPr>
          <w:ilvl w:val="0"/>
          <w:numId w:val="17"/>
        </w:numPr>
        <w:tabs>
          <w:tab w:val="clear" w:pos="720"/>
          <w:tab w:val="num" w:pos="851"/>
        </w:tabs>
        <w:ind w:left="0" w:firstLine="567"/>
        <w:jc w:val="both"/>
        <w:rPr>
          <w:rFonts w:cs="Arial"/>
          <w:sz w:val="20"/>
          <w:szCs w:val="20"/>
          <w:lang w:val="ru-RU"/>
        </w:rPr>
      </w:pPr>
      <w:r w:rsidRPr="00D532AE">
        <w:rPr>
          <w:rFonts w:cs="Arial"/>
          <w:sz w:val="20"/>
          <w:szCs w:val="20"/>
          <w:lang w:val="ru-RU"/>
        </w:rPr>
        <w:t>по работникам 3 уровня рисков – 1,1 ФОТ по должностным окладам.</w:t>
      </w:r>
    </w:p>
    <w:p w:rsidR="00CD702B" w:rsidRPr="00D532AE" w:rsidRDefault="00CD702B" w:rsidP="00CD702B">
      <w:pPr>
        <w:overflowPunct/>
        <w:autoSpaceDE/>
        <w:autoSpaceDN/>
        <w:adjustRightInd/>
        <w:jc w:val="both"/>
        <w:textAlignment w:val="auto"/>
        <w:rPr>
          <w:rFonts w:cs="Arial"/>
          <w:sz w:val="20"/>
          <w:szCs w:val="20"/>
          <w:lang w:val="ru-RU"/>
        </w:rPr>
      </w:pPr>
      <w:r w:rsidRPr="00D532AE">
        <w:rPr>
          <w:rFonts w:cs="Arial"/>
          <w:sz w:val="20"/>
          <w:szCs w:val="20"/>
          <w:lang w:val="ru-RU"/>
        </w:rPr>
        <w:t>Условия выплаты нефиксированной части оплаты труда:</w:t>
      </w:r>
    </w:p>
    <w:p w:rsidR="00CD702B" w:rsidRPr="00D532AE" w:rsidRDefault="00CD702B" w:rsidP="00CD702B">
      <w:pPr>
        <w:overflowPunct/>
        <w:autoSpaceDE/>
        <w:autoSpaceDN/>
        <w:adjustRightInd/>
        <w:jc w:val="both"/>
        <w:textAlignment w:val="auto"/>
        <w:rPr>
          <w:rFonts w:cs="Arial"/>
          <w:sz w:val="20"/>
          <w:szCs w:val="20"/>
          <w:lang w:val="ru-RU"/>
        </w:rPr>
      </w:pPr>
      <w:r w:rsidRPr="00D532AE">
        <w:rPr>
          <w:rFonts w:cs="Arial"/>
          <w:sz w:val="20"/>
          <w:szCs w:val="20"/>
          <w:lang w:val="ru-RU"/>
        </w:rPr>
        <w:t xml:space="preserve">Ответственное подразделение банка до 1 марта года следующего за отчетным производит расчет совокупного объема выплаты по </w:t>
      </w:r>
      <w:r w:rsidRPr="00D532AE">
        <w:rPr>
          <w:rFonts w:cs="Arial"/>
          <w:sz w:val="20"/>
          <w:szCs w:val="20"/>
          <w:lang w:val="en-US"/>
        </w:rPr>
        <w:t>KPI</w:t>
      </w:r>
      <w:r w:rsidRPr="00D532AE">
        <w:rPr>
          <w:rFonts w:cs="Arial"/>
          <w:sz w:val="20"/>
          <w:szCs w:val="20"/>
          <w:lang w:val="ru-RU"/>
        </w:rPr>
        <w:t>-показателям по каждому сотруднику и представляет информацию Совету Директоров Банка для принятия решения о размере выплат нефиксированной (отложенной) части  оплаты труда каждому сотруднику, принимающему риски.</w:t>
      </w:r>
    </w:p>
    <w:p w:rsidR="00CD702B" w:rsidRPr="00D532AE" w:rsidRDefault="00CD702B" w:rsidP="00CD702B">
      <w:pPr>
        <w:overflowPunct/>
        <w:autoSpaceDE/>
        <w:autoSpaceDN/>
        <w:adjustRightInd/>
        <w:jc w:val="both"/>
        <w:textAlignment w:val="auto"/>
        <w:rPr>
          <w:rFonts w:cs="Arial"/>
          <w:sz w:val="20"/>
          <w:szCs w:val="20"/>
          <w:lang w:val="ru-RU"/>
        </w:rPr>
      </w:pPr>
      <w:r w:rsidRPr="00D532AE">
        <w:rPr>
          <w:rFonts w:cs="Arial"/>
          <w:sz w:val="20"/>
          <w:szCs w:val="20"/>
          <w:lang w:val="ru-RU"/>
        </w:rPr>
        <w:t>Совет Директоров Банка принимает решение о размере вознаграждений.</w:t>
      </w:r>
    </w:p>
    <w:p w:rsidR="00CD702B" w:rsidRPr="00D532AE" w:rsidRDefault="00CD702B" w:rsidP="00CD702B">
      <w:pPr>
        <w:jc w:val="both"/>
        <w:rPr>
          <w:rFonts w:cs="Arial"/>
          <w:sz w:val="20"/>
          <w:szCs w:val="20"/>
          <w:lang w:val="ru-RU"/>
        </w:rPr>
      </w:pPr>
      <w:r w:rsidRPr="00D532AE">
        <w:rPr>
          <w:rFonts w:cs="Arial"/>
          <w:sz w:val="20"/>
          <w:szCs w:val="20"/>
          <w:lang w:val="ru-RU"/>
        </w:rPr>
        <w:t>Выплата нефиксированной части производится по следующей схеме:</w:t>
      </w:r>
    </w:p>
    <w:p w:rsidR="00CD702B" w:rsidRPr="00D532AE" w:rsidRDefault="00CD702B" w:rsidP="00CD702B">
      <w:pPr>
        <w:jc w:val="both"/>
        <w:rPr>
          <w:rFonts w:cs="Arial"/>
          <w:sz w:val="20"/>
          <w:szCs w:val="20"/>
          <w:lang w:val="ru-RU"/>
        </w:rPr>
      </w:pPr>
      <w:r w:rsidRPr="00D532AE">
        <w:rPr>
          <w:rFonts w:cs="Arial"/>
          <w:sz w:val="20"/>
          <w:szCs w:val="20"/>
          <w:lang w:val="ru-RU"/>
        </w:rPr>
        <w:t>1 часть выплаты производится в течение 12 месяцев после отчетного периода и составляет не более 50 % от общего  размера выплаты конкретному сотруднику;</w:t>
      </w:r>
    </w:p>
    <w:p w:rsidR="00CD702B" w:rsidRPr="00D532AE" w:rsidRDefault="00CD702B" w:rsidP="00CD702B">
      <w:pPr>
        <w:jc w:val="both"/>
        <w:rPr>
          <w:rFonts w:cs="Arial"/>
          <w:sz w:val="20"/>
          <w:szCs w:val="20"/>
          <w:lang w:val="ru-RU"/>
        </w:rPr>
      </w:pPr>
      <w:r w:rsidRPr="00D532AE">
        <w:rPr>
          <w:rFonts w:cs="Arial"/>
          <w:sz w:val="20"/>
          <w:szCs w:val="20"/>
          <w:lang w:val="ru-RU"/>
        </w:rPr>
        <w:t>2 часть выплаты производится через 3 года после отчетного периода в срок до 01 марта четвертого года  следующего за отчетным и составляет не менее 50 % от общего размера выплаты конкретному сотруднику.</w:t>
      </w:r>
    </w:p>
    <w:p w:rsidR="00CD702B" w:rsidRDefault="00CD702B" w:rsidP="00CD702B">
      <w:pPr>
        <w:overflowPunct/>
        <w:autoSpaceDE/>
        <w:autoSpaceDN/>
        <w:adjustRightInd/>
        <w:jc w:val="both"/>
        <w:textAlignment w:val="auto"/>
        <w:rPr>
          <w:rFonts w:cs="Arial"/>
          <w:sz w:val="20"/>
          <w:szCs w:val="20"/>
          <w:lang w:val="ru-RU"/>
        </w:rPr>
      </w:pPr>
    </w:p>
    <w:p w:rsidR="00CD702B" w:rsidRPr="00CD702B" w:rsidRDefault="00CD702B" w:rsidP="00CD702B">
      <w:pPr>
        <w:overflowPunct/>
        <w:autoSpaceDE/>
        <w:autoSpaceDN/>
        <w:adjustRightInd/>
        <w:jc w:val="both"/>
        <w:textAlignment w:val="auto"/>
        <w:rPr>
          <w:rFonts w:cs="Arial"/>
          <w:sz w:val="20"/>
          <w:szCs w:val="20"/>
          <w:lang w:val="ru-RU"/>
        </w:rPr>
      </w:pPr>
      <w:r w:rsidRPr="00CD702B">
        <w:rPr>
          <w:rFonts w:cs="Arial"/>
          <w:sz w:val="20"/>
          <w:szCs w:val="20"/>
          <w:lang w:val="ru-RU"/>
        </w:rPr>
        <w:t>Условия выплаты нефиксированной части оплаты труда:</w:t>
      </w:r>
    </w:p>
    <w:p w:rsidR="00CD702B" w:rsidRPr="00CD702B" w:rsidRDefault="00CD702B" w:rsidP="00FC5D59">
      <w:pPr>
        <w:pStyle w:val="afd"/>
        <w:numPr>
          <w:ilvl w:val="0"/>
          <w:numId w:val="72"/>
        </w:numPr>
        <w:tabs>
          <w:tab w:val="left" w:pos="851"/>
        </w:tabs>
        <w:overflowPunct/>
        <w:autoSpaceDE/>
        <w:autoSpaceDN/>
        <w:adjustRightInd/>
        <w:ind w:left="0" w:firstLine="567"/>
        <w:jc w:val="both"/>
        <w:textAlignment w:val="auto"/>
        <w:rPr>
          <w:rFonts w:cs="Arial"/>
          <w:sz w:val="20"/>
          <w:szCs w:val="20"/>
          <w:lang w:val="ru-RU"/>
        </w:rPr>
      </w:pPr>
      <w:r w:rsidRPr="00CD702B">
        <w:rPr>
          <w:rFonts w:cs="Arial"/>
          <w:sz w:val="20"/>
          <w:szCs w:val="20"/>
          <w:lang w:val="ru-RU"/>
        </w:rPr>
        <w:t xml:space="preserve">Производится  расчет совокупного объема выплаты по </w:t>
      </w:r>
      <w:r w:rsidRPr="00CD702B">
        <w:rPr>
          <w:rFonts w:cs="Arial"/>
          <w:sz w:val="20"/>
          <w:szCs w:val="20"/>
          <w:lang w:val="en-US"/>
        </w:rPr>
        <w:t>KPI</w:t>
      </w:r>
      <w:r w:rsidRPr="00CD702B">
        <w:rPr>
          <w:rFonts w:cs="Arial"/>
          <w:sz w:val="20"/>
          <w:szCs w:val="20"/>
          <w:lang w:val="ru-RU"/>
        </w:rPr>
        <w:t>-показателям по каждому сотруднику и представляется информация Совету Директоров Банка для принятия решения о размере выплат нефиксированной (отложенной) части  оплаты труда каждому сотруднику, приним</w:t>
      </w:r>
      <w:r w:rsidR="00A5473B">
        <w:rPr>
          <w:rFonts w:cs="Arial"/>
          <w:sz w:val="20"/>
          <w:szCs w:val="20"/>
          <w:lang w:val="ru-RU"/>
        </w:rPr>
        <w:t>ающему риски</w:t>
      </w:r>
    </w:p>
    <w:p w:rsidR="00CD702B" w:rsidRPr="00CD702B" w:rsidRDefault="00CD702B" w:rsidP="00FC5D59">
      <w:pPr>
        <w:pStyle w:val="afd"/>
        <w:numPr>
          <w:ilvl w:val="0"/>
          <w:numId w:val="72"/>
        </w:numPr>
        <w:tabs>
          <w:tab w:val="left" w:pos="851"/>
        </w:tabs>
        <w:overflowPunct/>
        <w:autoSpaceDE/>
        <w:autoSpaceDN/>
        <w:adjustRightInd/>
        <w:ind w:left="0" w:firstLine="567"/>
        <w:jc w:val="both"/>
        <w:textAlignment w:val="auto"/>
        <w:rPr>
          <w:rFonts w:cs="Arial"/>
          <w:sz w:val="20"/>
          <w:szCs w:val="20"/>
          <w:lang w:val="ru-RU"/>
        </w:rPr>
      </w:pPr>
      <w:r w:rsidRPr="00CD702B">
        <w:rPr>
          <w:rFonts w:cs="Arial"/>
          <w:sz w:val="20"/>
          <w:szCs w:val="20"/>
          <w:lang w:val="ru-RU"/>
        </w:rPr>
        <w:t>Совет Директоров Банка принимает р</w:t>
      </w:r>
      <w:r w:rsidR="00A5473B">
        <w:rPr>
          <w:rFonts w:cs="Arial"/>
          <w:sz w:val="20"/>
          <w:szCs w:val="20"/>
          <w:lang w:val="ru-RU"/>
        </w:rPr>
        <w:t>ешение о размере вознаграждений</w:t>
      </w:r>
    </w:p>
    <w:p w:rsidR="00CD702B" w:rsidRDefault="00CD702B" w:rsidP="00CD702B">
      <w:pPr>
        <w:jc w:val="both"/>
        <w:rPr>
          <w:rFonts w:cs="Arial"/>
          <w:sz w:val="20"/>
          <w:szCs w:val="20"/>
          <w:lang w:val="ru-RU"/>
        </w:rPr>
      </w:pPr>
    </w:p>
    <w:p w:rsidR="00CD702B" w:rsidRPr="00CD702B" w:rsidRDefault="00CD702B" w:rsidP="00CD702B">
      <w:pPr>
        <w:jc w:val="both"/>
        <w:rPr>
          <w:rFonts w:cs="Arial"/>
          <w:sz w:val="20"/>
          <w:szCs w:val="20"/>
          <w:lang w:val="ru-RU"/>
        </w:rPr>
      </w:pPr>
      <w:r w:rsidRPr="00CD702B">
        <w:rPr>
          <w:rFonts w:cs="Arial"/>
          <w:sz w:val="20"/>
          <w:szCs w:val="20"/>
          <w:lang w:val="ru-RU"/>
        </w:rPr>
        <w:t>Выплата нефиксированной части производится по следующей схеме:</w:t>
      </w:r>
    </w:p>
    <w:p w:rsidR="00CD702B" w:rsidRPr="00CD702B" w:rsidRDefault="00CD702B" w:rsidP="00FC5D59">
      <w:pPr>
        <w:pStyle w:val="afd"/>
        <w:numPr>
          <w:ilvl w:val="0"/>
          <w:numId w:val="73"/>
        </w:numPr>
        <w:tabs>
          <w:tab w:val="left" w:pos="851"/>
        </w:tabs>
        <w:ind w:left="0" w:firstLine="567"/>
        <w:jc w:val="both"/>
        <w:rPr>
          <w:rFonts w:cs="Arial"/>
          <w:sz w:val="20"/>
          <w:szCs w:val="20"/>
          <w:lang w:val="ru-RU"/>
        </w:rPr>
      </w:pPr>
      <w:r w:rsidRPr="00CD702B">
        <w:rPr>
          <w:rFonts w:cs="Arial"/>
          <w:sz w:val="20"/>
          <w:szCs w:val="20"/>
          <w:lang w:val="ru-RU"/>
        </w:rPr>
        <w:t>1 часть выплаты производится в течение 12 месяцев после отчетного периода и составляет не более 50 % от общего  размера</w:t>
      </w:r>
      <w:r w:rsidR="00A5473B">
        <w:rPr>
          <w:rFonts w:cs="Arial"/>
          <w:sz w:val="20"/>
          <w:szCs w:val="20"/>
          <w:lang w:val="ru-RU"/>
        </w:rPr>
        <w:t xml:space="preserve"> выплаты конкретному сотруднику</w:t>
      </w:r>
    </w:p>
    <w:p w:rsidR="00CD702B" w:rsidRPr="00CD702B" w:rsidRDefault="00CD702B" w:rsidP="00FC5D59">
      <w:pPr>
        <w:pStyle w:val="afd"/>
        <w:numPr>
          <w:ilvl w:val="0"/>
          <w:numId w:val="73"/>
        </w:numPr>
        <w:tabs>
          <w:tab w:val="left" w:pos="851"/>
        </w:tabs>
        <w:ind w:left="0" w:firstLine="567"/>
        <w:jc w:val="both"/>
        <w:rPr>
          <w:rFonts w:cs="Arial"/>
          <w:sz w:val="20"/>
          <w:szCs w:val="20"/>
          <w:lang w:val="ru-RU"/>
        </w:rPr>
      </w:pPr>
      <w:r w:rsidRPr="00CD702B">
        <w:rPr>
          <w:rFonts w:cs="Arial"/>
          <w:sz w:val="20"/>
          <w:szCs w:val="20"/>
          <w:lang w:val="ru-RU"/>
        </w:rPr>
        <w:t xml:space="preserve">2 часть выплаты производится через 3 года после отчетного периода в срок до 01 марта четвертого года  следующего за отчетным и составляет не менее 50 % от общего размера выплаты конкретному </w:t>
      </w:r>
      <w:r w:rsidR="00A5473B">
        <w:rPr>
          <w:rFonts w:cs="Arial"/>
          <w:sz w:val="20"/>
          <w:szCs w:val="20"/>
          <w:lang w:val="ru-RU"/>
        </w:rPr>
        <w:t>сотруднику</w:t>
      </w:r>
    </w:p>
    <w:p w:rsidR="00CD702B" w:rsidRPr="00D532AE" w:rsidRDefault="00CD702B" w:rsidP="00CD702B">
      <w:pPr>
        <w:pStyle w:val="afd"/>
        <w:ind w:left="1211"/>
        <w:jc w:val="both"/>
        <w:rPr>
          <w:rFonts w:cs="Arial"/>
          <w:sz w:val="20"/>
          <w:szCs w:val="20"/>
          <w:lang w:val="ru-RU"/>
        </w:rPr>
      </w:pPr>
    </w:p>
    <w:p w:rsidR="00CD702B" w:rsidRPr="00EC03FF" w:rsidRDefault="00CD702B" w:rsidP="00CD702B">
      <w:pPr>
        <w:jc w:val="both"/>
        <w:rPr>
          <w:rFonts w:cs="Arial"/>
          <w:b/>
          <w:szCs w:val="18"/>
          <w:lang w:val="ru-RU"/>
        </w:rPr>
      </w:pPr>
      <w:r w:rsidRPr="00EC03FF">
        <w:rPr>
          <w:rFonts w:cs="Arial"/>
          <w:b/>
          <w:szCs w:val="18"/>
          <w:lang w:val="ru-RU"/>
        </w:rPr>
        <w:t>Выплаты, учитывающие принятие сотрудниками всех значимых для Банка рисков, а также доходность деятельности Банка.</w:t>
      </w:r>
    </w:p>
    <w:p w:rsidR="00CD702B" w:rsidRPr="00EC03FF" w:rsidRDefault="00CD702B" w:rsidP="00CD702B">
      <w:pPr>
        <w:overflowPunct/>
        <w:autoSpaceDE/>
        <w:autoSpaceDN/>
        <w:adjustRightInd/>
        <w:jc w:val="both"/>
        <w:textAlignment w:val="auto"/>
        <w:rPr>
          <w:rFonts w:cs="Arial"/>
          <w:sz w:val="20"/>
          <w:szCs w:val="20"/>
          <w:lang w:val="ru-RU"/>
        </w:rPr>
      </w:pPr>
      <w:r w:rsidRPr="00EC03FF">
        <w:rPr>
          <w:rFonts w:cs="Arial"/>
          <w:sz w:val="20"/>
          <w:szCs w:val="20"/>
          <w:lang w:val="ru-RU"/>
        </w:rPr>
        <w:t>В Банке определены 3 уровня рисков, которым подвергается (подверглась) кредитная организация в результате действий работников:</w:t>
      </w:r>
    </w:p>
    <w:p w:rsidR="00CD702B" w:rsidRPr="00A5473B" w:rsidRDefault="00CD702B" w:rsidP="00FC5D59">
      <w:pPr>
        <w:pStyle w:val="afd"/>
        <w:numPr>
          <w:ilvl w:val="0"/>
          <w:numId w:val="74"/>
        </w:numPr>
        <w:tabs>
          <w:tab w:val="left" w:pos="851"/>
        </w:tabs>
        <w:overflowPunct/>
        <w:autoSpaceDE/>
        <w:autoSpaceDN/>
        <w:adjustRightInd/>
        <w:ind w:left="0" w:firstLine="567"/>
        <w:jc w:val="both"/>
        <w:textAlignment w:val="auto"/>
        <w:rPr>
          <w:rFonts w:cs="Arial"/>
          <w:sz w:val="20"/>
          <w:szCs w:val="20"/>
          <w:lang w:val="ru-RU"/>
        </w:rPr>
      </w:pPr>
      <w:r w:rsidRPr="00A5473B">
        <w:rPr>
          <w:rFonts w:cs="Arial"/>
          <w:sz w:val="20"/>
          <w:szCs w:val="20"/>
          <w:lang w:val="ru-RU"/>
        </w:rPr>
        <w:lastRenderedPageBreak/>
        <w:t>Уровень риска – 1 (высокий уровень)</w:t>
      </w:r>
    </w:p>
    <w:p w:rsidR="00CD702B" w:rsidRPr="00A5473B" w:rsidRDefault="00CD702B" w:rsidP="00FC5D59">
      <w:pPr>
        <w:pStyle w:val="afd"/>
        <w:numPr>
          <w:ilvl w:val="0"/>
          <w:numId w:val="74"/>
        </w:numPr>
        <w:tabs>
          <w:tab w:val="left" w:pos="851"/>
        </w:tabs>
        <w:overflowPunct/>
        <w:autoSpaceDE/>
        <w:autoSpaceDN/>
        <w:adjustRightInd/>
        <w:ind w:left="0" w:firstLine="567"/>
        <w:jc w:val="both"/>
        <w:textAlignment w:val="auto"/>
        <w:rPr>
          <w:rFonts w:cs="Arial"/>
          <w:sz w:val="20"/>
          <w:szCs w:val="20"/>
          <w:lang w:val="ru-RU"/>
        </w:rPr>
      </w:pPr>
      <w:r w:rsidRPr="00A5473B">
        <w:rPr>
          <w:rFonts w:cs="Arial"/>
          <w:sz w:val="20"/>
          <w:szCs w:val="20"/>
          <w:lang w:val="ru-RU"/>
        </w:rPr>
        <w:t>Уровень риска – 2 (средний уровень)</w:t>
      </w:r>
    </w:p>
    <w:p w:rsidR="00CD702B" w:rsidRPr="00A5473B" w:rsidRDefault="00CD702B" w:rsidP="00FC5D59">
      <w:pPr>
        <w:pStyle w:val="afd"/>
        <w:numPr>
          <w:ilvl w:val="0"/>
          <w:numId w:val="74"/>
        </w:numPr>
        <w:tabs>
          <w:tab w:val="left" w:pos="851"/>
        </w:tabs>
        <w:overflowPunct/>
        <w:autoSpaceDE/>
        <w:autoSpaceDN/>
        <w:adjustRightInd/>
        <w:ind w:left="0" w:firstLine="567"/>
        <w:jc w:val="both"/>
        <w:textAlignment w:val="auto"/>
        <w:rPr>
          <w:rFonts w:cs="Arial"/>
          <w:sz w:val="20"/>
          <w:szCs w:val="20"/>
          <w:lang w:val="ru-RU"/>
        </w:rPr>
      </w:pPr>
      <w:r w:rsidRPr="00A5473B">
        <w:rPr>
          <w:rFonts w:cs="Arial"/>
          <w:sz w:val="20"/>
          <w:szCs w:val="20"/>
          <w:lang w:val="ru-RU"/>
        </w:rPr>
        <w:t>Уровень риска – 3 (низкий уровень)</w:t>
      </w:r>
    </w:p>
    <w:p w:rsidR="00A5473B" w:rsidRDefault="00A5473B" w:rsidP="00CD702B">
      <w:pPr>
        <w:jc w:val="both"/>
        <w:rPr>
          <w:rFonts w:cs="Arial"/>
          <w:sz w:val="20"/>
          <w:szCs w:val="20"/>
          <w:lang w:val="ru-RU"/>
        </w:rPr>
      </w:pPr>
    </w:p>
    <w:p w:rsidR="00CD702B" w:rsidRPr="00EC03FF" w:rsidRDefault="00CD702B" w:rsidP="00CD702B">
      <w:pPr>
        <w:jc w:val="both"/>
        <w:rPr>
          <w:rFonts w:cs="Arial"/>
          <w:sz w:val="20"/>
          <w:szCs w:val="20"/>
          <w:lang w:val="ru-RU"/>
        </w:rPr>
      </w:pPr>
      <w:r w:rsidRPr="00EC03FF">
        <w:rPr>
          <w:rFonts w:cs="Arial"/>
          <w:sz w:val="20"/>
          <w:szCs w:val="20"/>
          <w:lang w:val="ru-RU"/>
        </w:rPr>
        <w:t xml:space="preserve">К </w:t>
      </w:r>
      <w:r w:rsidRPr="00EC03FF">
        <w:rPr>
          <w:rFonts w:cs="Arial"/>
          <w:sz w:val="20"/>
          <w:szCs w:val="20"/>
          <w:u w:val="single"/>
          <w:lang w:val="ru-RU"/>
        </w:rPr>
        <w:t>1 уровню риска</w:t>
      </w:r>
      <w:r w:rsidRPr="00EC03FF">
        <w:rPr>
          <w:rFonts w:cs="Arial"/>
          <w:sz w:val="20"/>
          <w:szCs w:val="20"/>
          <w:lang w:val="ru-RU"/>
        </w:rPr>
        <w:t xml:space="preserve"> относятся следующие категории сотрудников:</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lang w:val="ru-RU"/>
        </w:rPr>
      </w:pPr>
      <w:r w:rsidRPr="00EC03FF">
        <w:rPr>
          <w:rFonts w:cs="Arial"/>
          <w:sz w:val="20"/>
          <w:szCs w:val="20"/>
          <w:lang w:val="ru-RU"/>
        </w:rPr>
        <w:t>Единоличный исполнительный орган – Президент Банка</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rPr>
      </w:pPr>
      <w:r w:rsidRPr="00EC03FF">
        <w:rPr>
          <w:rFonts w:cs="Arial"/>
          <w:sz w:val="20"/>
          <w:szCs w:val="20"/>
        </w:rPr>
        <w:t>Члены Правления Банка</w:t>
      </w:r>
    </w:p>
    <w:p w:rsidR="00A5473B" w:rsidRDefault="00A5473B" w:rsidP="00A5473B">
      <w:pPr>
        <w:jc w:val="both"/>
        <w:rPr>
          <w:rFonts w:cs="Arial"/>
          <w:sz w:val="20"/>
          <w:szCs w:val="20"/>
          <w:lang w:val="ru-RU"/>
        </w:rPr>
      </w:pPr>
    </w:p>
    <w:p w:rsidR="00CD702B" w:rsidRPr="00A5473B" w:rsidRDefault="00CD702B" w:rsidP="00A5473B">
      <w:pPr>
        <w:jc w:val="both"/>
        <w:rPr>
          <w:rFonts w:cs="Arial"/>
          <w:sz w:val="20"/>
          <w:szCs w:val="20"/>
          <w:lang w:val="ru-RU"/>
        </w:rPr>
      </w:pPr>
      <w:r w:rsidRPr="00A5473B">
        <w:rPr>
          <w:rFonts w:cs="Arial"/>
          <w:sz w:val="20"/>
          <w:szCs w:val="20"/>
          <w:lang w:val="ru-RU"/>
        </w:rPr>
        <w:t xml:space="preserve">Ко </w:t>
      </w:r>
      <w:r w:rsidRPr="00A5473B">
        <w:rPr>
          <w:rFonts w:cs="Arial"/>
          <w:sz w:val="20"/>
          <w:szCs w:val="20"/>
          <w:u w:val="single"/>
          <w:lang w:val="ru-RU"/>
        </w:rPr>
        <w:t>2 уровню риска</w:t>
      </w:r>
      <w:r w:rsidRPr="00A5473B">
        <w:rPr>
          <w:rFonts w:cs="Arial"/>
          <w:sz w:val="20"/>
          <w:szCs w:val="20"/>
          <w:lang w:val="ru-RU"/>
        </w:rPr>
        <w:t xml:space="preserve"> относятся следующие категории сотрудников:</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lang w:val="ru-RU"/>
        </w:rPr>
      </w:pPr>
      <w:r w:rsidRPr="00EC03FF">
        <w:rPr>
          <w:rFonts w:cs="Arial"/>
          <w:sz w:val="20"/>
          <w:szCs w:val="20"/>
          <w:lang w:val="ru-RU"/>
        </w:rPr>
        <w:t>Члены функционирующих  на постоянной основе комитетов и комиссий, уполномоченных принимать решения о совершении сделок, влекущих для банка риски, обладающие решающим голосом (большой кредитный комитет, кредитный комитет, малый кредитный комитет, малый кредитный кабинет по розничному бизнесу, финансово-инвестиционный комитет, комитет по управлению ликвидности).</w:t>
      </w:r>
    </w:p>
    <w:p w:rsidR="00A5473B" w:rsidRDefault="00A5473B" w:rsidP="00A5473B">
      <w:pPr>
        <w:jc w:val="both"/>
        <w:rPr>
          <w:rFonts w:cs="Arial"/>
          <w:sz w:val="20"/>
          <w:szCs w:val="20"/>
          <w:lang w:val="ru-RU"/>
        </w:rPr>
      </w:pPr>
    </w:p>
    <w:p w:rsidR="00CD702B" w:rsidRPr="00EC03FF" w:rsidRDefault="00CD702B" w:rsidP="00A5473B">
      <w:pPr>
        <w:jc w:val="both"/>
        <w:rPr>
          <w:rFonts w:cs="Arial"/>
          <w:sz w:val="20"/>
          <w:szCs w:val="20"/>
          <w:lang w:val="ru-RU"/>
        </w:rPr>
      </w:pPr>
      <w:r w:rsidRPr="00EC03FF">
        <w:rPr>
          <w:rFonts w:cs="Arial"/>
          <w:sz w:val="20"/>
          <w:szCs w:val="20"/>
          <w:lang w:val="ru-RU"/>
        </w:rPr>
        <w:t xml:space="preserve">К </w:t>
      </w:r>
      <w:r w:rsidRPr="00EC03FF">
        <w:rPr>
          <w:rFonts w:cs="Arial"/>
          <w:sz w:val="20"/>
          <w:szCs w:val="20"/>
          <w:u w:val="single"/>
          <w:lang w:val="ru-RU"/>
        </w:rPr>
        <w:t>3 уровню риска</w:t>
      </w:r>
      <w:r w:rsidRPr="00EC03FF">
        <w:rPr>
          <w:rFonts w:cs="Arial"/>
          <w:sz w:val="20"/>
          <w:szCs w:val="20"/>
          <w:lang w:val="ru-RU"/>
        </w:rPr>
        <w:t xml:space="preserve"> относятся следующие категории сотрудников:</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rPr>
      </w:pPr>
      <w:r w:rsidRPr="00EC03FF">
        <w:rPr>
          <w:rFonts w:cs="Arial"/>
          <w:sz w:val="20"/>
          <w:szCs w:val="20"/>
        </w:rPr>
        <w:t>Начальник управления развития розничного бизнеса</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lang w:val="ru-RU"/>
        </w:rPr>
      </w:pPr>
      <w:r w:rsidRPr="00EC03FF">
        <w:rPr>
          <w:rFonts w:cs="Arial"/>
          <w:sz w:val="20"/>
          <w:szCs w:val="20"/>
          <w:lang w:val="ru-RU"/>
        </w:rPr>
        <w:t>Заместитель начальника управления развития розничного бизнеса</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lang w:val="ru-RU"/>
        </w:rPr>
      </w:pPr>
      <w:r w:rsidRPr="00EC03FF">
        <w:rPr>
          <w:rFonts w:cs="Arial"/>
          <w:sz w:val="20"/>
          <w:szCs w:val="20"/>
          <w:lang w:val="ru-RU"/>
        </w:rPr>
        <w:t>Начальник отдела по работе на финансовых рынках</w:t>
      </w:r>
    </w:p>
    <w:p w:rsidR="00CD702B" w:rsidRPr="00EC03FF" w:rsidRDefault="00CD702B" w:rsidP="00FC5D59">
      <w:pPr>
        <w:pStyle w:val="afd"/>
        <w:numPr>
          <w:ilvl w:val="0"/>
          <w:numId w:val="71"/>
        </w:numPr>
        <w:tabs>
          <w:tab w:val="left" w:pos="851"/>
        </w:tabs>
        <w:overflowPunct/>
        <w:autoSpaceDE/>
        <w:autoSpaceDN/>
        <w:adjustRightInd/>
        <w:ind w:left="0" w:firstLine="567"/>
        <w:jc w:val="both"/>
        <w:textAlignment w:val="auto"/>
        <w:rPr>
          <w:rFonts w:cs="Arial"/>
          <w:sz w:val="20"/>
          <w:szCs w:val="20"/>
          <w:lang w:val="ru-RU"/>
        </w:rPr>
      </w:pPr>
      <w:r w:rsidRPr="00EC03FF">
        <w:rPr>
          <w:rFonts w:cs="Arial"/>
          <w:sz w:val="20"/>
          <w:szCs w:val="20"/>
          <w:lang w:val="ru-RU"/>
        </w:rPr>
        <w:t>Начальник отдела по работе на фондовых рынках</w:t>
      </w:r>
    </w:p>
    <w:p w:rsidR="00A5473B" w:rsidRDefault="00A5473B" w:rsidP="00CD702B">
      <w:pPr>
        <w:overflowPunct/>
        <w:autoSpaceDE/>
        <w:autoSpaceDN/>
        <w:adjustRightInd/>
        <w:jc w:val="both"/>
        <w:textAlignment w:val="auto"/>
        <w:rPr>
          <w:rFonts w:cs="Arial"/>
          <w:sz w:val="20"/>
          <w:szCs w:val="20"/>
          <w:lang w:val="ru-RU"/>
        </w:rPr>
      </w:pPr>
    </w:p>
    <w:p w:rsidR="00CD702B" w:rsidRPr="00EC03FF" w:rsidRDefault="00CD702B" w:rsidP="00CD702B">
      <w:pPr>
        <w:overflowPunct/>
        <w:autoSpaceDE/>
        <w:autoSpaceDN/>
        <w:adjustRightInd/>
        <w:jc w:val="both"/>
        <w:textAlignment w:val="auto"/>
        <w:rPr>
          <w:rFonts w:cs="Arial"/>
          <w:sz w:val="20"/>
          <w:szCs w:val="20"/>
          <w:lang w:val="ru-RU"/>
        </w:rPr>
      </w:pPr>
      <w:r w:rsidRPr="00EC03FF">
        <w:rPr>
          <w:rFonts w:cs="Arial"/>
          <w:sz w:val="20"/>
          <w:szCs w:val="20"/>
          <w:lang w:val="ru-RU"/>
        </w:rPr>
        <w:t>Система оплаты труда работников принимающих риски.</w:t>
      </w:r>
    </w:p>
    <w:p w:rsidR="00CD702B" w:rsidRPr="00A5473B" w:rsidRDefault="00CD702B" w:rsidP="00A5473B">
      <w:pPr>
        <w:jc w:val="both"/>
        <w:rPr>
          <w:rFonts w:cs="Arial"/>
          <w:sz w:val="20"/>
          <w:szCs w:val="20"/>
          <w:lang w:val="ru-RU"/>
        </w:rPr>
      </w:pPr>
      <w:r w:rsidRPr="00A5473B">
        <w:rPr>
          <w:rFonts w:cs="Arial"/>
          <w:b/>
          <w:sz w:val="20"/>
          <w:szCs w:val="20"/>
          <w:lang w:val="en-US"/>
        </w:rPr>
        <w:t>KPI</w:t>
      </w:r>
      <w:r w:rsidRPr="00A5473B">
        <w:rPr>
          <w:rFonts w:cs="Arial"/>
          <w:b/>
          <w:sz w:val="20"/>
          <w:szCs w:val="20"/>
          <w:lang w:val="ru-RU"/>
        </w:rPr>
        <w:t xml:space="preserve"> – ключевой показатель эффективности</w:t>
      </w:r>
      <w:r w:rsidRPr="00A5473B">
        <w:rPr>
          <w:rFonts w:cs="Arial"/>
          <w:sz w:val="20"/>
          <w:szCs w:val="20"/>
          <w:lang w:val="ru-RU"/>
        </w:rPr>
        <w:t xml:space="preserve"> – показатель, с помощью которого оценивается уровень результативности и эффективности деятельности сотрудников, учитывающий принятие сотрудниками всех значимых для Банка рисков, а также доходность деятельности Банка.</w:t>
      </w:r>
    </w:p>
    <w:p w:rsidR="00CD702B" w:rsidRPr="00A5473B" w:rsidRDefault="00CD702B" w:rsidP="00A5473B">
      <w:pPr>
        <w:jc w:val="both"/>
        <w:rPr>
          <w:rFonts w:cs="Arial"/>
          <w:sz w:val="20"/>
          <w:szCs w:val="20"/>
          <w:lang w:val="ru-RU"/>
        </w:rPr>
      </w:pPr>
      <w:r w:rsidRPr="00A5473B">
        <w:rPr>
          <w:rFonts w:cs="Arial"/>
          <w:sz w:val="20"/>
          <w:szCs w:val="20"/>
          <w:lang w:val="ru-RU"/>
        </w:rPr>
        <w:t xml:space="preserve">Для каждого уровня предусмотрен общий </w:t>
      </w:r>
      <w:r w:rsidRPr="00A5473B">
        <w:rPr>
          <w:rFonts w:cs="Arial"/>
          <w:sz w:val="20"/>
          <w:szCs w:val="20"/>
          <w:lang w:val="en-US"/>
        </w:rPr>
        <w:t>KPI</w:t>
      </w:r>
      <w:r w:rsidRPr="00A5473B">
        <w:rPr>
          <w:rFonts w:cs="Arial"/>
          <w:sz w:val="20"/>
          <w:szCs w:val="20"/>
          <w:lang w:val="ru-RU"/>
        </w:rPr>
        <w:t xml:space="preserve">-показатель, а так же индивидуальные </w:t>
      </w:r>
      <w:r w:rsidRPr="00A5473B">
        <w:rPr>
          <w:rFonts w:cs="Arial"/>
          <w:sz w:val="20"/>
          <w:szCs w:val="20"/>
          <w:lang w:val="en-US"/>
        </w:rPr>
        <w:t>KPI</w:t>
      </w:r>
      <w:r w:rsidRPr="00A5473B">
        <w:rPr>
          <w:rFonts w:cs="Arial"/>
          <w:sz w:val="20"/>
          <w:szCs w:val="20"/>
          <w:lang w:val="ru-RU"/>
        </w:rPr>
        <w:t>-показатели по каждой группе рисков.</w:t>
      </w:r>
    </w:p>
    <w:p w:rsidR="00CD702B" w:rsidRPr="00EC03FF" w:rsidRDefault="00CD702B" w:rsidP="00A5473B">
      <w:pPr>
        <w:pStyle w:val="afd"/>
        <w:ind w:left="0"/>
        <w:jc w:val="both"/>
        <w:rPr>
          <w:rFonts w:cs="Arial"/>
          <w:sz w:val="20"/>
          <w:szCs w:val="20"/>
          <w:lang w:val="ru-RU"/>
        </w:rPr>
      </w:pPr>
      <w:r w:rsidRPr="00EC03FF">
        <w:rPr>
          <w:rFonts w:cs="Arial"/>
          <w:sz w:val="20"/>
          <w:szCs w:val="20"/>
          <w:lang w:val="ru-RU"/>
        </w:rPr>
        <w:t>В случае, если сотрудник относится к нескольким категориям рисков расчёт отсроченного вознаграждения производится по высшей категории.</w:t>
      </w:r>
    </w:p>
    <w:p w:rsidR="00CD702B" w:rsidRPr="00A5473B" w:rsidRDefault="00CD702B" w:rsidP="00A5473B">
      <w:pPr>
        <w:jc w:val="both"/>
        <w:rPr>
          <w:rFonts w:cs="Arial"/>
          <w:sz w:val="20"/>
          <w:szCs w:val="20"/>
          <w:lang w:val="ru-RU"/>
        </w:rPr>
      </w:pPr>
      <w:r w:rsidRPr="00A5473B">
        <w:rPr>
          <w:rFonts w:cs="Arial"/>
          <w:sz w:val="20"/>
          <w:szCs w:val="20"/>
          <w:lang w:val="ru-RU"/>
        </w:rPr>
        <w:t xml:space="preserve">Общий </w:t>
      </w:r>
      <w:r w:rsidRPr="00A5473B">
        <w:rPr>
          <w:rFonts w:cs="Arial"/>
          <w:sz w:val="20"/>
          <w:szCs w:val="20"/>
          <w:lang w:val="en-US"/>
        </w:rPr>
        <w:t>KPI</w:t>
      </w:r>
      <w:r w:rsidRPr="00A5473B">
        <w:rPr>
          <w:rFonts w:cs="Arial"/>
          <w:sz w:val="20"/>
          <w:szCs w:val="20"/>
          <w:lang w:val="ru-RU"/>
        </w:rPr>
        <w:t>-показатель - Выполнение годового плана по чистому финансовому результату, где:</w:t>
      </w:r>
    </w:p>
    <w:p w:rsidR="00CD702B" w:rsidRPr="00A5473B" w:rsidRDefault="00CD702B" w:rsidP="00A5473B">
      <w:pPr>
        <w:jc w:val="both"/>
        <w:rPr>
          <w:rFonts w:cs="Arial"/>
          <w:sz w:val="20"/>
          <w:szCs w:val="20"/>
          <w:lang w:val="ru-RU"/>
        </w:rPr>
      </w:pPr>
      <w:r w:rsidRPr="00A5473B">
        <w:rPr>
          <w:rFonts w:cs="Arial"/>
          <w:sz w:val="20"/>
          <w:szCs w:val="20"/>
          <w:lang w:val="ru-RU"/>
        </w:rPr>
        <w:t xml:space="preserve">«Чистый финансовый результат» - балансовая прибыль банка, которая остается в распоряжении акционеров, после уплаты всех налогов, сборов, отчислений  и других обязательств перед бюджетом. </w:t>
      </w:r>
    </w:p>
    <w:p w:rsidR="00CD702B" w:rsidRPr="00EC03FF" w:rsidRDefault="00CD702B" w:rsidP="00A5473B">
      <w:pPr>
        <w:contextualSpacing/>
        <w:jc w:val="both"/>
        <w:rPr>
          <w:rFonts w:cs="Arial"/>
          <w:sz w:val="20"/>
          <w:szCs w:val="20"/>
          <w:lang w:val="ru-RU"/>
        </w:rPr>
      </w:pPr>
      <w:r w:rsidRPr="00EC03FF">
        <w:rPr>
          <w:rFonts w:cs="Arial"/>
          <w:sz w:val="20"/>
          <w:szCs w:val="20"/>
          <w:lang w:val="ru-RU"/>
        </w:rPr>
        <w:t>Общая сумма размера нефиксированной части оплаты труда в части стимулирующих выплат не может превышать 85 %  чистого финансового результата и распределяется между работниками принимающими риски по доле размера стимулирующей выплаты, рассчитанной на основании ключевых показателей.</w:t>
      </w:r>
    </w:p>
    <w:p w:rsidR="00CD702B" w:rsidRPr="00A5473B" w:rsidRDefault="00CD702B" w:rsidP="00A5473B">
      <w:pPr>
        <w:jc w:val="both"/>
        <w:rPr>
          <w:rFonts w:cs="Arial"/>
          <w:sz w:val="20"/>
          <w:szCs w:val="20"/>
          <w:lang w:val="ru-RU"/>
        </w:rPr>
      </w:pPr>
      <w:r w:rsidRPr="00A5473B">
        <w:rPr>
          <w:rFonts w:cs="Arial"/>
          <w:sz w:val="20"/>
          <w:szCs w:val="20"/>
          <w:lang w:val="ru-RU"/>
        </w:rPr>
        <w:t xml:space="preserve">В случае недостижения установленного общего </w:t>
      </w:r>
      <w:r w:rsidRPr="00A5473B">
        <w:rPr>
          <w:rFonts w:cs="Arial"/>
          <w:sz w:val="20"/>
          <w:szCs w:val="20"/>
          <w:lang w:val="en-US"/>
        </w:rPr>
        <w:t>KPI</w:t>
      </w:r>
      <w:r w:rsidRPr="00A5473B">
        <w:rPr>
          <w:rFonts w:cs="Arial"/>
          <w:sz w:val="20"/>
          <w:szCs w:val="20"/>
          <w:lang w:val="ru-RU"/>
        </w:rPr>
        <w:t xml:space="preserve">-показателя, отсроченное вознаграждение не выплачивается.  В случае достижения установленного общего </w:t>
      </w:r>
      <w:r w:rsidRPr="00A5473B">
        <w:rPr>
          <w:rFonts w:cs="Arial"/>
          <w:sz w:val="20"/>
          <w:szCs w:val="20"/>
          <w:lang w:val="en-US"/>
        </w:rPr>
        <w:t>KPI</w:t>
      </w:r>
      <w:r w:rsidRPr="00A5473B">
        <w:rPr>
          <w:rFonts w:cs="Arial"/>
          <w:sz w:val="20"/>
          <w:szCs w:val="20"/>
          <w:lang w:val="ru-RU"/>
        </w:rPr>
        <w:t xml:space="preserve">-показателя, отсроченное вознаграждение рассчитывается с учетом долей по каждому индивидуальному показателю. Совокупный объем выплат рассчитывается по всем </w:t>
      </w:r>
      <w:r w:rsidRPr="00A5473B">
        <w:rPr>
          <w:rFonts w:cs="Arial"/>
          <w:sz w:val="20"/>
          <w:szCs w:val="20"/>
          <w:lang w:val="en-US"/>
        </w:rPr>
        <w:t>KPI</w:t>
      </w:r>
      <w:r w:rsidRPr="00A5473B">
        <w:rPr>
          <w:rFonts w:cs="Arial"/>
          <w:sz w:val="20"/>
          <w:szCs w:val="20"/>
          <w:lang w:val="ru-RU"/>
        </w:rPr>
        <w:t>-показателям за отчетный период. Выплата производится по следующей схеме:</w:t>
      </w:r>
    </w:p>
    <w:p w:rsidR="00CD702B" w:rsidRPr="00EC03FF" w:rsidRDefault="00CD702B" w:rsidP="00CD702B">
      <w:pPr>
        <w:pStyle w:val="afd"/>
        <w:ind w:left="142" w:firstLine="709"/>
        <w:jc w:val="both"/>
        <w:rPr>
          <w:rFonts w:cs="Arial"/>
          <w:sz w:val="20"/>
          <w:szCs w:val="20"/>
          <w:lang w:val="ru-RU"/>
        </w:rPr>
      </w:pPr>
      <w:r w:rsidRPr="00EC03FF">
        <w:rPr>
          <w:rFonts w:cs="Arial"/>
          <w:sz w:val="20"/>
          <w:szCs w:val="20"/>
          <w:lang w:val="ru-RU"/>
        </w:rPr>
        <w:t>1 часть выплаты производится в течение 12 месяцев после отчетного периода и составляет не более 50 % от общего  размера выплаты конкретному сотруднику;</w:t>
      </w:r>
    </w:p>
    <w:p w:rsidR="00CD702B" w:rsidRPr="00EC03FF" w:rsidRDefault="00CD702B" w:rsidP="00CD702B">
      <w:pPr>
        <w:pStyle w:val="afd"/>
        <w:ind w:left="142" w:firstLine="709"/>
        <w:jc w:val="both"/>
        <w:rPr>
          <w:rFonts w:cs="Arial"/>
          <w:sz w:val="20"/>
          <w:szCs w:val="20"/>
          <w:lang w:val="ru-RU"/>
        </w:rPr>
      </w:pPr>
      <w:r w:rsidRPr="00EC03FF">
        <w:rPr>
          <w:rFonts w:cs="Arial"/>
          <w:sz w:val="20"/>
          <w:szCs w:val="20"/>
          <w:lang w:val="ru-RU"/>
        </w:rPr>
        <w:t>2 часть выплаты производится через 3 года после отчетного периода в срок до 01 марта четвертого года  следующего за отчетным и составляет не менее 50 % от общего размера выплаты конкретному сотруднику.</w:t>
      </w:r>
    </w:p>
    <w:p w:rsidR="00CD702B" w:rsidRPr="00EC03FF" w:rsidRDefault="00CD702B" w:rsidP="00CD702B">
      <w:pPr>
        <w:pStyle w:val="aff5"/>
        <w:rPr>
          <w:b w:val="0"/>
          <w:i w:val="0"/>
          <w:sz w:val="20"/>
          <w:szCs w:val="20"/>
        </w:rPr>
      </w:pPr>
    </w:p>
    <w:p w:rsidR="00CD702B" w:rsidRPr="00E41356" w:rsidRDefault="00CD702B" w:rsidP="00CD702B">
      <w:pPr>
        <w:jc w:val="both"/>
        <w:rPr>
          <w:rFonts w:cs="Arial"/>
          <w:b/>
          <w:sz w:val="20"/>
          <w:szCs w:val="20"/>
          <w:lang w:val="ru-RU"/>
        </w:rPr>
      </w:pPr>
      <w:r w:rsidRPr="00E41356">
        <w:rPr>
          <w:rFonts w:cs="Arial"/>
          <w:b/>
          <w:sz w:val="20"/>
          <w:szCs w:val="20"/>
          <w:lang w:val="ru-RU"/>
        </w:rPr>
        <w:t>Информация о видах выплат, относящихся к нефиксированной части оплаты труда, включая денежные средства, акции или финансовые инструменты, иные способы и обоснование использования таких форм</w:t>
      </w:r>
    </w:p>
    <w:p w:rsidR="00CD702B" w:rsidRPr="004B590A" w:rsidRDefault="00CD702B" w:rsidP="00CD702B">
      <w:pPr>
        <w:jc w:val="both"/>
        <w:rPr>
          <w:sz w:val="20"/>
          <w:szCs w:val="20"/>
          <w:lang w:val="ru-RU"/>
        </w:rPr>
      </w:pPr>
      <w:r w:rsidRPr="004B590A">
        <w:rPr>
          <w:sz w:val="20"/>
          <w:szCs w:val="20"/>
          <w:lang w:val="ru-RU"/>
        </w:rPr>
        <w:t xml:space="preserve">В связи с успешным исполнением Банком ключевых плановых показателей деятельности, на основании решения Совета директоров (Протокол от 12.03.2018 № 024) и Положения о системе оплаты труда и мотивации в 2018 году были выплачены вознаграждения по итогам работы за 2017 год, относящиеся к нефиксированной (отложенной) части оплаты труда, работникам, относящимися к 1 уровню риска, в сумме 7 404 тыс. руб. </w:t>
      </w:r>
    </w:p>
    <w:p w:rsidR="00CD702B" w:rsidRPr="004B590A" w:rsidRDefault="00CD702B" w:rsidP="00CD702B">
      <w:pPr>
        <w:jc w:val="both"/>
        <w:rPr>
          <w:sz w:val="20"/>
          <w:szCs w:val="20"/>
          <w:lang w:val="ru-RU"/>
        </w:rPr>
      </w:pPr>
      <w:r w:rsidRPr="004B590A">
        <w:rPr>
          <w:sz w:val="20"/>
          <w:szCs w:val="20"/>
          <w:lang w:val="ru-RU"/>
        </w:rPr>
        <w:t>Кроме того, из общего объема выплат за 2017 год, в связи с успешным исполнением Банком ключевых плановых показателей деятельности, на основании решения Совета директоров (Протокол от 12.03.2018 № 024) и Положения о системе оплаты труда и мотивации в 2018 году были выплачены вознаграждения по итогам работы за 2017 год, относящиеся к нефиксированной части оплаты труда, работникам, относящимися к 2, 3 уровню риска, в сумме 1 494 тыс. руб.</w:t>
      </w:r>
      <w:r>
        <w:rPr>
          <w:sz w:val="20"/>
          <w:szCs w:val="20"/>
        </w:rPr>
        <w:t> </w:t>
      </w:r>
      <w:r w:rsidRPr="004B590A">
        <w:rPr>
          <w:sz w:val="20"/>
          <w:szCs w:val="20"/>
          <w:lang w:val="ru-RU"/>
        </w:rPr>
        <w:t xml:space="preserve"> </w:t>
      </w:r>
    </w:p>
    <w:p w:rsidR="00CD702B" w:rsidRPr="004B590A" w:rsidRDefault="00CD702B" w:rsidP="00CD702B">
      <w:pPr>
        <w:jc w:val="both"/>
        <w:rPr>
          <w:sz w:val="20"/>
          <w:szCs w:val="20"/>
          <w:lang w:val="ru-RU"/>
        </w:rPr>
      </w:pPr>
      <w:r w:rsidRPr="004B590A">
        <w:rPr>
          <w:sz w:val="20"/>
          <w:szCs w:val="20"/>
          <w:lang w:val="ru-RU"/>
        </w:rPr>
        <w:t xml:space="preserve">В 2018 году иных способов и форм выплат в </w:t>
      </w:r>
      <w:r w:rsidR="00A5473B">
        <w:rPr>
          <w:sz w:val="20"/>
          <w:szCs w:val="20"/>
          <w:lang w:val="ru-RU"/>
        </w:rPr>
        <w:t>Б</w:t>
      </w:r>
      <w:r w:rsidRPr="004B590A">
        <w:rPr>
          <w:sz w:val="20"/>
          <w:szCs w:val="20"/>
          <w:lang w:val="ru-RU"/>
        </w:rPr>
        <w:t>анке не было.</w:t>
      </w:r>
    </w:p>
    <w:p w:rsidR="00CD702B" w:rsidRPr="00EC03FF" w:rsidRDefault="00CD702B" w:rsidP="00CD702B">
      <w:pPr>
        <w:jc w:val="both"/>
        <w:rPr>
          <w:rFonts w:cs="Arial"/>
          <w:sz w:val="20"/>
          <w:szCs w:val="20"/>
          <w:lang w:val="ru-RU"/>
        </w:rPr>
      </w:pPr>
    </w:p>
    <w:p w:rsidR="00CD702B" w:rsidRPr="00EC03FF" w:rsidRDefault="00CD702B" w:rsidP="00CD702B">
      <w:pPr>
        <w:jc w:val="both"/>
        <w:rPr>
          <w:rFonts w:cs="Arial"/>
          <w:sz w:val="20"/>
          <w:szCs w:val="20"/>
          <w:lang w:val="ru-RU"/>
        </w:rPr>
      </w:pPr>
      <w:r w:rsidRPr="00EC03FF">
        <w:rPr>
          <w:rFonts w:cs="Arial"/>
          <w:sz w:val="20"/>
          <w:szCs w:val="20"/>
          <w:lang w:val="ru-RU"/>
        </w:rPr>
        <w:lastRenderedPageBreak/>
        <w:t xml:space="preserve">В связи с успешным исполнением Банком ключевых плановых показателей деятельности, на основании решения Совета директоров (Протокол от 27.12.2016 № 16) и Положения о системе оплаты труда и мотивации в 2017 году были выплачены вознаграждения по итогам работы за 2016 год, относящиеся к нефиксированной (отложенной) части оплаты труда, работникам, относящимися к 1 уровню риска, в сумме 9 702 тыс. руб. </w:t>
      </w:r>
    </w:p>
    <w:p w:rsidR="00CD702B" w:rsidRPr="00EC03FF" w:rsidRDefault="00CD702B" w:rsidP="00CD702B">
      <w:pPr>
        <w:jc w:val="both"/>
        <w:rPr>
          <w:rFonts w:cs="Arial"/>
          <w:sz w:val="20"/>
          <w:szCs w:val="20"/>
          <w:lang w:val="ru-RU"/>
        </w:rPr>
      </w:pPr>
      <w:r w:rsidRPr="00EC03FF">
        <w:rPr>
          <w:rFonts w:cs="Arial"/>
          <w:sz w:val="20"/>
          <w:szCs w:val="20"/>
          <w:lang w:val="ru-RU"/>
        </w:rPr>
        <w:t xml:space="preserve">Кроме того, из общего объема выплат за 2016 год, в связи с успешным исполнением Банком ключевых плановых показателей деятельности, на основании решения Совета директоров (Протокол от 27.12.2016 № 16) и Положения о системе оплаты труда и мотивации в 2017 году были выплачены вознаграждения по итогам работы за 2016 год, относящиеся к нефиксированной части оплаты труда, работникам, относящимися к 2, 3 уровню риска, в сумме 2 471 тыс. руб.  </w:t>
      </w:r>
    </w:p>
    <w:p w:rsidR="00CD702B" w:rsidRPr="00EC03FF" w:rsidRDefault="00CD702B" w:rsidP="00CD702B">
      <w:pPr>
        <w:jc w:val="both"/>
        <w:rPr>
          <w:rFonts w:cs="Arial"/>
          <w:sz w:val="20"/>
          <w:szCs w:val="20"/>
          <w:lang w:val="ru-RU"/>
        </w:rPr>
      </w:pPr>
      <w:r w:rsidRPr="00EC03FF">
        <w:rPr>
          <w:rFonts w:cs="Arial"/>
          <w:sz w:val="20"/>
          <w:szCs w:val="20"/>
          <w:lang w:val="ru-RU"/>
        </w:rPr>
        <w:t xml:space="preserve">В 2017 году иных способов и форм выплат в </w:t>
      </w:r>
      <w:r w:rsidR="00A5473B">
        <w:rPr>
          <w:rFonts w:cs="Arial"/>
          <w:sz w:val="20"/>
          <w:szCs w:val="20"/>
          <w:lang w:val="ru-RU"/>
        </w:rPr>
        <w:t>Б</w:t>
      </w:r>
      <w:r w:rsidRPr="00EC03FF">
        <w:rPr>
          <w:rFonts w:cs="Arial"/>
          <w:sz w:val="20"/>
          <w:szCs w:val="20"/>
          <w:lang w:val="ru-RU"/>
        </w:rPr>
        <w:t>анке не было.</w:t>
      </w:r>
    </w:p>
    <w:p w:rsidR="00CD702B" w:rsidRPr="00D532AE" w:rsidRDefault="00CD702B" w:rsidP="00CD702B">
      <w:pPr>
        <w:jc w:val="both"/>
        <w:rPr>
          <w:rFonts w:cs="Arial"/>
          <w:sz w:val="20"/>
          <w:szCs w:val="20"/>
          <w:lang w:val="ru-RU"/>
        </w:rPr>
      </w:pPr>
      <w:r w:rsidRPr="00D532AE">
        <w:rPr>
          <w:rFonts w:cs="Arial"/>
          <w:sz w:val="20"/>
          <w:szCs w:val="20"/>
          <w:lang w:val="ru-RU"/>
        </w:rPr>
        <w:t xml:space="preserve">   </w:t>
      </w:r>
    </w:p>
    <w:p w:rsidR="00CD702B" w:rsidRPr="00A5473B" w:rsidRDefault="00CD702B" w:rsidP="00CD702B">
      <w:pPr>
        <w:jc w:val="both"/>
        <w:rPr>
          <w:rFonts w:cs="Arial"/>
          <w:b/>
          <w:sz w:val="20"/>
          <w:szCs w:val="20"/>
          <w:lang w:val="ru-RU"/>
        </w:rPr>
      </w:pPr>
      <w:r w:rsidRPr="00A5473B">
        <w:rPr>
          <w:rFonts w:cs="Arial"/>
          <w:b/>
          <w:sz w:val="20"/>
          <w:szCs w:val="20"/>
          <w:lang w:val="ru-RU"/>
        </w:rPr>
        <w:t>Сведения в отношении членов исполнительных органов и иных работников, осуществляющих функции принятия рисков</w:t>
      </w:r>
    </w:p>
    <w:p w:rsidR="00CD702B" w:rsidRPr="00D532AE" w:rsidRDefault="00CD702B" w:rsidP="00CD702B">
      <w:pPr>
        <w:jc w:val="both"/>
        <w:rPr>
          <w:rFonts w:cs="Arial"/>
          <w:sz w:val="20"/>
          <w:szCs w:val="20"/>
          <w:lang w:val="ru-RU"/>
        </w:rPr>
      </w:pPr>
      <w:r w:rsidRPr="00D532AE">
        <w:rPr>
          <w:rFonts w:cs="Arial"/>
          <w:sz w:val="20"/>
          <w:szCs w:val="20"/>
          <w:lang w:val="ru-RU"/>
        </w:rPr>
        <w:t>В течение 201</w:t>
      </w:r>
      <w:r>
        <w:rPr>
          <w:rFonts w:cs="Arial"/>
          <w:sz w:val="20"/>
          <w:szCs w:val="20"/>
          <w:lang w:val="ru-RU"/>
        </w:rPr>
        <w:t>8</w:t>
      </w:r>
      <w:r w:rsidRPr="00D532AE">
        <w:rPr>
          <w:rFonts w:cs="Arial"/>
          <w:sz w:val="20"/>
          <w:szCs w:val="20"/>
          <w:lang w:val="ru-RU"/>
        </w:rPr>
        <w:t xml:space="preserve"> года производились выплаты 1</w:t>
      </w:r>
      <w:r>
        <w:rPr>
          <w:rFonts w:cs="Arial"/>
          <w:sz w:val="20"/>
          <w:szCs w:val="20"/>
          <w:lang w:val="ru-RU"/>
        </w:rPr>
        <w:t>8</w:t>
      </w:r>
      <w:r w:rsidRPr="00D532AE">
        <w:rPr>
          <w:rFonts w:cs="Arial"/>
          <w:sz w:val="20"/>
          <w:szCs w:val="20"/>
          <w:lang w:val="ru-RU"/>
        </w:rPr>
        <w:t xml:space="preserve"> сотрудникам, осуществляющих функции принятия рисков, их них выплачена нефиксированная часть оплаты труда </w:t>
      </w:r>
      <w:r>
        <w:rPr>
          <w:rFonts w:cs="Arial"/>
          <w:sz w:val="20"/>
          <w:szCs w:val="20"/>
          <w:lang w:val="ru-RU"/>
        </w:rPr>
        <w:t>3</w:t>
      </w:r>
      <w:r w:rsidRPr="00D532AE">
        <w:rPr>
          <w:rFonts w:cs="Arial"/>
          <w:sz w:val="20"/>
          <w:szCs w:val="20"/>
          <w:lang w:val="ru-RU"/>
        </w:rPr>
        <w:t xml:space="preserve"> сотрудникам, из них членов исполнительных органов </w:t>
      </w:r>
      <w:r>
        <w:rPr>
          <w:rFonts w:cs="Arial"/>
          <w:sz w:val="20"/>
          <w:szCs w:val="20"/>
          <w:lang w:val="ru-RU"/>
        </w:rPr>
        <w:t>1</w:t>
      </w:r>
      <w:r w:rsidRPr="00D532AE">
        <w:rPr>
          <w:rFonts w:cs="Arial"/>
          <w:sz w:val="20"/>
          <w:szCs w:val="20"/>
          <w:lang w:val="ru-RU"/>
        </w:rPr>
        <w:t xml:space="preserve"> сотрудников.</w:t>
      </w:r>
    </w:p>
    <w:p w:rsidR="00CD702B" w:rsidRPr="00D532AE" w:rsidRDefault="00CD702B" w:rsidP="00CD702B">
      <w:pPr>
        <w:jc w:val="both"/>
        <w:rPr>
          <w:rFonts w:cs="Arial"/>
          <w:sz w:val="20"/>
          <w:szCs w:val="20"/>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985"/>
        <w:gridCol w:w="1842"/>
      </w:tblGrid>
      <w:tr w:rsidR="00CD702B" w:rsidRPr="00D532AE" w:rsidTr="00A01AD9">
        <w:trPr>
          <w:cantSplit/>
          <w:trHeight w:val="348"/>
          <w:tblHeader/>
        </w:trPr>
        <w:tc>
          <w:tcPr>
            <w:tcW w:w="5637" w:type="dxa"/>
            <w:shd w:val="clear" w:color="auto" w:fill="auto"/>
            <w:noWrap/>
            <w:vAlign w:val="center"/>
          </w:tcPr>
          <w:p w:rsidR="00CD702B" w:rsidRPr="00D532AE" w:rsidRDefault="00CD702B" w:rsidP="00A01AD9">
            <w:pPr>
              <w:overflowPunct/>
              <w:autoSpaceDE/>
              <w:autoSpaceDN/>
              <w:adjustRightInd/>
              <w:jc w:val="center"/>
              <w:rPr>
                <w:rFonts w:cs="Arial"/>
                <w:b/>
                <w:bCs/>
                <w:color w:val="000000"/>
                <w:sz w:val="14"/>
                <w:szCs w:val="14"/>
                <w:lang w:val="ru-RU" w:eastAsia="ru-RU"/>
              </w:rPr>
            </w:pPr>
          </w:p>
          <w:p w:rsidR="00CD702B" w:rsidRPr="00D532AE" w:rsidRDefault="00CD702B" w:rsidP="00A01AD9">
            <w:pPr>
              <w:jc w:val="center"/>
              <w:rPr>
                <w:rFonts w:cs="Arial"/>
                <w:b/>
                <w:sz w:val="14"/>
                <w:szCs w:val="14"/>
                <w:lang w:val="ru-RU" w:eastAsia="ru-RU"/>
              </w:rPr>
            </w:pPr>
            <w:r w:rsidRPr="00D532AE">
              <w:rPr>
                <w:rFonts w:cs="Arial"/>
                <w:b/>
                <w:bCs/>
                <w:color w:val="000000"/>
                <w:sz w:val="14"/>
                <w:szCs w:val="14"/>
                <w:lang w:val="ru-RU" w:eastAsia="ru-RU"/>
              </w:rPr>
              <w:t>Выплаты</w:t>
            </w:r>
          </w:p>
        </w:tc>
        <w:tc>
          <w:tcPr>
            <w:tcW w:w="1985" w:type="dxa"/>
            <w:shd w:val="clear" w:color="auto" w:fill="auto"/>
            <w:noWrap/>
            <w:vAlign w:val="center"/>
          </w:tcPr>
          <w:p w:rsidR="00CD702B" w:rsidRPr="00D532AE" w:rsidRDefault="00CD702B" w:rsidP="00A01AD9">
            <w:pPr>
              <w:overflowPunct/>
              <w:autoSpaceDE/>
              <w:autoSpaceDN/>
              <w:adjustRightInd/>
              <w:jc w:val="center"/>
              <w:rPr>
                <w:rFonts w:cs="Arial"/>
                <w:b/>
                <w:bCs/>
                <w:color w:val="000000"/>
                <w:sz w:val="14"/>
                <w:szCs w:val="14"/>
                <w:lang w:val="ru-RU" w:eastAsia="ru-RU"/>
              </w:rPr>
            </w:pPr>
          </w:p>
          <w:p w:rsidR="00CD702B" w:rsidRPr="00D532AE" w:rsidRDefault="00CD702B" w:rsidP="00A01AD9">
            <w:pPr>
              <w:jc w:val="center"/>
              <w:rPr>
                <w:rFonts w:cs="Arial"/>
                <w:b/>
                <w:sz w:val="14"/>
                <w:szCs w:val="14"/>
                <w:lang w:val="ru-RU" w:eastAsia="ru-RU"/>
              </w:rPr>
            </w:pPr>
            <w:r w:rsidRPr="00D532AE">
              <w:rPr>
                <w:rFonts w:cs="Arial"/>
                <w:b/>
                <w:bCs/>
                <w:color w:val="000000"/>
                <w:sz w:val="14"/>
                <w:szCs w:val="14"/>
                <w:lang w:val="ru-RU" w:eastAsia="ru-RU"/>
              </w:rPr>
              <w:t>Количество выплат</w:t>
            </w:r>
          </w:p>
        </w:tc>
        <w:tc>
          <w:tcPr>
            <w:tcW w:w="1842" w:type="dxa"/>
            <w:shd w:val="clear" w:color="auto" w:fill="auto"/>
            <w:noWrap/>
            <w:vAlign w:val="bottom"/>
          </w:tcPr>
          <w:p w:rsidR="00CD702B" w:rsidRPr="00D532AE" w:rsidRDefault="00CD702B" w:rsidP="00A01AD9">
            <w:pPr>
              <w:jc w:val="center"/>
              <w:rPr>
                <w:rFonts w:cs="Arial"/>
                <w:b/>
                <w:sz w:val="14"/>
                <w:szCs w:val="14"/>
                <w:lang w:val="ru-RU" w:eastAsia="ru-RU"/>
              </w:rPr>
            </w:pPr>
            <w:r w:rsidRPr="00D532AE">
              <w:rPr>
                <w:rFonts w:cs="Arial"/>
                <w:b/>
                <w:bCs/>
                <w:color w:val="000000"/>
                <w:sz w:val="14"/>
                <w:szCs w:val="14"/>
                <w:lang w:val="ru-RU" w:eastAsia="ru-RU"/>
              </w:rPr>
              <w:t>Сумма, тыс. руб.</w:t>
            </w:r>
          </w:p>
        </w:tc>
      </w:tr>
      <w:tr w:rsidR="00CD702B" w:rsidRPr="00D532AE" w:rsidTr="00A01AD9">
        <w:trPr>
          <w:cantSplit/>
          <w:trHeight w:val="293"/>
        </w:trPr>
        <w:tc>
          <w:tcPr>
            <w:tcW w:w="5637" w:type="dxa"/>
            <w:shd w:val="clear" w:color="auto" w:fill="auto"/>
            <w:noWrap/>
            <w:vAlign w:val="center"/>
          </w:tcPr>
          <w:p w:rsidR="00CD702B" w:rsidRPr="00D532AE" w:rsidRDefault="00CD702B" w:rsidP="00A01AD9">
            <w:pPr>
              <w:rPr>
                <w:rFonts w:cs="Arial"/>
                <w:b/>
                <w:sz w:val="14"/>
                <w:szCs w:val="14"/>
                <w:lang w:val="ru-RU" w:eastAsia="ru-RU"/>
              </w:rPr>
            </w:pPr>
            <w:r w:rsidRPr="00D532AE">
              <w:rPr>
                <w:rFonts w:cs="Arial"/>
                <w:b/>
                <w:sz w:val="14"/>
                <w:szCs w:val="14"/>
                <w:lang w:val="ru-RU" w:eastAsia="ru-RU"/>
              </w:rPr>
              <w:t>Количество и общий размер гарантированных премий, в т. ч.</w:t>
            </w:r>
          </w:p>
        </w:tc>
        <w:tc>
          <w:tcPr>
            <w:tcW w:w="1985" w:type="dxa"/>
            <w:shd w:val="clear" w:color="auto" w:fill="auto"/>
            <w:noWrap/>
            <w:vAlign w:val="center"/>
          </w:tcPr>
          <w:p w:rsidR="00CD702B" w:rsidRPr="00D532AE" w:rsidRDefault="00CD702B" w:rsidP="00A01AD9">
            <w:pPr>
              <w:jc w:val="center"/>
              <w:rPr>
                <w:rFonts w:cs="Arial"/>
                <w:b/>
                <w:sz w:val="14"/>
                <w:szCs w:val="14"/>
                <w:lang w:val="ru-RU" w:eastAsia="ru-RU"/>
              </w:rPr>
            </w:pPr>
            <w:r>
              <w:rPr>
                <w:rFonts w:cs="Arial"/>
                <w:b/>
                <w:sz w:val="14"/>
                <w:szCs w:val="14"/>
                <w:lang w:val="ru-RU" w:eastAsia="ru-RU"/>
              </w:rPr>
              <w:t>12</w:t>
            </w:r>
          </w:p>
        </w:tc>
        <w:tc>
          <w:tcPr>
            <w:tcW w:w="1842" w:type="dxa"/>
            <w:shd w:val="clear" w:color="auto" w:fill="auto"/>
            <w:noWrap/>
            <w:vAlign w:val="bottom"/>
          </w:tcPr>
          <w:p w:rsidR="00CD702B" w:rsidRPr="00D532AE" w:rsidRDefault="00CD702B" w:rsidP="00A01AD9">
            <w:pPr>
              <w:jc w:val="center"/>
              <w:rPr>
                <w:rFonts w:cs="Arial"/>
                <w:b/>
                <w:sz w:val="14"/>
                <w:szCs w:val="14"/>
                <w:lang w:val="ru-RU" w:eastAsia="ru-RU"/>
              </w:rPr>
            </w:pPr>
            <w:r>
              <w:rPr>
                <w:rFonts w:cs="Arial"/>
                <w:b/>
                <w:sz w:val="14"/>
                <w:szCs w:val="14"/>
                <w:lang w:val="ru-RU" w:eastAsia="ru-RU"/>
              </w:rPr>
              <w:t>10</w:t>
            </w:r>
            <w:r w:rsidRPr="00D532AE">
              <w:rPr>
                <w:rFonts w:cs="Arial"/>
                <w:b/>
                <w:sz w:val="14"/>
                <w:szCs w:val="14"/>
                <w:lang w:val="ru-RU" w:eastAsia="ru-RU"/>
              </w:rPr>
              <w:t xml:space="preserve"> </w:t>
            </w:r>
            <w:r>
              <w:rPr>
                <w:rFonts w:cs="Arial"/>
                <w:b/>
                <w:sz w:val="14"/>
                <w:szCs w:val="14"/>
                <w:lang w:val="ru-RU" w:eastAsia="ru-RU"/>
              </w:rPr>
              <w:t>036</w:t>
            </w:r>
          </w:p>
        </w:tc>
      </w:tr>
      <w:tr w:rsidR="00CD702B" w:rsidRPr="00D532AE" w:rsidTr="00A01AD9">
        <w:trPr>
          <w:cantSplit/>
          <w:trHeight w:val="331"/>
        </w:trPr>
        <w:tc>
          <w:tcPr>
            <w:tcW w:w="5637" w:type="dxa"/>
            <w:shd w:val="clear" w:color="auto" w:fill="auto"/>
            <w:noWrap/>
            <w:vAlign w:val="center"/>
            <w:hideMark/>
          </w:tcPr>
          <w:p w:rsidR="00CD702B" w:rsidRPr="00D532AE" w:rsidRDefault="00CD702B" w:rsidP="00FC5D59">
            <w:pPr>
              <w:pStyle w:val="afd"/>
              <w:numPr>
                <w:ilvl w:val="0"/>
                <w:numId w:val="48"/>
              </w:numPr>
              <w:tabs>
                <w:tab w:val="left" w:pos="426"/>
              </w:tabs>
              <w:ind w:left="284" w:firstLine="0"/>
              <w:rPr>
                <w:rFonts w:cs="Arial"/>
                <w:sz w:val="14"/>
                <w:szCs w:val="14"/>
                <w:lang w:val="ru-RU" w:eastAsia="ru-RU"/>
              </w:rPr>
            </w:pPr>
            <w:r w:rsidRPr="00D532AE">
              <w:rPr>
                <w:rFonts w:cs="Arial"/>
                <w:sz w:val="14"/>
                <w:szCs w:val="14"/>
                <w:lang w:val="ru-RU" w:eastAsia="ru-RU"/>
              </w:rPr>
              <w:t xml:space="preserve">члены исполнительных органов, </w:t>
            </w:r>
            <w:r>
              <w:rPr>
                <w:rFonts w:cs="Arial"/>
                <w:sz w:val="14"/>
                <w:szCs w:val="14"/>
                <w:lang w:val="ru-RU" w:eastAsia="ru-RU"/>
              </w:rPr>
              <w:t>6</w:t>
            </w:r>
            <w:r w:rsidRPr="00D532AE">
              <w:rPr>
                <w:rFonts w:cs="Arial"/>
                <w:sz w:val="14"/>
                <w:szCs w:val="14"/>
                <w:lang w:val="ru-RU" w:eastAsia="ru-RU"/>
              </w:rPr>
              <w:t xml:space="preserve">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ind w:right="-81"/>
              <w:rPr>
                <w:rFonts w:cs="Arial"/>
                <w:sz w:val="14"/>
                <w:szCs w:val="14"/>
                <w:lang w:val="ru-RU" w:eastAsia="ru-RU"/>
              </w:rPr>
            </w:pPr>
            <w:r w:rsidRPr="00D532AE">
              <w:rPr>
                <w:rFonts w:cs="Arial"/>
                <w:sz w:val="14"/>
                <w:szCs w:val="14"/>
                <w:lang w:val="ru-RU" w:eastAsia="ru-RU"/>
              </w:rPr>
              <w:t xml:space="preserve">               </w:t>
            </w:r>
            <w:r>
              <w:rPr>
                <w:rFonts w:cs="Arial"/>
                <w:sz w:val="14"/>
                <w:szCs w:val="14"/>
                <w:lang w:val="ru-RU" w:eastAsia="ru-RU"/>
              </w:rPr>
              <w:t>5</w:t>
            </w:r>
            <w:r w:rsidRPr="00D532AE">
              <w:rPr>
                <w:rFonts w:cs="Arial"/>
                <w:sz w:val="14"/>
                <w:szCs w:val="14"/>
                <w:lang w:val="ru-RU" w:eastAsia="ru-RU"/>
              </w:rPr>
              <w:t xml:space="preserve"> </w:t>
            </w:r>
            <w:r>
              <w:rPr>
                <w:rFonts w:cs="Arial"/>
                <w:sz w:val="14"/>
                <w:szCs w:val="14"/>
                <w:lang w:val="ru-RU" w:eastAsia="ru-RU"/>
              </w:rPr>
              <w:t>360</w:t>
            </w:r>
          </w:p>
        </w:tc>
      </w:tr>
      <w:tr w:rsidR="00CD702B" w:rsidRPr="00D532AE" w:rsidTr="00A01AD9">
        <w:trPr>
          <w:cantSplit/>
          <w:trHeight w:val="278"/>
        </w:trPr>
        <w:tc>
          <w:tcPr>
            <w:tcW w:w="5637" w:type="dxa"/>
            <w:shd w:val="clear" w:color="auto" w:fill="auto"/>
            <w:noWrap/>
            <w:vAlign w:val="center"/>
            <w:hideMark/>
          </w:tcPr>
          <w:p w:rsidR="00CD702B" w:rsidRPr="00D532AE" w:rsidRDefault="00CD702B" w:rsidP="00FC5D59">
            <w:pPr>
              <w:pStyle w:val="afd"/>
              <w:numPr>
                <w:ilvl w:val="0"/>
                <w:numId w:val="48"/>
              </w:numPr>
              <w:tabs>
                <w:tab w:val="left" w:pos="426"/>
              </w:tabs>
              <w:ind w:left="284" w:hanging="11"/>
              <w:rPr>
                <w:rFonts w:cs="Arial"/>
                <w:sz w:val="14"/>
                <w:szCs w:val="14"/>
                <w:lang w:val="ru-RU" w:eastAsia="ru-RU"/>
              </w:rPr>
            </w:pPr>
            <w:r w:rsidRPr="00D532AE">
              <w:rPr>
                <w:rFonts w:cs="Arial"/>
                <w:sz w:val="14"/>
                <w:szCs w:val="14"/>
                <w:lang w:val="ru-RU" w:eastAsia="ru-RU"/>
              </w:rPr>
              <w:t>иные работники, принимающие риски, 12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4</w:t>
            </w:r>
            <w:r w:rsidRPr="00D532AE">
              <w:rPr>
                <w:rFonts w:cs="Arial"/>
                <w:sz w:val="14"/>
                <w:szCs w:val="14"/>
                <w:lang w:val="ru-RU" w:eastAsia="ru-RU"/>
              </w:rPr>
              <w:t xml:space="preserve"> </w:t>
            </w:r>
            <w:r>
              <w:rPr>
                <w:rFonts w:cs="Arial"/>
                <w:sz w:val="14"/>
                <w:szCs w:val="14"/>
                <w:lang w:val="ru-RU" w:eastAsia="ru-RU"/>
              </w:rPr>
              <w:t>676</w:t>
            </w:r>
          </w:p>
        </w:tc>
      </w:tr>
      <w:tr w:rsidR="00CD702B" w:rsidRPr="00D532AE" w:rsidTr="00A01AD9">
        <w:trPr>
          <w:cantSplit/>
          <w:trHeight w:val="329"/>
        </w:trPr>
        <w:tc>
          <w:tcPr>
            <w:tcW w:w="5637" w:type="dxa"/>
            <w:shd w:val="clear" w:color="auto" w:fill="auto"/>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 xml:space="preserve">Количество и общий размер стимулирующих выплат при приеме на работу </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Количество и общий размер выходных пособий</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528"/>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Общий размер отсроченных вознаграждений с указанием форм таких выплат, в т. ч.:</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5473B">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49"/>
              </w:numPr>
              <w:tabs>
                <w:tab w:val="left" w:pos="432"/>
              </w:tabs>
              <w:ind w:left="284" w:firstLine="0"/>
              <w:rPr>
                <w:rFonts w:cs="Arial"/>
                <w:sz w:val="14"/>
                <w:szCs w:val="14"/>
                <w:lang w:val="ru-RU" w:eastAsia="ru-RU"/>
              </w:rPr>
            </w:pPr>
            <w:r w:rsidRPr="00D532AE">
              <w:rPr>
                <w:rFonts w:cs="Arial"/>
                <w:sz w:val="14"/>
                <w:szCs w:val="14"/>
                <w:lang w:val="ru-RU" w:eastAsia="ru-RU"/>
              </w:rPr>
              <w:t>денежные средства</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49"/>
              </w:numPr>
              <w:tabs>
                <w:tab w:val="left" w:pos="432"/>
              </w:tabs>
              <w:ind w:left="284" w:firstLine="0"/>
              <w:rPr>
                <w:rFonts w:cs="Arial"/>
                <w:sz w:val="14"/>
                <w:szCs w:val="14"/>
                <w:lang w:val="ru-RU" w:eastAsia="ru-RU"/>
              </w:rPr>
            </w:pPr>
            <w:r w:rsidRPr="00D532AE">
              <w:rPr>
                <w:rFonts w:cs="Arial"/>
                <w:sz w:val="14"/>
                <w:szCs w:val="14"/>
                <w:lang w:val="ru-RU" w:eastAsia="ru-RU"/>
              </w:rPr>
              <w:t>акции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49"/>
              </w:numPr>
              <w:tabs>
                <w:tab w:val="left" w:pos="432"/>
              </w:tabs>
              <w:ind w:left="284" w:firstLine="0"/>
              <w:rPr>
                <w:rFonts w:cs="Arial"/>
                <w:sz w:val="14"/>
                <w:szCs w:val="14"/>
                <w:lang w:val="ru-RU" w:eastAsia="ru-RU"/>
              </w:rPr>
            </w:pPr>
            <w:r w:rsidRPr="00D532AE">
              <w:rPr>
                <w:rFonts w:cs="Arial"/>
                <w:sz w:val="14"/>
                <w:szCs w:val="14"/>
                <w:lang w:val="ru-RU" w:eastAsia="ru-RU"/>
              </w:rPr>
              <w:t>финансовые инструменты</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49"/>
              </w:numPr>
              <w:tabs>
                <w:tab w:val="left" w:pos="432"/>
              </w:tabs>
              <w:ind w:left="284" w:firstLine="0"/>
              <w:rPr>
                <w:rFonts w:cs="Arial"/>
                <w:sz w:val="14"/>
                <w:szCs w:val="14"/>
                <w:lang w:val="ru-RU" w:eastAsia="ru-RU"/>
              </w:rPr>
            </w:pPr>
            <w:r w:rsidRPr="00D532AE">
              <w:rPr>
                <w:rFonts w:cs="Arial"/>
                <w:sz w:val="14"/>
                <w:szCs w:val="14"/>
                <w:lang w:val="ru-RU" w:eastAsia="ru-RU"/>
              </w:rPr>
              <w:t>иные способы</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467"/>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Общий размер выплат в отчетном периоде, в отношении которых применялись отсрочка (рассрочка) и последующая корректировка</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6C0DB6"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Общий размер выплат в отчетном году по видам выплат, в т. ч.:</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из них:</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фиксированная часть:</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Pr>
                <w:rFonts w:cs="Arial"/>
                <w:b/>
                <w:sz w:val="14"/>
                <w:szCs w:val="14"/>
                <w:lang w:val="ru-RU" w:eastAsia="ru-RU"/>
              </w:rPr>
              <w:t>117</w:t>
            </w:r>
            <w:r w:rsidRPr="00D532AE">
              <w:rPr>
                <w:rFonts w:cs="Arial"/>
                <w:b/>
                <w:sz w:val="14"/>
                <w:szCs w:val="14"/>
                <w:lang w:val="ru-RU" w:eastAsia="ru-RU"/>
              </w:rPr>
              <w:t xml:space="preserve"> </w:t>
            </w:r>
            <w:r>
              <w:rPr>
                <w:rFonts w:cs="Arial"/>
                <w:b/>
                <w:sz w:val="14"/>
                <w:szCs w:val="14"/>
                <w:lang w:val="ru-RU" w:eastAsia="ru-RU"/>
              </w:rPr>
              <w:t>796</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денежными средствами, в т. ч.</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117</w:t>
            </w:r>
            <w:r w:rsidRPr="00D532AE">
              <w:rPr>
                <w:rFonts w:cs="Arial"/>
                <w:sz w:val="14"/>
                <w:szCs w:val="14"/>
                <w:lang w:val="ru-RU" w:eastAsia="ru-RU"/>
              </w:rPr>
              <w:t xml:space="preserve"> </w:t>
            </w:r>
            <w:r>
              <w:rPr>
                <w:rFonts w:cs="Arial"/>
                <w:sz w:val="14"/>
                <w:szCs w:val="14"/>
                <w:lang w:val="ru-RU" w:eastAsia="ru-RU"/>
              </w:rPr>
              <w:t>796</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50"/>
              </w:numPr>
              <w:tabs>
                <w:tab w:val="left" w:pos="444"/>
              </w:tabs>
              <w:ind w:left="284" w:firstLine="0"/>
              <w:rPr>
                <w:rFonts w:cs="Arial"/>
                <w:sz w:val="14"/>
                <w:szCs w:val="14"/>
                <w:lang w:val="ru-RU" w:eastAsia="ru-RU"/>
              </w:rPr>
            </w:pPr>
            <w:r w:rsidRPr="00D532AE">
              <w:rPr>
                <w:rFonts w:cs="Arial"/>
                <w:sz w:val="14"/>
                <w:szCs w:val="14"/>
                <w:lang w:val="ru-RU" w:eastAsia="ru-RU"/>
              </w:rPr>
              <w:t>члены исполнительных органов,</w:t>
            </w:r>
            <w:r>
              <w:rPr>
                <w:rFonts w:cs="Arial"/>
                <w:sz w:val="14"/>
                <w:szCs w:val="14"/>
                <w:lang w:val="ru-RU" w:eastAsia="ru-RU"/>
              </w:rPr>
              <w:t>6</w:t>
            </w:r>
            <w:r w:rsidRPr="00D532AE">
              <w:rPr>
                <w:rFonts w:cs="Arial"/>
                <w:sz w:val="14"/>
                <w:szCs w:val="14"/>
                <w:lang w:val="ru-RU" w:eastAsia="ru-RU"/>
              </w:rPr>
              <w:t xml:space="preserve">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103</w:t>
            </w:r>
            <w:r w:rsidRPr="00D532AE">
              <w:rPr>
                <w:rFonts w:cs="Arial"/>
                <w:sz w:val="14"/>
                <w:szCs w:val="14"/>
                <w:lang w:val="ru-RU" w:eastAsia="ru-RU"/>
              </w:rPr>
              <w:t xml:space="preserve"> </w:t>
            </w:r>
            <w:r>
              <w:rPr>
                <w:rFonts w:cs="Arial"/>
                <w:sz w:val="14"/>
                <w:szCs w:val="14"/>
                <w:lang w:val="ru-RU" w:eastAsia="ru-RU"/>
              </w:rPr>
              <w:t>958</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50"/>
              </w:numPr>
              <w:tabs>
                <w:tab w:val="left" w:pos="444"/>
              </w:tabs>
              <w:ind w:left="284" w:firstLine="0"/>
              <w:rPr>
                <w:rFonts w:cs="Arial"/>
                <w:sz w:val="14"/>
                <w:szCs w:val="14"/>
                <w:lang w:val="ru-RU" w:eastAsia="ru-RU"/>
              </w:rPr>
            </w:pPr>
            <w:r w:rsidRPr="00D532AE">
              <w:rPr>
                <w:rFonts w:cs="Arial"/>
                <w:sz w:val="14"/>
                <w:szCs w:val="14"/>
                <w:lang w:val="ru-RU" w:eastAsia="ru-RU"/>
              </w:rPr>
              <w:t>иные работники, принимающие риски, 12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1</w:t>
            </w:r>
            <w:r>
              <w:rPr>
                <w:rFonts w:cs="Arial"/>
                <w:sz w:val="14"/>
                <w:szCs w:val="14"/>
                <w:lang w:val="ru-RU" w:eastAsia="ru-RU"/>
              </w:rPr>
              <w:t>3</w:t>
            </w:r>
            <w:r w:rsidRPr="00D532AE">
              <w:rPr>
                <w:rFonts w:cs="Arial"/>
                <w:sz w:val="14"/>
                <w:szCs w:val="14"/>
                <w:lang w:val="ru-RU" w:eastAsia="ru-RU"/>
              </w:rPr>
              <w:t xml:space="preserve"> </w:t>
            </w:r>
            <w:r>
              <w:rPr>
                <w:rFonts w:cs="Arial"/>
                <w:sz w:val="14"/>
                <w:szCs w:val="14"/>
                <w:lang w:val="ru-RU" w:eastAsia="ru-RU"/>
              </w:rPr>
              <w:t>838</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акциями или финансовыми инструментами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иные способы</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нефиксированная часть:</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Pr>
                <w:rFonts w:cs="Arial"/>
                <w:b/>
                <w:sz w:val="14"/>
                <w:szCs w:val="14"/>
                <w:lang w:val="ru-RU" w:eastAsia="ru-RU"/>
              </w:rPr>
              <w:t>8</w:t>
            </w:r>
            <w:r w:rsidRPr="00D532AE">
              <w:rPr>
                <w:rFonts w:cs="Arial"/>
                <w:b/>
                <w:sz w:val="14"/>
                <w:szCs w:val="14"/>
                <w:lang w:val="ru-RU" w:eastAsia="ru-RU"/>
              </w:rPr>
              <w:t xml:space="preserve"> </w:t>
            </w:r>
            <w:r>
              <w:rPr>
                <w:rFonts w:cs="Arial"/>
                <w:b/>
                <w:sz w:val="14"/>
                <w:szCs w:val="14"/>
                <w:lang w:val="ru-RU" w:eastAsia="ru-RU"/>
              </w:rPr>
              <w:t>898</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денежными средствами, в т. ч.</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8</w:t>
            </w:r>
            <w:r w:rsidRPr="00D532AE">
              <w:rPr>
                <w:rFonts w:cs="Arial"/>
                <w:sz w:val="14"/>
                <w:szCs w:val="14"/>
                <w:lang w:val="ru-RU" w:eastAsia="ru-RU"/>
              </w:rPr>
              <w:t xml:space="preserve"> </w:t>
            </w:r>
            <w:r>
              <w:rPr>
                <w:rFonts w:cs="Arial"/>
                <w:sz w:val="14"/>
                <w:szCs w:val="14"/>
                <w:lang w:val="ru-RU" w:eastAsia="ru-RU"/>
              </w:rPr>
              <w:t>898</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51"/>
              </w:numPr>
              <w:tabs>
                <w:tab w:val="left" w:pos="426"/>
              </w:tabs>
              <w:ind w:left="284" w:hanging="11"/>
              <w:rPr>
                <w:rFonts w:cs="Arial"/>
                <w:sz w:val="14"/>
                <w:szCs w:val="14"/>
                <w:lang w:val="ru-RU" w:eastAsia="ru-RU"/>
              </w:rPr>
            </w:pPr>
            <w:r w:rsidRPr="00D532AE">
              <w:rPr>
                <w:rFonts w:cs="Arial"/>
                <w:sz w:val="14"/>
                <w:szCs w:val="14"/>
                <w:lang w:val="ru-RU" w:eastAsia="ru-RU"/>
              </w:rPr>
              <w:t xml:space="preserve">члены исполнительных органов, </w:t>
            </w:r>
            <w:r>
              <w:rPr>
                <w:rFonts w:cs="Arial"/>
                <w:sz w:val="14"/>
                <w:szCs w:val="14"/>
                <w:lang w:val="ru-RU" w:eastAsia="ru-RU"/>
              </w:rPr>
              <w:t>1</w:t>
            </w:r>
            <w:r w:rsidRPr="00D532AE">
              <w:rPr>
                <w:rFonts w:cs="Arial"/>
                <w:sz w:val="14"/>
                <w:szCs w:val="14"/>
                <w:lang w:val="ru-RU" w:eastAsia="ru-RU"/>
              </w:rPr>
              <w:t xml:space="preserve">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7</w:t>
            </w:r>
            <w:r w:rsidRPr="00D532AE">
              <w:rPr>
                <w:rFonts w:cs="Arial"/>
                <w:sz w:val="14"/>
                <w:szCs w:val="14"/>
                <w:lang w:val="ru-RU" w:eastAsia="ru-RU"/>
              </w:rPr>
              <w:t xml:space="preserve"> </w:t>
            </w:r>
            <w:r>
              <w:rPr>
                <w:rFonts w:cs="Arial"/>
                <w:sz w:val="14"/>
                <w:szCs w:val="14"/>
                <w:lang w:val="ru-RU" w:eastAsia="ru-RU"/>
              </w:rPr>
              <w:t>404</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FC5D59">
            <w:pPr>
              <w:pStyle w:val="afd"/>
              <w:numPr>
                <w:ilvl w:val="0"/>
                <w:numId w:val="51"/>
              </w:numPr>
              <w:tabs>
                <w:tab w:val="left" w:pos="426"/>
              </w:tabs>
              <w:ind w:left="284" w:hanging="11"/>
              <w:rPr>
                <w:rFonts w:cs="Arial"/>
                <w:sz w:val="14"/>
                <w:szCs w:val="14"/>
                <w:lang w:val="ru-RU" w:eastAsia="ru-RU"/>
              </w:rPr>
            </w:pPr>
            <w:r w:rsidRPr="00D532AE">
              <w:rPr>
                <w:rFonts w:cs="Arial"/>
                <w:sz w:val="14"/>
                <w:szCs w:val="14"/>
                <w:lang w:val="ru-RU" w:eastAsia="ru-RU"/>
              </w:rPr>
              <w:t xml:space="preserve">иные работники, принимающие риски, </w:t>
            </w:r>
            <w:r>
              <w:rPr>
                <w:rFonts w:cs="Arial"/>
                <w:sz w:val="14"/>
                <w:szCs w:val="14"/>
                <w:lang w:val="ru-RU" w:eastAsia="ru-RU"/>
              </w:rPr>
              <w:t>2</w:t>
            </w:r>
            <w:r w:rsidRPr="00D532AE">
              <w:rPr>
                <w:rFonts w:cs="Arial"/>
                <w:sz w:val="14"/>
                <w:szCs w:val="14"/>
                <w:lang w:val="ru-RU" w:eastAsia="ru-RU"/>
              </w:rPr>
              <w:t xml:space="preserve"> чел.</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Pr>
                <w:rFonts w:cs="Arial"/>
                <w:sz w:val="14"/>
                <w:szCs w:val="14"/>
                <w:lang w:val="ru-RU" w:eastAsia="ru-RU"/>
              </w:rPr>
              <w:t>1</w:t>
            </w:r>
            <w:r w:rsidRPr="00D532AE">
              <w:rPr>
                <w:rFonts w:cs="Arial"/>
                <w:sz w:val="14"/>
                <w:szCs w:val="14"/>
                <w:lang w:val="ru-RU" w:eastAsia="ru-RU"/>
              </w:rPr>
              <w:t xml:space="preserve"> </w:t>
            </w:r>
            <w:r>
              <w:rPr>
                <w:rFonts w:cs="Arial"/>
                <w:sz w:val="14"/>
                <w:szCs w:val="14"/>
                <w:lang w:val="ru-RU" w:eastAsia="ru-RU"/>
              </w:rPr>
              <w:t>494</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акциями или финансовыми инструментами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sz w:val="14"/>
                <w:szCs w:val="14"/>
                <w:lang w:val="ru-RU" w:eastAsia="ru-RU"/>
              </w:rPr>
            </w:pPr>
            <w:r w:rsidRPr="00D532AE">
              <w:rPr>
                <w:rFonts w:cs="Arial"/>
                <w:sz w:val="14"/>
                <w:szCs w:val="14"/>
                <w:lang w:val="ru-RU" w:eastAsia="ru-RU"/>
              </w:rPr>
              <w:t>иные способы</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cantSplit/>
          <w:trHeight w:val="329"/>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Отсрочка (рассрочка) и корректировка вознаграждения</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553"/>
        </w:trPr>
        <w:tc>
          <w:tcPr>
            <w:tcW w:w="5637" w:type="dxa"/>
            <w:shd w:val="clear" w:color="auto" w:fill="auto"/>
            <w:noWrap/>
            <w:vAlign w:val="center"/>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Общий размер невыплаченного отсроченного и удержанного вознаграждения вследствие заранее установленных и не установленных факторов корректировки: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420"/>
        </w:trPr>
        <w:tc>
          <w:tcPr>
            <w:tcW w:w="5637" w:type="dxa"/>
            <w:shd w:val="clear" w:color="auto" w:fill="auto"/>
            <w:noWrap/>
            <w:vAlign w:val="center"/>
            <w:hideMark/>
          </w:tcPr>
          <w:p w:rsidR="00CD702B" w:rsidRPr="00D532AE" w:rsidRDefault="00CD702B" w:rsidP="00FC5D59">
            <w:pPr>
              <w:pStyle w:val="afd"/>
              <w:numPr>
                <w:ilvl w:val="0"/>
                <w:numId w:val="52"/>
              </w:numPr>
              <w:tabs>
                <w:tab w:val="left" w:pos="432"/>
              </w:tabs>
              <w:ind w:left="284" w:firstLine="0"/>
              <w:rPr>
                <w:rFonts w:cs="Arial"/>
                <w:b/>
                <w:sz w:val="14"/>
                <w:szCs w:val="14"/>
                <w:lang w:val="ru-RU" w:eastAsia="ru-RU"/>
              </w:rPr>
            </w:pPr>
            <w:r w:rsidRPr="00D532AE">
              <w:rPr>
                <w:rFonts w:cs="Arial"/>
                <w:b/>
                <w:sz w:val="14"/>
                <w:szCs w:val="14"/>
                <w:lang w:val="ru-RU" w:eastAsia="ru-RU"/>
              </w:rPr>
              <w:t>общий размер удержанного вознаграждения вследствие заранее установленных факторов корректировки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412"/>
        </w:trPr>
        <w:tc>
          <w:tcPr>
            <w:tcW w:w="5637" w:type="dxa"/>
            <w:shd w:val="clear" w:color="auto" w:fill="auto"/>
            <w:noWrap/>
            <w:vAlign w:val="center"/>
            <w:hideMark/>
          </w:tcPr>
          <w:p w:rsidR="00CD702B" w:rsidRPr="00D532AE" w:rsidRDefault="00CD702B" w:rsidP="00FC5D59">
            <w:pPr>
              <w:pStyle w:val="afd"/>
              <w:numPr>
                <w:ilvl w:val="0"/>
                <w:numId w:val="52"/>
              </w:numPr>
              <w:tabs>
                <w:tab w:val="left" w:pos="432"/>
              </w:tabs>
              <w:ind w:left="284" w:firstLine="0"/>
              <w:rPr>
                <w:rFonts w:cs="Arial"/>
                <w:b/>
                <w:sz w:val="14"/>
                <w:szCs w:val="14"/>
                <w:lang w:val="ru-RU" w:eastAsia="ru-RU"/>
              </w:rPr>
            </w:pPr>
            <w:r w:rsidRPr="00D532AE">
              <w:rPr>
                <w:rFonts w:cs="Arial"/>
                <w:b/>
                <w:sz w:val="14"/>
                <w:szCs w:val="14"/>
                <w:lang w:val="ru-RU" w:eastAsia="ru-RU"/>
              </w:rPr>
              <w:lastRenderedPageBreak/>
              <w:t>общий размер удержанного вознаграждения вследствие заранее не установленных факторов корректировки</w:t>
            </w:r>
          </w:p>
        </w:tc>
        <w:tc>
          <w:tcPr>
            <w:tcW w:w="1985" w:type="dxa"/>
            <w:shd w:val="clear" w:color="auto" w:fill="auto"/>
            <w:noWrap/>
            <w:vAlign w:val="center"/>
            <w:hideMark/>
          </w:tcPr>
          <w:p w:rsidR="00CD702B" w:rsidRPr="00D532AE" w:rsidRDefault="00CD702B" w:rsidP="00A01AD9">
            <w:pPr>
              <w:jc w:val="center"/>
              <w:rPr>
                <w:rFonts w:cs="Arial"/>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нет</w:t>
            </w:r>
          </w:p>
        </w:tc>
      </w:tr>
      <w:tr w:rsidR="00CD702B" w:rsidRPr="00D532AE" w:rsidTr="00A01AD9">
        <w:trPr>
          <w:cantSplit/>
          <w:trHeight w:val="275"/>
        </w:trPr>
        <w:tc>
          <w:tcPr>
            <w:tcW w:w="5637" w:type="dxa"/>
            <w:shd w:val="clear" w:color="auto" w:fill="auto"/>
            <w:noWrap/>
            <w:vAlign w:val="bottom"/>
            <w:hideMark/>
          </w:tcPr>
          <w:p w:rsidR="00CD702B" w:rsidRPr="00D532AE" w:rsidRDefault="00CD702B" w:rsidP="00A01AD9">
            <w:pPr>
              <w:rPr>
                <w:rFonts w:cs="Arial"/>
                <w:b/>
                <w:sz w:val="14"/>
                <w:szCs w:val="14"/>
                <w:lang w:val="ru-RU" w:eastAsia="ru-RU"/>
              </w:rPr>
            </w:pPr>
            <w:r w:rsidRPr="00D532AE">
              <w:rPr>
                <w:rFonts w:cs="Arial"/>
                <w:b/>
                <w:sz w:val="14"/>
                <w:szCs w:val="14"/>
                <w:lang w:val="ru-RU" w:eastAsia="ru-RU"/>
              </w:rPr>
              <w:t>Общий размер выплат в отчетном году</w:t>
            </w:r>
          </w:p>
        </w:tc>
        <w:tc>
          <w:tcPr>
            <w:tcW w:w="1985" w:type="dxa"/>
            <w:shd w:val="clear" w:color="auto" w:fill="auto"/>
            <w:noWrap/>
            <w:vAlign w:val="bottom"/>
            <w:hideMark/>
          </w:tcPr>
          <w:p w:rsidR="00CD702B" w:rsidRPr="00D532AE" w:rsidRDefault="00CD702B" w:rsidP="00A01AD9">
            <w:pPr>
              <w:jc w:val="center"/>
              <w:rPr>
                <w:rFonts w:cs="Arial"/>
                <w:b/>
                <w:sz w:val="14"/>
                <w:szCs w:val="14"/>
                <w:lang w:val="ru-RU" w:eastAsia="ru-RU"/>
              </w:rPr>
            </w:pPr>
          </w:p>
        </w:tc>
        <w:tc>
          <w:tcPr>
            <w:tcW w:w="1842" w:type="dxa"/>
            <w:shd w:val="clear" w:color="auto" w:fill="auto"/>
            <w:noWrap/>
            <w:vAlign w:val="bottom"/>
            <w:hideMark/>
          </w:tcPr>
          <w:p w:rsidR="00CD702B" w:rsidRPr="00D532AE" w:rsidRDefault="00CD702B" w:rsidP="00A01AD9">
            <w:pPr>
              <w:jc w:val="center"/>
              <w:rPr>
                <w:rFonts w:cs="Arial"/>
                <w:b/>
                <w:sz w:val="14"/>
                <w:szCs w:val="14"/>
                <w:lang w:val="ru-RU" w:eastAsia="ru-RU"/>
              </w:rPr>
            </w:pPr>
            <w:r w:rsidRPr="00D532AE">
              <w:rPr>
                <w:rFonts w:cs="Arial"/>
                <w:b/>
                <w:sz w:val="14"/>
                <w:szCs w:val="14"/>
                <w:lang w:val="ru-RU" w:eastAsia="ru-RU"/>
              </w:rPr>
              <w:t>13</w:t>
            </w:r>
            <w:r>
              <w:rPr>
                <w:rFonts w:cs="Arial"/>
                <w:b/>
                <w:sz w:val="14"/>
                <w:szCs w:val="14"/>
                <w:lang w:val="ru-RU" w:eastAsia="ru-RU"/>
              </w:rPr>
              <w:t>6</w:t>
            </w:r>
            <w:r w:rsidRPr="00D532AE">
              <w:rPr>
                <w:rFonts w:cs="Arial"/>
                <w:b/>
                <w:sz w:val="14"/>
                <w:szCs w:val="14"/>
                <w:lang w:val="ru-RU" w:eastAsia="ru-RU"/>
              </w:rPr>
              <w:t xml:space="preserve"> </w:t>
            </w:r>
            <w:r>
              <w:rPr>
                <w:rFonts w:cs="Arial"/>
                <w:b/>
                <w:sz w:val="14"/>
                <w:szCs w:val="14"/>
                <w:lang w:val="ru-RU" w:eastAsia="ru-RU"/>
              </w:rPr>
              <w:t>730</w:t>
            </w:r>
          </w:p>
        </w:tc>
      </w:tr>
    </w:tbl>
    <w:p w:rsidR="00CD702B" w:rsidRPr="00D532AE" w:rsidRDefault="00CD702B" w:rsidP="00CD702B">
      <w:pPr>
        <w:jc w:val="both"/>
        <w:rPr>
          <w:rFonts w:cs="Arial"/>
          <w:sz w:val="20"/>
          <w:szCs w:val="20"/>
          <w:lang w:val="ru-RU"/>
        </w:rPr>
      </w:pPr>
    </w:p>
    <w:p w:rsidR="00CD702B" w:rsidRPr="00D532AE" w:rsidRDefault="00CD702B" w:rsidP="00CD702B">
      <w:pPr>
        <w:jc w:val="both"/>
        <w:rPr>
          <w:rFonts w:cs="Arial"/>
          <w:sz w:val="20"/>
          <w:szCs w:val="20"/>
          <w:lang w:val="ru-RU"/>
        </w:rPr>
      </w:pPr>
      <w:r w:rsidRPr="00D532AE">
        <w:rPr>
          <w:rFonts w:cs="Arial"/>
          <w:sz w:val="20"/>
          <w:szCs w:val="20"/>
          <w:lang w:val="ru-RU"/>
        </w:rPr>
        <w:t>В течение 2017 года производились выплаты 19 сотрудникам, осуществляющих функции принятия рисков, их них выплачена нефиксированная часть оплаты труда 5 сотрудникам, из них членов исполнительных органов 2 сотрудников.</w:t>
      </w:r>
    </w:p>
    <w:p w:rsidR="00CD702B" w:rsidRPr="00D532AE" w:rsidRDefault="00CD702B" w:rsidP="00CD702B">
      <w:pPr>
        <w:jc w:val="center"/>
        <w:rPr>
          <w:rFonts w:cs="Arial"/>
          <w:sz w:val="20"/>
          <w:szCs w:val="20"/>
          <w:highlight w:val="yellow"/>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984"/>
        <w:gridCol w:w="1843"/>
      </w:tblGrid>
      <w:tr w:rsidR="00CD702B" w:rsidRPr="00D532AE" w:rsidTr="00A01AD9">
        <w:trPr>
          <w:trHeight w:val="345"/>
          <w:tblHeader/>
        </w:trPr>
        <w:tc>
          <w:tcPr>
            <w:tcW w:w="5637" w:type="dxa"/>
            <w:shd w:val="clear" w:color="auto" w:fill="auto"/>
            <w:noWrap/>
            <w:vAlign w:val="center"/>
            <w:hideMark/>
          </w:tcPr>
          <w:p w:rsidR="00CD702B" w:rsidRPr="00D532AE" w:rsidRDefault="00CD702B" w:rsidP="00A01AD9">
            <w:pPr>
              <w:overflowPunct/>
              <w:autoSpaceDE/>
              <w:autoSpaceDN/>
              <w:adjustRightInd/>
              <w:jc w:val="center"/>
              <w:rPr>
                <w:rFonts w:cs="Arial"/>
                <w:b/>
                <w:bCs/>
                <w:color w:val="000000"/>
                <w:sz w:val="14"/>
                <w:szCs w:val="14"/>
                <w:lang w:val="ru-RU" w:eastAsia="ru-RU"/>
              </w:rPr>
            </w:pPr>
          </w:p>
          <w:p w:rsidR="00CD702B" w:rsidRPr="00D532AE" w:rsidRDefault="00CD702B" w:rsidP="00A01AD9">
            <w:pPr>
              <w:overflowPunct/>
              <w:autoSpaceDE/>
              <w:autoSpaceDN/>
              <w:adjustRightInd/>
              <w:jc w:val="center"/>
              <w:rPr>
                <w:rFonts w:cs="Arial"/>
                <w:b/>
                <w:bCs/>
                <w:color w:val="000000"/>
                <w:sz w:val="14"/>
                <w:szCs w:val="14"/>
                <w:lang w:val="ru-RU" w:eastAsia="ru-RU"/>
              </w:rPr>
            </w:pPr>
            <w:r w:rsidRPr="00D532AE">
              <w:rPr>
                <w:rFonts w:cs="Arial"/>
                <w:b/>
                <w:bCs/>
                <w:color w:val="000000"/>
                <w:sz w:val="14"/>
                <w:szCs w:val="14"/>
                <w:lang w:val="ru-RU" w:eastAsia="ru-RU"/>
              </w:rPr>
              <w:t>Выплаты</w:t>
            </w:r>
          </w:p>
        </w:tc>
        <w:tc>
          <w:tcPr>
            <w:tcW w:w="1984" w:type="dxa"/>
            <w:shd w:val="clear" w:color="auto" w:fill="auto"/>
            <w:noWrap/>
            <w:vAlign w:val="center"/>
            <w:hideMark/>
          </w:tcPr>
          <w:p w:rsidR="00CD702B" w:rsidRPr="00D532AE" w:rsidRDefault="00CD702B" w:rsidP="00A01AD9">
            <w:pPr>
              <w:overflowPunct/>
              <w:autoSpaceDE/>
              <w:autoSpaceDN/>
              <w:adjustRightInd/>
              <w:jc w:val="center"/>
              <w:rPr>
                <w:rFonts w:cs="Arial"/>
                <w:b/>
                <w:bCs/>
                <w:color w:val="000000"/>
                <w:sz w:val="14"/>
                <w:szCs w:val="14"/>
                <w:lang w:val="ru-RU" w:eastAsia="ru-RU"/>
              </w:rPr>
            </w:pPr>
          </w:p>
          <w:p w:rsidR="00CD702B" w:rsidRPr="00D532AE" w:rsidRDefault="00CD702B" w:rsidP="00A01AD9">
            <w:pPr>
              <w:overflowPunct/>
              <w:autoSpaceDE/>
              <w:autoSpaceDN/>
              <w:adjustRightInd/>
              <w:jc w:val="center"/>
              <w:rPr>
                <w:rFonts w:cs="Arial"/>
                <w:b/>
                <w:bCs/>
                <w:color w:val="000000"/>
                <w:sz w:val="14"/>
                <w:szCs w:val="14"/>
                <w:lang w:val="ru-RU" w:eastAsia="ru-RU"/>
              </w:rPr>
            </w:pPr>
            <w:r w:rsidRPr="00D532AE">
              <w:rPr>
                <w:rFonts w:cs="Arial"/>
                <w:b/>
                <w:bCs/>
                <w:color w:val="000000"/>
                <w:sz w:val="14"/>
                <w:szCs w:val="14"/>
                <w:lang w:val="ru-RU" w:eastAsia="ru-RU"/>
              </w:rPr>
              <w:t>Количество выплат</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color w:val="000000"/>
                <w:sz w:val="14"/>
                <w:szCs w:val="14"/>
                <w:lang w:val="ru-RU" w:eastAsia="ru-RU"/>
              </w:rPr>
            </w:pPr>
            <w:r w:rsidRPr="00D532AE">
              <w:rPr>
                <w:rFonts w:cs="Arial"/>
                <w:b/>
                <w:bCs/>
                <w:color w:val="000000"/>
                <w:sz w:val="14"/>
                <w:szCs w:val="14"/>
                <w:lang w:val="ru-RU" w:eastAsia="ru-RU"/>
              </w:rPr>
              <w:t>Сумма, тыс. руб.</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Количество и общий размер гарантированных премий, в т. ч.</w:t>
            </w:r>
          </w:p>
        </w:tc>
        <w:tc>
          <w:tcPr>
            <w:tcW w:w="1984" w:type="dxa"/>
            <w:shd w:val="clear" w:color="auto" w:fill="auto"/>
            <w:noWrap/>
            <w:vAlign w:val="center"/>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19</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31 169</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3"/>
              </w:numPr>
              <w:tabs>
                <w:tab w:val="left" w:pos="426"/>
              </w:tabs>
              <w:overflowPunct/>
              <w:autoSpaceDE/>
              <w:autoSpaceDN/>
              <w:adjustRightInd/>
              <w:ind w:left="284" w:firstLine="0"/>
              <w:rPr>
                <w:rFonts w:cs="Arial"/>
                <w:sz w:val="14"/>
                <w:szCs w:val="14"/>
                <w:lang w:val="ru-RU" w:eastAsia="ru-RU"/>
              </w:rPr>
            </w:pPr>
            <w:r w:rsidRPr="00D532AE">
              <w:rPr>
                <w:rFonts w:cs="Arial"/>
                <w:sz w:val="14"/>
                <w:szCs w:val="14"/>
                <w:lang w:val="ru-RU" w:eastAsia="ru-RU"/>
              </w:rPr>
              <w:t>члены исполнительных органов,7чел</w:t>
            </w:r>
          </w:p>
        </w:tc>
        <w:tc>
          <w:tcPr>
            <w:tcW w:w="1984"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22 591</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3"/>
              </w:numPr>
              <w:tabs>
                <w:tab w:val="left" w:pos="426"/>
              </w:tabs>
              <w:overflowPunct/>
              <w:autoSpaceDE/>
              <w:autoSpaceDN/>
              <w:adjustRightInd/>
              <w:ind w:left="284" w:firstLine="0"/>
              <w:rPr>
                <w:rFonts w:cs="Arial"/>
                <w:sz w:val="14"/>
                <w:szCs w:val="14"/>
                <w:lang w:val="ru-RU" w:eastAsia="ru-RU"/>
              </w:rPr>
            </w:pPr>
            <w:r w:rsidRPr="00D532AE">
              <w:rPr>
                <w:rFonts w:cs="Arial"/>
                <w:sz w:val="14"/>
                <w:szCs w:val="14"/>
                <w:lang w:val="ru-RU" w:eastAsia="ru-RU"/>
              </w:rPr>
              <w:t>иные работники, принимающие риски, 12 чел.</w:t>
            </w:r>
          </w:p>
        </w:tc>
        <w:tc>
          <w:tcPr>
            <w:tcW w:w="1984"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8 578</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 xml:space="preserve">Количество и общий размер стимулирующих выплат при приеме на работу </w:t>
            </w:r>
          </w:p>
        </w:tc>
        <w:tc>
          <w:tcPr>
            <w:tcW w:w="1984"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Количество и общий размер выходных пособий</w:t>
            </w:r>
          </w:p>
        </w:tc>
        <w:tc>
          <w:tcPr>
            <w:tcW w:w="1984"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527"/>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Общий размер отсроченных вознаграждений с указанием форм таких выплат, в т.ч.:</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4"/>
              </w:numPr>
              <w:tabs>
                <w:tab w:val="left" w:pos="450"/>
              </w:tabs>
              <w:overflowPunct/>
              <w:autoSpaceDE/>
              <w:autoSpaceDN/>
              <w:adjustRightInd/>
              <w:ind w:left="284" w:firstLine="0"/>
              <w:rPr>
                <w:rFonts w:cs="Arial"/>
                <w:sz w:val="14"/>
                <w:szCs w:val="14"/>
                <w:lang w:val="ru-RU" w:eastAsia="ru-RU"/>
              </w:rPr>
            </w:pPr>
            <w:r w:rsidRPr="00D532AE">
              <w:rPr>
                <w:rFonts w:cs="Arial"/>
                <w:sz w:val="14"/>
                <w:szCs w:val="14"/>
                <w:lang w:val="ru-RU" w:eastAsia="ru-RU"/>
              </w:rPr>
              <w:t>денежные средства</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4"/>
              </w:numPr>
              <w:tabs>
                <w:tab w:val="left" w:pos="450"/>
              </w:tabs>
              <w:overflowPunct/>
              <w:autoSpaceDE/>
              <w:autoSpaceDN/>
              <w:adjustRightInd/>
              <w:ind w:left="284" w:firstLine="0"/>
              <w:rPr>
                <w:rFonts w:cs="Arial"/>
                <w:sz w:val="14"/>
                <w:szCs w:val="14"/>
                <w:lang w:val="ru-RU" w:eastAsia="ru-RU"/>
              </w:rPr>
            </w:pPr>
            <w:r w:rsidRPr="00D532AE">
              <w:rPr>
                <w:rFonts w:cs="Arial"/>
                <w:sz w:val="14"/>
                <w:szCs w:val="14"/>
                <w:lang w:val="ru-RU" w:eastAsia="ru-RU"/>
              </w:rPr>
              <w:t>акции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4"/>
              </w:numPr>
              <w:tabs>
                <w:tab w:val="left" w:pos="450"/>
              </w:tabs>
              <w:overflowPunct/>
              <w:autoSpaceDE/>
              <w:autoSpaceDN/>
              <w:adjustRightInd/>
              <w:ind w:left="284" w:firstLine="0"/>
              <w:rPr>
                <w:rFonts w:cs="Arial"/>
                <w:sz w:val="14"/>
                <w:szCs w:val="14"/>
                <w:lang w:val="ru-RU" w:eastAsia="ru-RU"/>
              </w:rPr>
            </w:pPr>
            <w:r w:rsidRPr="00D532AE">
              <w:rPr>
                <w:rFonts w:cs="Arial"/>
                <w:sz w:val="14"/>
                <w:szCs w:val="14"/>
                <w:lang w:val="ru-RU" w:eastAsia="ru-RU"/>
              </w:rPr>
              <w:t>финансовые инструменты</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4"/>
              </w:numPr>
              <w:tabs>
                <w:tab w:val="left" w:pos="450"/>
              </w:tabs>
              <w:overflowPunct/>
              <w:autoSpaceDE/>
              <w:autoSpaceDN/>
              <w:adjustRightInd/>
              <w:ind w:left="284" w:firstLine="0"/>
              <w:rPr>
                <w:rFonts w:cs="Arial"/>
                <w:sz w:val="14"/>
                <w:szCs w:val="14"/>
                <w:lang w:val="ru-RU" w:eastAsia="ru-RU"/>
              </w:rPr>
            </w:pPr>
            <w:r w:rsidRPr="00D532AE">
              <w:rPr>
                <w:rFonts w:cs="Arial"/>
                <w:sz w:val="14"/>
                <w:szCs w:val="14"/>
                <w:lang w:val="ru-RU" w:eastAsia="ru-RU"/>
              </w:rPr>
              <w:t>иные способы</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465"/>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Общий размер выплат в отчетном периоде, в отношении которых применялись отсрочка (рассрочка) и последующая корректировка;</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6C0DB6"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Общий размер выплат в отчетном году по видам выплат, в т. ч.:</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из них:</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фиксированная часть:</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107 106</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денежными средствами, в т. ч.</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107 106</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5"/>
              </w:numPr>
              <w:tabs>
                <w:tab w:val="left" w:pos="435"/>
              </w:tabs>
              <w:overflowPunct/>
              <w:autoSpaceDE/>
              <w:autoSpaceDN/>
              <w:adjustRightInd/>
              <w:ind w:left="284" w:firstLine="0"/>
              <w:rPr>
                <w:rFonts w:cs="Arial"/>
                <w:sz w:val="14"/>
                <w:szCs w:val="14"/>
                <w:lang w:val="ru-RU" w:eastAsia="ru-RU"/>
              </w:rPr>
            </w:pPr>
            <w:r w:rsidRPr="00D532AE">
              <w:rPr>
                <w:rFonts w:cs="Arial"/>
                <w:sz w:val="14"/>
                <w:szCs w:val="14"/>
                <w:lang w:val="ru-RU" w:eastAsia="ru-RU"/>
              </w:rPr>
              <w:t>члены исполнительных органов, 7 чел</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84 818</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5"/>
              </w:numPr>
              <w:tabs>
                <w:tab w:val="left" w:pos="435"/>
              </w:tabs>
              <w:overflowPunct/>
              <w:autoSpaceDE/>
              <w:autoSpaceDN/>
              <w:adjustRightInd/>
              <w:ind w:left="284" w:firstLine="0"/>
              <w:rPr>
                <w:rFonts w:cs="Arial"/>
                <w:sz w:val="14"/>
                <w:szCs w:val="14"/>
                <w:lang w:val="ru-RU" w:eastAsia="ru-RU"/>
              </w:rPr>
            </w:pPr>
            <w:r w:rsidRPr="00D532AE">
              <w:rPr>
                <w:rFonts w:cs="Arial"/>
                <w:sz w:val="14"/>
                <w:szCs w:val="14"/>
                <w:lang w:val="ru-RU" w:eastAsia="ru-RU"/>
              </w:rPr>
              <w:t>иные работники, принимающие риски, 12 чел.</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22 288</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акциями или финансовыми инструментами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иные способы</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нефиксированная часть:</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12 173</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денежными средствами, в т. ч.</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12 173</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6"/>
              </w:numPr>
              <w:tabs>
                <w:tab w:val="left" w:pos="426"/>
              </w:tabs>
              <w:overflowPunct/>
              <w:autoSpaceDE/>
              <w:autoSpaceDN/>
              <w:adjustRightInd/>
              <w:ind w:left="284" w:firstLine="0"/>
              <w:rPr>
                <w:rFonts w:cs="Arial"/>
                <w:sz w:val="14"/>
                <w:szCs w:val="14"/>
                <w:lang w:val="ru-RU" w:eastAsia="ru-RU"/>
              </w:rPr>
            </w:pPr>
            <w:r w:rsidRPr="00D532AE">
              <w:rPr>
                <w:rFonts w:cs="Arial"/>
                <w:sz w:val="14"/>
                <w:szCs w:val="14"/>
                <w:lang w:val="ru-RU" w:eastAsia="ru-RU"/>
              </w:rPr>
              <w:t>члены исполнительных органов, 2 чел</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9 702</w:t>
            </w:r>
          </w:p>
        </w:tc>
      </w:tr>
      <w:tr w:rsidR="00CD702B" w:rsidRPr="00D532AE" w:rsidTr="00A01AD9">
        <w:trPr>
          <w:trHeight w:val="329"/>
        </w:trPr>
        <w:tc>
          <w:tcPr>
            <w:tcW w:w="5637" w:type="dxa"/>
            <w:shd w:val="clear" w:color="auto" w:fill="auto"/>
            <w:noWrap/>
            <w:vAlign w:val="center"/>
            <w:hideMark/>
          </w:tcPr>
          <w:p w:rsidR="00CD702B" w:rsidRPr="00D532AE" w:rsidRDefault="00CD702B" w:rsidP="00FC5D59">
            <w:pPr>
              <w:pStyle w:val="afd"/>
              <w:numPr>
                <w:ilvl w:val="0"/>
                <w:numId w:val="56"/>
              </w:numPr>
              <w:tabs>
                <w:tab w:val="left" w:pos="426"/>
              </w:tabs>
              <w:overflowPunct/>
              <w:autoSpaceDE/>
              <w:autoSpaceDN/>
              <w:adjustRightInd/>
              <w:ind w:left="284" w:firstLine="0"/>
              <w:rPr>
                <w:rFonts w:cs="Arial"/>
                <w:sz w:val="14"/>
                <w:szCs w:val="14"/>
                <w:lang w:val="ru-RU" w:eastAsia="ru-RU"/>
              </w:rPr>
            </w:pPr>
            <w:r w:rsidRPr="00D532AE">
              <w:rPr>
                <w:rFonts w:cs="Arial"/>
                <w:sz w:val="14"/>
                <w:szCs w:val="14"/>
                <w:lang w:val="ru-RU" w:eastAsia="ru-RU"/>
              </w:rPr>
              <w:t>иные работники, принимающие риски, 3 чел.</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2 471</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акциями или финансовыми инструментами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sz w:val="14"/>
                <w:szCs w:val="14"/>
                <w:lang w:val="ru-RU" w:eastAsia="ru-RU"/>
              </w:rPr>
            </w:pPr>
            <w:r w:rsidRPr="00D532AE">
              <w:rPr>
                <w:rFonts w:cs="Arial"/>
                <w:sz w:val="14"/>
                <w:szCs w:val="14"/>
                <w:lang w:val="ru-RU" w:eastAsia="ru-RU"/>
              </w:rPr>
              <w:t>иные способы</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329"/>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Отсрочка (рассрочка) и корректировка вознаграждения</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sz w:val="14"/>
                <w:szCs w:val="14"/>
                <w:lang w:val="ru-RU" w:eastAsia="ru-RU"/>
              </w:rPr>
            </w:pPr>
            <w:r w:rsidRPr="00D532AE">
              <w:rPr>
                <w:rFonts w:cs="Arial"/>
                <w:sz w:val="14"/>
                <w:szCs w:val="14"/>
                <w:lang w:val="ru-RU" w:eastAsia="ru-RU"/>
              </w:rPr>
              <w:t>нет</w:t>
            </w:r>
          </w:p>
        </w:tc>
      </w:tr>
      <w:tr w:rsidR="00CD702B" w:rsidRPr="00D532AE" w:rsidTr="00A01AD9">
        <w:trPr>
          <w:trHeight w:val="556"/>
        </w:trPr>
        <w:tc>
          <w:tcPr>
            <w:tcW w:w="5637" w:type="dxa"/>
            <w:shd w:val="clear" w:color="auto" w:fill="auto"/>
            <w:noWrap/>
            <w:vAlign w:val="center"/>
            <w:hideMark/>
          </w:tcPr>
          <w:p w:rsidR="00CD702B" w:rsidRPr="00D532AE" w:rsidRDefault="00CD702B" w:rsidP="00A01AD9">
            <w:pPr>
              <w:overflowPunct/>
              <w:autoSpaceDE/>
              <w:autoSpaceDN/>
              <w:adjustRightInd/>
              <w:rPr>
                <w:rFonts w:cs="Arial"/>
                <w:b/>
                <w:bCs/>
                <w:sz w:val="14"/>
                <w:szCs w:val="14"/>
                <w:lang w:val="ru-RU" w:eastAsia="ru-RU"/>
              </w:rPr>
            </w:pPr>
            <w:r w:rsidRPr="00D532AE">
              <w:rPr>
                <w:rFonts w:cs="Arial"/>
                <w:b/>
                <w:bCs/>
                <w:sz w:val="14"/>
                <w:szCs w:val="14"/>
                <w:lang w:val="ru-RU" w:eastAsia="ru-RU"/>
              </w:rPr>
              <w:t>Общий размер невыплаченного отсроченного и удержанного вознаграждения вследствие заранее установленных и не установленных факторов корректировки: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420"/>
        </w:trPr>
        <w:tc>
          <w:tcPr>
            <w:tcW w:w="5637" w:type="dxa"/>
            <w:shd w:val="clear" w:color="auto" w:fill="auto"/>
            <w:noWrap/>
            <w:vAlign w:val="center"/>
            <w:hideMark/>
          </w:tcPr>
          <w:p w:rsidR="00CD702B" w:rsidRPr="00D532AE" w:rsidRDefault="00CD702B" w:rsidP="00FC5D59">
            <w:pPr>
              <w:pStyle w:val="afd"/>
              <w:numPr>
                <w:ilvl w:val="0"/>
                <w:numId w:val="57"/>
              </w:numPr>
              <w:tabs>
                <w:tab w:val="left" w:pos="435"/>
              </w:tabs>
              <w:overflowPunct/>
              <w:autoSpaceDE/>
              <w:autoSpaceDN/>
              <w:adjustRightInd/>
              <w:ind w:left="284" w:firstLine="0"/>
              <w:rPr>
                <w:rFonts w:cs="Arial"/>
                <w:b/>
                <w:bCs/>
                <w:sz w:val="14"/>
                <w:szCs w:val="14"/>
                <w:lang w:val="ru-RU" w:eastAsia="ru-RU"/>
              </w:rPr>
            </w:pPr>
            <w:r w:rsidRPr="00D532AE">
              <w:rPr>
                <w:rFonts w:cs="Arial"/>
                <w:b/>
                <w:bCs/>
                <w:sz w:val="14"/>
                <w:szCs w:val="14"/>
                <w:lang w:val="ru-RU" w:eastAsia="ru-RU"/>
              </w:rPr>
              <w:t>общий размер удержанного вознаграждения вследствие заранее установленных факторов корректировки;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420"/>
        </w:trPr>
        <w:tc>
          <w:tcPr>
            <w:tcW w:w="5637" w:type="dxa"/>
            <w:shd w:val="clear" w:color="auto" w:fill="auto"/>
            <w:noWrap/>
            <w:vAlign w:val="center"/>
            <w:hideMark/>
          </w:tcPr>
          <w:p w:rsidR="00CD702B" w:rsidRPr="00D532AE" w:rsidRDefault="00CD702B" w:rsidP="00FC5D59">
            <w:pPr>
              <w:pStyle w:val="afd"/>
              <w:numPr>
                <w:ilvl w:val="0"/>
                <w:numId w:val="57"/>
              </w:numPr>
              <w:tabs>
                <w:tab w:val="left" w:pos="435"/>
              </w:tabs>
              <w:overflowPunct/>
              <w:autoSpaceDE/>
              <w:autoSpaceDN/>
              <w:adjustRightInd/>
              <w:ind w:left="284" w:firstLine="0"/>
              <w:rPr>
                <w:rFonts w:cs="Arial"/>
                <w:b/>
                <w:bCs/>
                <w:sz w:val="14"/>
                <w:szCs w:val="14"/>
                <w:lang w:val="ru-RU" w:eastAsia="ru-RU"/>
              </w:rPr>
            </w:pPr>
            <w:r w:rsidRPr="00D532AE">
              <w:rPr>
                <w:rFonts w:cs="Arial"/>
                <w:b/>
                <w:bCs/>
                <w:sz w:val="14"/>
                <w:szCs w:val="14"/>
                <w:lang w:val="ru-RU" w:eastAsia="ru-RU"/>
              </w:rPr>
              <w:t>общий размер удержанного вознаграждения вследствие заранее не установленных факторов корректировки.</w:t>
            </w:r>
          </w:p>
        </w:tc>
        <w:tc>
          <w:tcPr>
            <w:tcW w:w="1984" w:type="dxa"/>
            <w:shd w:val="clear" w:color="auto" w:fill="auto"/>
            <w:noWrap/>
            <w:vAlign w:val="center"/>
            <w:hideMark/>
          </w:tcPr>
          <w:p w:rsidR="00CD702B" w:rsidRPr="00D532AE" w:rsidRDefault="00CD702B" w:rsidP="00A01AD9">
            <w:pPr>
              <w:overflowPunct/>
              <w:autoSpaceDE/>
              <w:autoSpaceDN/>
              <w:adjustRightInd/>
              <w:jc w:val="both"/>
              <w:rPr>
                <w:rFonts w:cs="Arial"/>
                <w:b/>
                <w:bCs/>
                <w:sz w:val="14"/>
                <w:szCs w:val="14"/>
                <w:lang w:val="ru-RU" w:eastAsia="ru-RU"/>
              </w:rPr>
            </w:pPr>
            <w:r w:rsidRPr="00D532AE">
              <w:rPr>
                <w:rFonts w:cs="Arial"/>
                <w:b/>
                <w:bCs/>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sz w:val="14"/>
                <w:szCs w:val="14"/>
                <w:lang w:val="ru-RU" w:eastAsia="ru-RU"/>
              </w:rPr>
            </w:pPr>
            <w:r w:rsidRPr="00D532AE">
              <w:rPr>
                <w:rFonts w:cs="Arial"/>
                <w:b/>
                <w:bCs/>
                <w:sz w:val="14"/>
                <w:szCs w:val="14"/>
                <w:lang w:val="ru-RU" w:eastAsia="ru-RU"/>
              </w:rPr>
              <w:t>нет</w:t>
            </w:r>
          </w:p>
        </w:tc>
      </w:tr>
      <w:tr w:rsidR="00CD702B" w:rsidRPr="00D532AE" w:rsidTr="00A01AD9">
        <w:trPr>
          <w:trHeight w:val="272"/>
        </w:trPr>
        <w:tc>
          <w:tcPr>
            <w:tcW w:w="5637" w:type="dxa"/>
            <w:shd w:val="clear" w:color="auto" w:fill="auto"/>
            <w:noWrap/>
            <w:vAlign w:val="bottom"/>
            <w:hideMark/>
          </w:tcPr>
          <w:p w:rsidR="00CD702B" w:rsidRPr="00D532AE" w:rsidRDefault="00CD702B" w:rsidP="00A01AD9">
            <w:pPr>
              <w:overflowPunct/>
              <w:autoSpaceDE/>
              <w:autoSpaceDN/>
              <w:adjustRightInd/>
              <w:rPr>
                <w:rFonts w:cs="Arial"/>
                <w:b/>
                <w:bCs/>
                <w:color w:val="000000"/>
                <w:sz w:val="14"/>
                <w:szCs w:val="14"/>
                <w:lang w:val="ru-RU" w:eastAsia="ru-RU"/>
              </w:rPr>
            </w:pPr>
            <w:r w:rsidRPr="00D532AE">
              <w:rPr>
                <w:rFonts w:cs="Arial"/>
                <w:b/>
                <w:sz w:val="14"/>
                <w:szCs w:val="14"/>
                <w:lang w:val="ru-RU" w:eastAsia="ru-RU"/>
              </w:rPr>
              <w:t>Общий размер выплат в отчетном году</w:t>
            </w:r>
          </w:p>
        </w:tc>
        <w:tc>
          <w:tcPr>
            <w:tcW w:w="1984" w:type="dxa"/>
            <w:shd w:val="clear" w:color="auto" w:fill="auto"/>
            <w:noWrap/>
            <w:vAlign w:val="bottom"/>
            <w:hideMark/>
          </w:tcPr>
          <w:p w:rsidR="00CD702B" w:rsidRPr="00D532AE" w:rsidRDefault="00CD702B" w:rsidP="00A01AD9">
            <w:pPr>
              <w:overflowPunct/>
              <w:autoSpaceDE/>
              <w:autoSpaceDN/>
              <w:adjustRightInd/>
              <w:rPr>
                <w:rFonts w:cs="Arial"/>
                <w:b/>
                <w:bCs/>
                <w:color w:val="000000"/>
                <w:sz w:val="14"/>
                <w:szCs w:val="14"/>
                <w:lang w:val="ru-RU" w:eastAsia="ru-RU"/>
              </w:rPr>
            </w:pPr>
            <w:r w:rsidRPr="00D532AE">
              <w:rPr>
                <w:rFonts w:cs="Arial"/>
                <w:b/>
                <w:bCs/>
                <w:color w:val="000000"/>
                <w:sz w:val="14"/>
                <w:szCs w:val="14"/>
                <w:lang w:val="ru-RU" w:eastAsia="ru-RU"/>
              </w:rPr>
              <w:t> </w:t>
            </w:r>
          </w:p>
        </w:tc>
        <w:tc>
          <w:tcPr>
            <w:tcW w:w="1843" w:type="dxa"/>
            <w:shd w:val="clear" w:color="auto" w:fill="auto"/>
            <w:noWrap/>
            <w:vAlign w:val="bottom"/>
            <w:hideMark/>
          </w:tcPr>
          <w:p w:rsidR="00CD702B" w:rsidRPr="00D532AE" w:rsidRDefault="00CD702B" w:rsidP="00A01AD9">
            <w:pPr>
              <w:overflowPunct/>
              <w:autoSpaceDE/>
              <w:autoSpaceDN/>
              <w:adjustRightInd/>
              <w:jc w:val="center"/>
              <w:rPr>
                <w:rFonts w:cs="Arial"/>
                <w:b/>
                <w:bCs/>
                <w:color w:val="000000"/>
                <w:sz w:val="14"/>
                <w:szCs w:val="14"/>
                <w:lang w:val="ru-RU" w:eastAsia="ru-RU"/>
              </w:rPr>
            </w:pPr>
            <w:r w:rsidRPr="00D532AE">
              <w:rPr>
                <w:rFonts w:cs="Arial"/>
                <w:b/>
                <w:bCs/>
                <w:color w:val="000000"/>
                <w:sz w:val="14"/>
                <w:szCs w:val="14"/>
                <w:lang w:val="ru-RU" w:eastAsia="ru-RU"/>
              </w:rPr>
              <w:t>150 448</w:t>
            </w:r>
          </w:p>
        </w:tc>
      </w:tr>
    </w:tbl>
    <w:p w:rsidR="00CD702B" w:rsidRPr="00D532AE" w:rsidRDefault="00CD702B" w:rsidP="00CD702B">
      <w:pPr>
        <w:pStyle w:val="2normal"/>
        <w:jc w:val="both"/>
        <w:rPr>
          <w:rFonts w:cs="Arial"/>
          <w:sz w:val="20"/>
          <w:szCs w:val="20"/>
          <w:lang w:val="ru-RU"/>
        </w:rPr>
      </w:pPr>
    </w:p>
    <w:p w:rsidR="00CD702B" w:rsidRPr="00D532AE" w:rsidRDefault="00CD702B" w:rsidP="00CD702B">
      <w:pPr>
        <w:pStyle w:val="2normal"/>
        <w:jc w:val="both"/>
        <w:rPr>
          <w:rFonts w:cs="Arial"/>
          <w:sz w:val="20"/>
          <w:szCs w:val="20"/>
          <w:lang w:val="ru-RU"/>
        </w:rPr>
      </w:pPr>
      <w:r w:rsidRPr="00D532AE">
        <w:rPr>
          <w:rFonts w:cs="Arial"/>
          <w:sz w:val="20"/>
          <w:szCs w:val="20"/>
          <w:lang w:val="ru-RU"/>
        </w:rPr>
        <w:t xml:space="preserve">Иных работников, принимающих риски и не относящихся к числу лиц, требующих раскрытия в соответствии с Указаниями Банка России № </w:t>
      </w:r>
      <w:r w:rsidR="00A5473B">
        <w:rPr>
          <w:rFonts w:cs="Arial"/>
          <w:sz w:val="20"/>
          <w:szCs w:val="20"/>
          <w:lang w:val="ru-RU"/>
        </w:rPr>
        <w:t>4638</w:t>
      </w:r>
      <w:r w:rsidRPr="00D532AE">
        <w:rPr>
          <w:rFonts w:cs="Arial"/>
          <w:sz w:val="20"/>
          <w:szCs w:val="20"/>
          <w:lang w:val="ru-RU"/>
        </w:rPr>
        <w:t>-У нет.</w:t>
      </w:r>
    </w:p>
    <w:p w:rsidR="00CD702B" w:rsidRPr="00D532AE" w:rsidRDefault="00CD702B" w:rsidP="00CD702B">
      <w:pPr>
        <w:pStyle w:val="2normal"/>
        <w:jc w:val="both"/>
        <w:rPr>
          <w:rFonts w:cs="Arial"/>
          <w:sz w:val="20"/>
          <w:szCs w:val="20"/>
          <w:lang w:val="ru-RU"/>
        </w:rPr>
      </w:pPr>
      <w:r w:rsidRPr="00D532AE">
        <w:rPr>
          <w:rFonts w:cs="Arial"/>
          <w:sz w:val="20"/>
          <w:szCs w:val="20"/>
          <w:lang w:val="ru-RU"/>
        </w:rPr>
        <w:t>В 201</w:t>
      </w:r>
      <w:r>
        <w:rPr>
          <w:rFonts w:cs="Arial"/>
          <w:sz w:val="20"/>
          <w:szCs w:val="20"/>
          <w:lang w:val="ru-RU"/>
        </w:rPr>
        <w:t>7</w:t>
      </w:r>
      <w:r w:rsidRPr="00D532AE">
        <w:rPr>
          <w:rFonts w:cs="Arial"/>
          <w:sz w:val="20"/>
          <w:szCs w:val="20"/>
          <w:lang w:val="ru-RU"/>
        </w:rPr>
        <w:t>, 201</w:t>
      </w:r>
      <w:r>
        <w:rPr>
          <w:rFonts w:cs="Arial"/>
          <w:sz w:val="20"/>
          <w:szCs w:val="20"/>
          <w:lang w:val="ru-RU"/>
        </w:rPr>
        <w:t>8</w:t>
      </w:r>
      <w:r w:rsidRPr="00D532AE">
        <w:rPr>
          <w:rFonts w:cs="Arial"/>
          <w:sz w:val="20"/>
          <w:szCs w:val="20"/>
          <w:lang w:val="ru-RU"/>
        </w:rPr>
        <w:t xml:space="preserve"> годах, членам исполнительных органов и иным сотрудникам, принимающих риски выплаты выходных пособий при увольнении не производились.</w:t>
      </w:r>
    </w:p>
    <w:p w:rsidR="00CD702B" w:rsidRPr="00D532AE" w:rsidRDefault="00CD702B" w:rsidP="00CD702B">
      <w:pPr>
        <w:pStyle w:val="2normal"/>
        <w:jc w:val="both"/>
        <w:rPr>
          <w:rFonts w:cs="Arial"/>
          <w:sz w:val="20"/>
          <w:szCs w:val="20"/>
          <w:lang w:val="ru-RU"/>
        </w:rPr>
      </w:pPr>
      <w:r w:rsidRPr="00D532AE">
        <w:rPr>
          <w:rFonts w:cs="Arial"/>
          <w:sz w:val="20"/>
          <w:szCs w:val="20"/>
          <w:lang w:val="ru-RU"/>
        </w:rPr>
        <w:lastRenderedPageBreak/>
        <w:t xml:space="preserve">Корректировок вознаграждений для членов исполнительных органов и иных работников, принимающих риски, не производилось. </w:t>
      </w:r>
    </w:p>
    <w:p w:rsidR="00CD702B" w:rsidRPr="00A5473B" w:rsidRDefault="00CD702B" w:rsidP="00A5473B">
      <w:pPr>
        <w:pStyle w:val="2normal"/>
        <w:jc w:val="both"/>
        <w:rPr>
          <w:rFonts w:cs="Arial"/>
          <w:sz w:val="20"/>
          <w:szCs w:val="20"/>
          <w:lang w:val="ru-RU"/>
        </w:rPr>
      </w:pPr>
      <w:r w:rsidRPr="00D532AE">
        <w:rPr>
          <w:rFonts w:cs="Arial"/>
          <w:sz w:val="20"/>
          <w:szCs w:val="20"/>
          <w:lang w:val="ru-RU"/>
        </w:rPr>
        <w:t xml:space="preserve"> </w:t>
      </w:r>
    </w:p>
    <w:p w:rsidR="00A5473B" w:rsidRPr="00A5473B" w:rsidRDefault="00A5473B" w:rsidP="00A5473B">
      <w:pPr>
        <w:overflowPunct/>
        <w:jc w:val="both"/>
        <w:textAlignment w:val="auto"/>
        <w:rPr>
          <w:rFonts w:eastAsiaTheme="minorHAnsi" w:cs="Arial"/>
          <w:bCs/>
          <w:sz w:val="20"/>
          <w:szCs w:val="20"/>
          <w:lang w:val="ru-RU"/>
        </w:rPr>
      </w:pPr>
      <w:r w:rsidRPr="00A5473B">
        <w:rPr>
          <w:rFonts w:eastAsiaTheme="minorHAnsi" w:cs="Arial"/>
          <w:b/>
          <w:bCs/>
          <w:sz w:val="20"/>
          <w:szCs w:val="20"/>
          <w:lang w:val="ru-RU"/>
        </w:rPr>
        <w:t xml:space="preserve">12. Выплат на основе долевых </w:t>
      </w:r>
      <w:r w:rsidRPr="00A5473B">
        <w:rPr>
          <w:rFonts w:eastAsiaTheme="minorHAnsi" w:cs="Arial"/>
          <w:bCs/>
          <w:sz w:val="20"/>
          <w:szCs w:val="20"/>
          <w:lang w:val="ru-RU"/>
        </w:rPr>
        <w:t>инструментов у Банка нет</w:t>
      </w:r>
      <w:r w:rsidR="00B0158E">
        <w:rPr>
          <w:rFonts w:eastAsiaTheme="minorHAnsi" w:cs="Arial"/>
          <w:bCs/>
          <w:sz w:val="20"/>
          <w:szCs w:val="20"/>
          <w:lang w:val="ru-RU"/>
        </w:rPr>
        <w:t>.</w:t>
      </w:r>
    </w:p>
    <w:p w:rsidR="00CD702B" w:rsidRPr="00A5473B" w:rsidRDefault="00CD702B" w:rsidP="00A5473B">
      <w:pPr>
        <w:rPr>
          <w:rFonts w:cs="Arial"/>
          <w:sz w:val="20"/>
          <w:szCs w:val="20"/>
          <w:lang w:val="ru-RU"/>
        </w:rPr>
      </w:pPr>
    </w:p>
    <w:p w:rsidR="00A5473B" w:rsidRPr="003D3BEC" w:rsidRDefault="00A5473B" w:rsidP="00A5473B">
      <w:pPr>
        <w:overflowPunct/>
        <w:jc w:val="both"/>
        <w:rPr>
          <w:rFonts w:eastAsiaTheme="minorHAnsi" w:cs="Arial"/>
          <w:b/>
          <w:sz w:val="20"/>
          <w:szCs w:val="20"/>
          <w:lang w:val="ru-RU"/>
        </w:rPr>
      </w:pPr>
      <w:r w:rsidRPr="00734191">
        <w:rPr>
          <w:rFonts w:eastAsiaTheme="minorHAnsi" w:cs="Arial"/>
          <w:b/>
          <w:sz w:val="20"/>
          <w:szCs w:val="20"/>
          <w:lang w:val="ru-RU"/>
        </w:rPr>
        <w:t>13. Операций или событий по объединению бизнеса в отчетном периоде не происходило.</w:t>
      </w:r>
    </w:p>
    <w:p w:rsidR="003E30CD" w:rsidRPr="00E41356" w:rsidRDefault="003E30CD" w:rsidP="00A5473B">
      <w:pPr>
        <w:pStyle w:val="2"/>
        <w:numPr>
          <w:ilvl w:val="0"/>
          <w:numId w:val="0"/>
        </w:numPr>
        <w:rPr>
          <w:b w:val="0"/>
          <w:sz w:val="20"/>
        </w:rPr>
      </w:pPr>
    </w:p>
    <w:p w:rsidR="00A5473B" w:rsidRPr="00E41356" w:rsidRDefault="00A5473B" w:rsidP="00A5473B">
      <w:pPr>
        <w:overflowPunct/>
        <w:jc w:val="both"/>
        <w:textAlignment w:val="auto"/>
        <w:rPr>
          <w:rFonts w:eastAsiaTheme="minorHAnsi" w:cs="Arial"/>
          <w:b/>
          <w:bCs/>
          <w:sz w:val="20"/>
          <w:szCs w:val="20"/>
          <w:lang w:val="ru-RU"/>
        </w:rPr>
      </w:pPr>
      <w:bookmarkStart w:id="23" w:name="_Toc514080383"/>
      <w:r w:rsidRPr="00E41356">
        <w:rPr>
          <w:b/>
          <w:sz w:val="20"/>
          <w:szCs w:val="20"/>
          <w:lang w:val="ru-RU"/>
        </w:rPr>
        <w:t>14.</w:t>
      </w:r>
      <w:r w:rsidRPr="00E41356">
        <w:rPr>
          <w:sz w:val="20"/>
          <w:szCs w:val="20"/>
          <w:lang w:val="ru-RU"/>
        </w:rPr>
        <w:t xml:space="preserve"> </w:t>
      </w:r>
      <w:bookmarkEnd w:id="23"/>
      <w:r w:rsidRPr="00E41356">
        <w:rPr>
          <w:rFonts w:eastAsiaTheme="minorHAnsi" w:cs="Arial"/>
          <w:b/>
          <w:bCs/>
          <w:sz w:val="20"/>
          <w:szCs w:val="20"/>
          <w:lang w:val="ru-RU"/>
        </w:rPr>
        <w:t>Информация о базовой и разводненной прибыли на акцию</w:t>
      </w:r>
    </w:p>
    <w:p w:rsidR="00A5473B" w:rsidRPr="00E75A55" w:rsidRDefault="00A5473B" w:rsidP="00A5473B">
      <w:pPr>
        <w:jc w:val="both"/>
        <w:rPr>
          <w:rFonts w:cs="Arial"/>
          <w:b/>
          <w:bCs/>
          <w:lang w:val="ru-RU"/>
        </w:rPr>
      </w:pPr>
    </w:p>
    <w:tbl>
      <w:tblPr>
        <w:tblW w:w="9796" w:type="dxa"/>
        <w:tblInd w:w="93" w:type="dxa"/>
        <w:tblCellMar>
          <w:left w:w="0" w:type="dxa"/>
          <w:right w:w="0" w:type="dxa"/>
        </w:tblCellMar>
        <w:tblLook w:val="04A0" w:firstRow="1" w:lastRow="0" w:firstColumn="1" w:lastColumn="0" w:noHBand="0" w:noVBand="1"/>
      </w:tblPr>
      <w:tblGrid>
        <w:gridCol w:w="4410"/>
        <w:gridCol w:w="2693"/>
        <w:gridCol w:w="2693"/>
      </w:tblGrid>
      <w:tr w:rsidR="00A5473B" w:rsidRPr="00E75A55" w:rsidTr="00A01AD9">
        <w:trPr>
          <w:trHeight w:val="245"/>
          <w:tblHeader/>
        </w:trPr>
        <w:tc>
          <w:tcPr>
            <w:tcW w:w="4410" w:type="dxa"/>
            <w:tcBorders>
              <w:top w:val="single" w:sz="8" w:space="0" w:color="auto"/>
              <w:left w:val="nil"/>
              <w:bottom w:val="nil"/>
              <w:right w:val="nil"/>
            </w:tcBorders>
            <w:noWrap/>
            <w:tcMar>
              <w:top w:w="0" w:type="dxa"/>
              <w:left w:w="108" w:type="dxa"/>
              <w:bottom w:w="0" w:type="dxa"/>
              <w:right w:w="108" w:type="dxa"/>
            </w:tcMar>
            <w:vAlign w:val="bottom"/>
            <w:hideMark/>
          </w:tcPr>
          <w:p w:rsidR="00A5473B" w:rsidRPr="00E75A55" w:rsidRDefault="00A5473B" w:rsidP="00A01AD9">
            <w:pPr>
              <w:jc w:val="center"/>
              <w:rPr>
                <w:rFonts w:cs="Arial"/>
                <w:sz w:val="16"/>
                <w:szCs w:val="16"/>
                <w:lang w:val="ru-RU" w:eastAsia="ru-RU"/>
              </w:rPr>
            </w:pPr>
            <w:r w:rsidRPr="002C04FD">
              <w:rPr>
                <w:sz w:val="16"/>
                <w:szCs w:val="16"/>
                <w:lang w:eastAsia="ru-RU"/>
              </w:rPr>
              <w:t> </w:t>
            </w:r>
          </w:p>
        </w:tc>
        <w:tc>
          <w:tcPr>
            <w:tcW w:w="2693" w:type="dxa"/>
            <w:tcBorders>
              <w:top w:val="single" w:sz="8" w:space="0" w:color="auto"/>
              <w:left w:val="nil"/>
              <w:bottom w:val="single" w:sz="8" w:space="0" w:color="auto"/>
              <w:right w:val="nil"/>
            </w:tcBorders>
            <w:vAlign w:val="bottom"/>
            <w:hideMark/>
          </w:tcPr>
          <w:p w:rsidR="00A5473B" w:rsidRPr="00E75A55" w:rsidRDefault="00A5473B" w:rsidP="00A01AD9">
            <w:pPr>
              <w:jc w:val="center"/>
              <w:rPr>
                <w:rFonts w:cs="Arial"/>
                <w:b/>
                <w:bCs/>
                <w:sz w:val="16"/>
                <w:szCs w:val="16"/>
                <w:lang w:val="ru-RU" w:eastAsia="ru-RU"/>
              </w:rPr>
            </w:pPr>
            <w:r w:rsidRPr="00E75A55">
              <w:rPr>
                <w:b/>
                <w:bCs/>
                <w:sz w:val="16"/>
                <w:szCs w:val="16"/>
                <w:lang w:val="ru-RU" w:eastAsia="ru-RU"/>
              </w:rPr>
              <w:t>31.12.2018</w:t>
            </w:r>
          </w:p>
        </w:tc>
        <w:tc>
          <w:tcPr>
            <w:tcW w:w="2693"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A5473B" w:rsidRPr="00E75A55" w:rsidRDefault="00A5473B" w:rsidP="00A01AD9">
            <w:pPr>
              <w:jc w:val="center"/>
              <w:rPr>
                <w:rFonts w:cs="Arial"/>
                <w:b/>
                <w:bCs/>
                <w:sz w:val="16"/>
                <w:szCs w:val="16"/>
                <w:lang w:val="ru-RU" w:eastAsia="ru-RU"/>
              </w:rPr>
            </w:pPr>
            <w:r w:rsidRPr="00E75A55">
              <w:rPr>
                <w:b/>
                <w:bCs/>
                <w:sz w:val="16"/>
                <w:szCs w:val="16"/>
                <w:lang w:val="ru-RU" w:eastAsia="ru-RU"/>
              </w:rPr>
              <w:t>31.12.2017</w:t>
            </w:r>
          </w:p>
        </w:tc>
      </w:tr>
      <w:tr w:rsidR="00A5473B" w:rsidRPr="00E75A55" w:rsidTr="00A01AD9">
        <w:trPr>
          <w:trHeight w:val="368"/>
        </w:trPr>
        <w:tc>
          <w:tcPr>
            <w:tcW w:w="4410" w:type="dxa"/>
            <w:noWrap/>
            <w:tcMar>
              <w:top w:w="0" w:type="dxa"/>
              <w:left w:w="108" w:type="dxa"/>
              <w:bottom w:w="0" w:type="dxa"/>
              <w:right w:w="108" w:type="dxa"/>
            </w:tcMar>
            <w:vAlign w:val="bottom"/>
            <w:hideMark/>
          </w:tcPr>
          <w:p w:rsidR="00A5473B" w:rsidRPr="00E75A55" w:rsidRDefault="00A5473B" w:rsidP="00A01AD9">
            <w:pPr>
              <w:rPr>
                <w:rFonts w:cs="Arial"/>
                <w:sz w:val="16"/>
                <w:szCs w:val="16"/>
                <w:lang w:val="ru-RU" w:eastAsia="ru-RU"/>
              </w:rPr>
            </w:pPr>
            <w:r w:rsidRPr="008529A3">
              <w:rPr>
                <w:sz w:val="16"/>
                <w:szCs w:val="16"/>
                <w:lang w:val="ru-RU" w:eastAsia="ru-RU"/>
              </w:rPr>
              <w:t>Базовая прибыль</w:t>
            </w:r>
          </w:p>
        </w:tc>
        <w:tc>
          <w:tcPr>
            <w:tcW w:w="2693" w:type="dxa"/>
            <w:vAlign w:val="center"/>
          </w:tcPr>
          <w:p w:rsidR="00A5473B" w:rsidRPr="002C04FD" w:rsidRDefault="00A5473B" w:rsidP="006A4547">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w:t>
            </w:r>
            <w:r w:rsidR="006A4547">
              <w:rPr>
                <w:rFonts w:cs="Arial"/>
                <w:color w:val="000000"/>
                <w:sz w:val="16"/>
                <w:szCs w:val="16"/>
                <w:lang w:val="ru-RU" w:eastAsia="ru-RU"/>
              </w:rPr>
              <w:t>287 167</w:t>
            </w:r>
            <w:r w:rsidRPr="002C04FD">
              <w:rPr>
                <w:rFonts w:cs="Arial"/>
                <w:color w:val="000000"/>
                <w:sz w:val="16"/>
                <w:szCs w:val="16"/>
                <w:lang w:val="ru-RU" w:eastAsia="ru-RU"/>
              </w:rPr>
              <w:t>)</w:t>
            </w:r>
          </w:p>
        </w:tc>
        <w:tc>
          <w:tcPr>
            <w:tcW w:w="2693" w:type="dxa"/>
            <w:noWrap/>
            <w:tcMar>
              <w:top w:w="0" w:type="dxa"/>
              <w:left w:w="108" w:type="dxa"/>
              <w:bottom w:w="0" w:type="dxa"/>
              <w:right w:w="108" w:type="dxa"/>
            </w:tcMar>
            <w:vAlign w:val="center"/>
          </w:tcPr>
          <w:p w:rsidR="00A5473B" w:rsidRPr="00E75A55" w:rsidRDefault="00A5473B" w:rsidP="00A01AD9">
            <w:pPr>
              <w:overflowPunct/>
              <w:autoSpaceDE/>
              <w:autoSpaceDN/>
              <w:adjustRightInd/>
              <w:jc w:val="center"/>
              <w:textAlignment w:val="auto"/>
              <w:rPr>
                <w:rFonts w:cs="Arial"/>
                <w:color w:val="000000"/>
                <w:sz w:val="16"/>
                <w:szCs w:val="16"/>
                <w:lang w:val="ru-RU" w:eastAsia="ru-RU"/>
              </w:rPr>
            </w:pPr>
            <w:r>
              <w:rPr>
                <w:rFonts w:cs="Arial"/>
                <w:color w:val="000000"/>
                <w:sz w:val="16"/>
                <w:szCs w:val="16"/>
                <w:lang w:val="ru-RU" w:eastAsia="ru-RU"/>
              </w:rPr>
              <w:t>5</w:t>
            </w:r>
            <w:r w:rsidRPr="00E75A55">
              <w:rPr>
                <w:rFonts w:cs="Arial"/>
                <w:color w:val="000000"/>
                <w:sz w:val="16"/>
                <w:szCs w:val="16"/>
                <w:lang w:val="ru-RU" w:eastAsia="ru-RU"/>
              </w:rPr>
              <w:t>4</w:t>
            </w:r>
            <w:r>
              <w:rPr>
                <w:rFonts w:cs="Arial"/>
                <w:color w:val="000000"/>
                <w:sz w:val="16"/>
                <w:szCs w:val="16"/>
                <w:lang w:val="ru-RU" w:eastAsia="ru-RU"/>
              </w:rPr>
              <w:t xml:space="preserve"> </w:t>
            </w:r>
            <w:r w:rsidRPr="00E75A55">
              <w:rPr>
                <w:rFonts w:cs="Arial"/>
                <w:color w:val="000000"/>
                <w:sz w:val="16"/>
                <w:szCs w:val="16"/>
                <w:lang w:val="ru-RU" w:eastAsia="ru-RU"/>
              </w:rPr>
              <w:t>902</w:t>
            </w:r>
          </w:p>
        </w:tc>
      </w:tr>
      <w:tr w:rsidR="00A5473B" w:rsidRPr="008529A3" w:rsidTr="00A01AD9">
        <w:trPr>
          <w:trHeight w:val="368"/>
        </w:trPr>
        <w:tc>
          <w:tcPr>
            <w:tcW w:w="4410" w:type="dxa"/>
            <w:tcMar>
              <w:top w:w="0" w:type="dxa"/>
              <w:left w:w="108" w:type="dxa"/>
              <w:bottom w:w="0" w:type="dxa"/>
              <w:right w:w="108" w:type="dxa"/>
            </w:tcMar>
            <w:vAlign w:val="bottom"/>
          </w:tcPr>
          <w:p w:rsidR="00A5473B" w:rsidRPr="002C04FD" w:rsidRDefault="00A5473B" w:rsidP="00A01AD9">
            <w:pPr>
              <w:rPr>
                <w:rFonts w:cs="Arial"/>
                <w:sz w:val="16"/>
                <w:szCs w:val="16"/>
                <w:lang w:val="ru-RU" w:eastAsia="ru-RU"/>
              </w:rPr>
            </w:pPr>
          </w:p>
          <w:p w:rsidR="00A5473B" w:rsidRPr="002C04FD" w:rsidRDefault="00A5473B" w:rsidP="00A01AD9">
            <w:pPr>
              <w:rPr>
                <w:rFonts w:cs="Arial"/>
                <w:sz w:val="16"/>
                <w:szCs w:val="16"/>
                <w:lang w:val="ru-RU" w:eastAsia="ru-RU"/>
              </w:rPr>
            </w:pPr>
            <w:r w:rsidRPr="002C04FD">
              <w:rPr>
                <w:sz w:val="16"/>
                <w:szCs w:val="16"/>
                <w:lang w:val="ru-RU" w:eastAsia="ru-RU"/>
              </w:rPr>
              <w:t>Средневзвешенное количество обыкновенных акций, находящихся в обращении, шт.</w:t>
            </w:r>
          </w:p>
        </w:tc>
        <w:tc>
          <w:tcPr>
            <w:tcW w:w="2693" w:type="dxa"/>
            <w:vAlign w:val="center"/>
          </w:tcPr>
          <w:p w:rsidR="00A5473B" w:rsidRPr="00D650D8" w:rsidRDefault="00A5473B" w:rsidP="00A01AD9">
            <w:pPr>
              <w:overflowPunct/>
              <w:autoSpaceDE/>
              <w:autoSpaceDN/>
              <w:adjustRightInd/>
              <w:jc w:val="center"/>
              <w:textAlignment w:val="auto"/>
              <w:rPr>
                <w:rFonts w:cs="Arial"/>
                <w:color w:val="000000"/>
                <w:sz w:val="16"/>
                <w:szCs w:val="16"/>
                <w:lang w:val="en-US" w:eastAsia="ru-RU"/>
              </w:rPr>
            </w:pPr>
            <w:r>
              <w:rPr>
                <w:rFonts w:cs="Arial"/>
                <w:color w:val="000000"/>
                <w:sz w:val="16"/>
                <w:szCs w:val="16"/>
                <w:lang w:val="ru-RU" w:eastAsia="ru-RU"/>
              </w:rPr>
              <w:t>3 660</w:t>
            </w:r>
            <w:r>
              <w:rPr>
                <w:rFonts w:cs="Arial"/>
                <w:color w:val="000000"/>
                <w:sz w:val="16"/>
                <w:szCs w:val="16"/>
                <w:lang w:val="en-US" w:eastAsia="ru-RU"/>
              </w:rPr>
              <w:t> </w:t>
            </w:r>
            <w:r>
              <w:rPr>
                <w:rFonts w:cs="Arial"/>
                <w:color w:val="000000"/>
                <w:sz w:val="16"/>
                <w:szCs w:val="16"/>
                <w:lang w:val="ru-RU" w:eastAsia="ru-RU"/>
              </w:rPr>
              <w:t>868 908</w:t>
            </w:r>
          </w:p>
        </w:tc>
        <w:tc>
          <w:tcPr>
            <w:tcW w:w="2693" w:type="dxa"/>
            <w:noWrap/>
            <w:tcMar>
              <w:top w:w="0" w:type="dxa"/>
              <w:left w:w="108" w:type="dxa"/>
              <w:bottom w:w="0" w:type="dxa"/>
              <w:right w:w="108" w:type="dxa"/>
            </w:tcMar>
            <w:vAlign w:val="center"/>
          </w:tcPr>
          <w:p w:rsidR="00A5473B" w:rsidRPr="002C04FD" w:rsidRDefault="00A5473B"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 xml:space="preserve">3 657 </w:t>
            </w:r>
            <w:r>
              <w:rPr>
                <w:rFonts w:cs="Arial"/>
                <w:color w:val="000000"/>
                <w:sz w:val="16"/>
                <w:szCs w:val="16"/>
                <w:lang w:val="ru-RU" w:eastAsia="ru-RU"/>
              </w:rPr>
              <w:t>0</w:t>
            </w:r>
            <w:r w:rsidRPr="002C04FD">
              <w:rPr>
                <w:rFonts w:cs="Arial"/>
                <w:color w:val="000000"/>
                <w:sz w:val="16"/>
                <w:szCs w:val="16"/>
                <w:lang w:val="ru-RU" w:eastAsia="ru-RU"/>
              </w:rPr>
              <w:t>8</w:t>
            </w:r>
            <w:r>
              <w:rPr>
                <w:rFonts w:cs="Arial"/>
                <w:color w:val="000000"/>
                <w:sz w:val="16"/>
                <w:szCs w:val="16"/>
                <w:lang w:val="ru-RU" w:eastAsia="ru-RU"/>
              </w:rPr>
              <w:t>2</w:t>
            </w:r>
            <w:r w:rsidRPr="002C04FD">
              <w:rPr>
                <w:rFonts w:cs="Arial"/>
                <w:color w:val="000000"/>
                <w:sz w:val="16"/>
                <w:szCs w:val="16"/>
                <w:lang w:val="ru-RU" w:eastAsia="ru-RU"/>
              </w:rPr>
              <w:t xml:space="preserve"> </w:t>
            </w:r>
            <w:r>
              <w:rPr>
                <w:rFonts w:cs="Arial"/>
                <w:color w:val="000000"/>
                <w:sz w:val="16"/>
                <w:szCs w:val="16"/>
                <w:lang w:val="ru-RU" w:eastAsia="ru-RU"/>
              </w:rPr>
              <w:t>420</w:t>
            </w:r>
          </w:p>
        </w:tc>
      </w:tr>
      <w:tr w:rsidR="00A5473B" w:rsidRPr="002C04FD" w:rsidTr="00A01AD9">
        <w:trPr>
          <w:trHeight w:val="153"/>
        </w:trPr>
        <w:tc>
          <w:tcPr>
            <w:tcW w:w="4410" w:type="dxa"/>
            <w:tcBorders>
              <w:top w:val="nil"/>
              <w:left w:val="nil"/>
              <w:bottom w:val="double" w:sz="4" w:space="0" w:color="auto"/>
              <w:right w:val="nil"/>
            </w:tcBorders>
            <w:noWrap/>
            <w:tcMar>
              <w:top w:w="0" w:type="dxa"/>
              <w:left w:w="108" w:type="dxa"/>
              <w:bottom w:w="0" w:type="dxa"/>
              <w:right w:w="108" w:type="dxa"/>
            </w:tcMar>
            <w:vAlign w:val="bottom"/>
          </w:tcPr>
          <w:p w:rsidR="00A5473B" w:rsidRPr="002C04FD" w:rsidRDefault="00A5473B" w:rsidP="00A01AD9">
            <w:pPr>
              <w:rPr>
                <w:rFonts w:cs="Arial"/>
                <w:sz w:val="16"/>
                <w:szCs w:val="16"/>
                <w:lang w:val="ru-RU" w:eastAsia="ru-RU"/>
              </w:rPr>
            </w:pPr>
          </w:p>
          <w:p w:rsidR="00A5473B" w:rsidRPr="002C04FD" w:rsidRDefault="00A5473B" w:rsidP="00A01AD9">
            <w:pPr>
              <w:rPr>
                <w:rFonts w:cs="Arial"/>
                <w:sz w:val="16"/>
                <w:szCs w:val="16"/>
                <w:lang w:val="ru-RU" w:eastAsia="ru-RU"/>
              </w:rPr>
            </w:pPr>
            <w:r w:rsidRPr="002C04FD">
              <w:rPr>
                <w:sz w:val="16"/>
                <w:szCs w:val="16"/>
                <w:lang w:val="ru-RU" w:eastAsia="ru-RU"/>
              </w:rPr>
              <w:t>Базовая прибыль на акцию, руб.</w:t>
            </w:r>
          </w:p>
        </w:tc>
        <w:tc>
          <w:tcPr>
            <w:tcW w:w="2693" w:type="dxa"/>
            <w:tcBorders>
              <w:top w:val="nil"/>
              <w:left w:val="nil"/>
              <w:bottom w:val="double" w:sz="4" w:space="0" w:color="auto"/>
              <w:right w:val="nil"/>
            </w:tcBorders>
            <w:vAlign w:val="center"/>
          </w:tcPr>
          <w:p w:rsidR="00A5473B" w:rsidRPr="002C04FD" w:rsidRDefault="00A5473B" w:rsidP="006A4547">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(0,0</w:t>
            </w:r>
            <w:r w:rsidR="006A4547">
              <w:rPr>
                <w:rFonts w:cs="Arial"/>
                <w:color w:val="000000"/>
                <w:sz w:val="16"/>
                <w:szCs w:val="16"/>
                <w:lang w:val="ru-RU" w:eastAsia="ru-RU"/>
              </w:rPr>
              <w:t>8</w:t>
            </w:r>
            <w:r w:rsidRPr="002C04FD">
              <w:rPr>
                <w:rFonts w:cs="Arial"/>
                <w:color w:val="000000"/>
                <w:sz w:val="16"/>
                <w:szCs w:val="16"/>
                <w:lang w:val="ru-RU" w:eastAsia="ru-RU"/>
              </w:rPr>
              <w:t>)</w:t>
            </w:r>
          </w:p>
        </w:tc>
        <w:tc>
          <w:tcPr>
            <w:tcW w:w="2693" w:type="dxa"/>
            <w:tcBorders>
              <w:top w:val="nil"/>
              <w:left w:val="nil"/>
              <w:bottom w:val="double" w:sz="4" w:space="0" w:color="auto"/>
              <w:right w:val="nil"/>
            </w:tcBorders>
            <w:noWrap/>
            <w:tcMar>
              <w:top w:w="0" w:type="dxa"/>
              <w:left w:w="108" w:type="dxa"/>
              <w:bottom w:w="0" w:type="dxa"/>
              <w:right w:w="108" w:type="dxa"/>
            </w:tcMar>
            <w:vAlign w:val="center"/>
          </w:tcPr>
          <w:p w:rsidR="00A5473B" w:rsidRPr="002C04FD" w:rsidRDefault="00A5473B" w:rsidP="00A01AD9">
            <w:pPr>
              <w:overflowPunct/>
              <w:autoSpaceDE/>
              <w:autoSpaceDN/>
              <w:adjustRightInd/>
              <w:jc w:val="center"/>
              <w:textAlignment w:val="auto"/>
              <w:rPr>
                <w:rFonts w:cs="Arial"/>
                <w:color w:val="000000"/>
                <w:sz w:val="16"/>
                <w:szCs w:val="16"/>
                <w:lang w:val="ru-RU" w:eastAsia="ru-RU"/>
              </w:rPr>
            </w:pPr>
            <w:r w:rsidRPr="002C04FD">
              <w:rPr>
                <w:rFonts w:cs="Arial"/>
                <w:color w:val="000000"/>
                <w:sz w:val="16"/>
                <w:szCs w:val="16"/>
                <w:lang w:val="ru-RU" w:eastAsia="ru-RU"/>
              </w:rPr>
              <w:t>0,0</w:t>
            </w:r>
            <w:r>
              <w:rPr>
                <w:rFonts w:cs="Arial"/>
                <w:color w:val="000000"/>
                <w:sz w:val="16"/>
                <w:szCs w:val="16"/>
                <w:lang w:val="ru-RU" w:eastAsia="ru-RU"/>
              </w:rPr>
              <w:t>4</w:t>
            </w:r>
          </w:p>
        </w:tc>
      </w:tr>
    </w:tbl>
    <w:p w:rsidR="00A5473B" w:rsidRPr="002C04FD" w:rsidRDefault="00A5473B" w:rsidP="00A5473B">
      <w:pPr>
        <w:jc w:val="both"/>
        <w:rPr>
          <w:rFonts w:cs="Arial"/>
          <w:sz w:val="20"/>
          <w:szCs w:val="20"/>
          <w:lang w:val="ru-RU"/>
        </w:rPr>
      </w:pPr>
    </w:p>
    <w:p w:rsidR="00A5473B" w:rsidRDefault="00A5473B" w:rsidP="00A5473B">
      <w:pPr>
        <w:jc w:val="both"/>
        <w:rPr>
          <w:rFonts w:eastAsiaTheme="minorHAnsi" w:cs="Arial"/>
          <w:sz w:val="14"/>
          <w:szCs w:val="14"/>
          <w:lang w:val="ru-RU"/>
        </w:rPr>
      </w:pPr>
      <w:r w:rsidRPr="002C04FD">
        <w:rPr>
          <w:sz w:val="20"/>
          <w:szCs w:val="20"/>
          <w:lang w:val="ru-RU"/>
        </w:rPr>
        <w:t xml:space="preserve">Банк </w:t>
      </w:r>
      <w:r>
        <w:rPr>
          <w:sz w:val="20"/>
          <w:szCs w:val="20"/>
          <w:lang w:val="ru-RU"/>
        </w:rPr>
        <w:t xml:space="preserve">отражает только базовую прибыль (убыток) на акции и </w:t>
      </w:r>
      <w:r w:rsidRPr="002C04FD">
        <w:rPr>
          <w:sz w:val="20"/>
          <w:szCs w:val="20"/>
          <w:lang w:val="ru-RU"/>
        </w:rPr>
        <w:t>не рассчитывает разводненную прибыль (убыток) на акцию, так как не имеет конвертируемых ценных бумаг или договоров</w:t>
      </w:r>
      <w:r>
        <w:rPr>
          <w:sz w:val="20"/>
          <w:szCs w:val="20"/>
          <w:lang w:val="ru-RU"/>
        </w:rPr>
        <w:t xml:space="preserve"> купли-продажи акций у Банка по цене ниже их рыночной стоимости.</w:t>
      </w:r>
      <w:r w:rsidRPr="002C04FD">
        <w:rPr>
          <w:sz w:val="20"/>
          <w:szCs w:val="20"/>
          <w:lang w:val="ru-RU"/>
        </w:rPr>
        <w:t xml:space="preserve"> </w:t>
      </w:r>
    </w:p>
    <w:p w:rsidR="00A5473B" w:rsidRPr="008B6894" w:rsidRDefault="00A5473B" w:rsidP="00A5473B">
      <w:pPr>
        <w:tabs>
          <w:tab w:val="left" w:pos="576"/>
          <w:tab w:val="left" w:pos="1872"/>
          <w:tab w:val="left" w:pos="2016"/>
        </w:tabs>
        <w:ind w:left="-78"/>
        <w:jc w:val="both"/>
        <w:rPr>
          <w:rFonts w:cs="Arial"/>
          <w:sz w:val="20"/>
          <w:szCs w:val="20"/>
          <w:lang w:val="ru-RU"/>
        </w:rPr>
      </w:pPr>
    </w:p>
    <w:p w:rsidR="003E30CD" w:rsidRPr="003E30CD" w:rsidRDefault="003E30CD" w:rsidP="008A5837">
      <w:pPr>
        <w:pStyle w:val="2"/>
        <w:numPr>
          <w:ilvl w:val="0"/>
          <w:numId w:val="0"/>
        </w:numPr>
        <w:rPr>
          <w:b w:val="0"/>
          <w:sz w:val="20"/>
        </w:rPr>
      </w:pPr>
    </w:p>
    <w:p w:rsidR="009F74F4" w:rsidRPr="00884713" w:rsidRDefault="009F74F4" w:rsidP="00467492">
      <w:pPr>
        <w:pStyle w:val="2normal"/>
        <w:jc w:val="both"/>
        <w:rPr>
          <w:rFonts w:cs="Arial"/>
          <w:sz w:val="20"/>
          <w:szCs w:val="20"/>
          <w:highlight w:val="yellow"/>
          <w:lang w:val="ru-RU"/>
        </w:rPr>
      </w:pPr>
    </w:p>
    <w:p w:rsidR="00970300" w:rsidRPr="00A5473B" w:rsidRDefault="00970300" w:rsidP="00AD5225">
      <w:pPr>
        <w:pStyle w:val="2normal"/>
        <w:jc w:val="both"/>
        <w:rPr>
          <w:rFonts w:cs="Arial"/>
          <w:sz w:val="20"/>
          <w:szCs w:val="20"/>
          <w:lang w:val="ru-RU"/>
        </w:rPr>
      </w:pPr>
      <w:r w:rsidRPr="00A5473B">
        <w:rPr>
          <w:rFonts w:cs="Arial"/>
          <w:sz w:val="20"/>
          <w:szCs w:val="20"/>
          <w:lang w:val="ru-RU"/>
        </w:rPr>
        <w:t xml:space="preserve">Президент </w:t>
      </w:r>
      <w:r w:rsidR="00AE0647" w:rsidRPr="00A5473B">
        <w:rPr>
          <w:rFonts w:cs="Arial"/>
          <w:sz w:val="20"/>
          <w:szCs w:val="20"/>
          <w:lang w:val="ru-RU"/>
        </w:rPr>
        <w:t>ПАО «Норвик Банк»</w:t>
      </w:r>
      <w:r w:rsidR="00B61B64"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009F74F4" w:rsidRPr="00A5473B">
        <w:rPr>
          <w:rFonts w:cs="Arial"/>
          <w:sz w:val="20"/>
          <w:szCs w:val="20"/>
          <w:lang w:val="ru-RU"/>
        </w:rPr>
        <w:tab/>
      </w:r>
      <w:r w:rsidRPr="00A5473B">
        <w:rPr>
          <w:rFonts w:cs="Arial"/>
          <w:sz w:val="20"/>
          <w:szCs w:val="20"/>
          <w:lang w:val="ru-RU"/>
        </w:rPr>
        <w:tab/>
      </w:r>
      <w:r w:rsidR="00A5473B" w:rsidRPr="00A5473B">
        <w:rPr>
          <w:rFonts w:cs="Arial"/>
          <w:sz w:val="20"/>
          <w:szCs w:val="20"/>
          <w:lang w:val="ru-RU"/>
        </w:rPr>
        <w:t>А.А. Семиохин</w:t>
      </w:r>
    </w:p>
    <w:p w:rsidR="00970300" w:rsidRPr="00A5473B" w:rsidRDefault="00970300" w:rsidP="00AD5225">
      <w:pPr>
        <w:pStyle w:val="2normal"/>
        <w:jc w:val="both"/>
        <w:rPr>
          <w:rFonts w:cs="Arial"/>
          <w:sz w:val="20"/>
          <w:szCs w:val="20"/>
          <w:lang w:val="ru-RU"/>
        </w:rPr>
      </w:pPr>
    </w:p>
    <w:p w:rsidR="00970300" w:rsidRPr="00A5473B" w:rsidRDefault="00970300" w:rsidP="00AD5225">
      <w:pPr>
        <w:pStyle w:val="2normal"/>
        <w:jc w:val="both"/>
        <w:rPr>
          <w:rFonts w:cs="Arial"/>
          <w:sz w:val="20"/>
          <w:szCs w:val="20"/>
          <w:lang w:val="ru-RU"/>
        </w:rPr>
      </w:pPr>
    </w:p>
    <w:p w:rsidR="00B87C75" w:rsidRPr="00A5473B" w:rsidRDefault="00B87C75" w:rsidP="00AD5225">
      <w:pPr>
        <w:pStyle w:val="2normal"/>
        <w:jc w:val="both"/>
        <w:rPr>
          <w:rFonts w:cs="Arial"/>
          <w:sz w:val="20"/>
          <w:szCs w:val="20"/>
          <w:lang w:val="ru-RU"/>
        </w:rPr>
      </w:pPr>
    </w:p>
    <w:p w:rsidR="00B87C75" w:rsidRPr="00A5473B" w:rsidRDefault="00B87C75" w:rsidP="00AD5225">
      <w:pPr>
        <w:pStyle w:val="2normal"/>
        <w:jc w:val="both"/>
        <w:rPr>
          <w:rFonts w:cs="Arial"/>
          <w:sz w:val="20"/>
          <w:szCs w:val="20"/>
          <w:lang w:val="ru-RU"/>
        </w:rPr>
      </w:pPr>
    </w:p>
    <w:p w:rsidR="00970300" w:rsidRPr="00A5473B" w:rsidRDefault="00970300" w:rsidP="00AD5225">
      <w:pPr>
        <w:pStyle w:val="2normal"/>
        <w:jc w:val="both"/>
        <w:rPr>
          <w:rFonts w:cs="Arial"/>
          <w:sz w:val="20"/>
          <w:szCs w:val="20"/>
          <w:lang w:val="ru-RU"/>
        </w:rPr>
      </w:pPr>
      <w:r w:rsidRPr="00A5473B">
        <w:rPr>
          <w:rFonts w:cs="Arial"/>
          <w:sz w:val="20"/>
          <w:szCs w:val="20"/>
          <w:lang w:val="ru-RU"/>
        </w:rPr>
        <w:t>Главный бухгалтер</w:t>
      </w:r>
      <w:r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Pr="00A5473B">
        <w:rPr>
          <w:rFonts w:cs="Arial"/>
          <w:sz w:val="20"/>
          <w:szCs w:val="20"/>
          <w:lang w:val="ru-RU"/>
        </w:rPr>
        <w:tab/>
      </w:r>
      <w:r w:rsidR="009F74F4" w:rsidRPr="00A5473B">
        <w:rPr>
          <w:rFonts w:cs="Arial"/>
          <w:sz w:val="20"/>
          <w:szCs w:val="20"/>
          <w:lang w:val="ru-RU"/>
        </w:rPr>
        <w:tab/>
      </w:r>
      <w:r w:rsidR="00ED0490" w:rsidRPr="00A5473B">
        <w:rPr>
          <w:rFonts w:cs="Arial"/>
          <w:sz w:val="20"/>
          <w:szCs w:val="20"/>
          <w:lang w:val="ru-RU"/>
        </w:rPr>
        <w:tab/>
      </w:r>
      <w:r w:rsidRPr="00A5473B">
        <w:rPr>
          <w:rFonts w:cs="Arial"/>
          <w:sz w:val="20"/>
          <w:szCs w:val="20"/>
          <w:lang w:val="ru-RU"/>
        </w:rPr>
        <w:t xml:space="preserve">Г.В. Караблинова </w:t>
      </w:r>
    </w:p>
    <w:p w:rsidR="00970300" w:rsidRPr="00A5473B" w:rsidRDefault="00970300" w:rsidP="00AD5225">
      <w:pPr>
        <w:pStyle w:val="2normal"/>
        <w:jc w:val="both"/>
        <w:rPr>
          <w:rFonts w:cs="Arial"/>
          <w:sz w:val="20"/>
          <w:szCs w:val="20"/>
          <w:lang w:val="ru-RU"/>
        </w:rPr>
      </w:pPr>
    </w:p>
    <w:p w:rsidR="002403E7" w:rsidRPr="00884713" w:rsidRDefault="002403E7" w:rsidP="00AD5225">
      <w:pPr>
        <w:pStyle w:val="2normal"/>
        <w:jc w:val="both"/>
        <w:rPr>
          <w:rFonts w:cs="Arial"/>
          <w:sz w:val="20"/>
          <w:szCs w:val="20"/>
          <w:highlight w:val="yellow"/>
          <w:lang w:val="ru-RU"/>
        </w:rPr>
      </w:pPr>
    </w:p>
    <w:p w:rsidR="00F93FFE" w:rsidRPr="00866798" w:rsidRDefault="00D0158F" w:rsidP="008F4DA4">
      <w:pPr>
        <w:pStyle w:val="2normal"/>
        <w:jc w:val="both"/>
        <w:rPr>
          <w:rFonts w:cs="Arial"/>
          <w:sz w:val="20"/>
          <w:szCs w:val="20"/>
          <w:lang w:val="ru-RU"/>
        </w:rPr>
      </w:pPr>
      <w:r w:rsidRPr="002A6490">
        <w:rPr>
          <w:rFonts w:cs="Arial"/>
          <w:sz w:val="20"/>
          <w:szCs w:val="20"/>
          <w:lang w:val="ru-RU"/>
        </w:rPr>
        <w:t>19</w:t>
      </w:r>
      <w:r w:rsidR="007C3C62" w:rsidRPr="002A6490">
        <w:rPr>
          <w:rFonts w:cs="Arial"/>
          <w:sz w:val="20"/>
          <w:szCs w:val="20"/>
          <w:lang w:val="ru-RU"/>
        </w:rPr>
        <w:t xml:space="preserve"> </w:t>
      </w:r>
      <w:r w:rsidRPr="002A6490">
        <w:rPr>
          <w:rFonts w:cs="Arial"/>
          <w:sz w:val="20"/>
          <w:szCs w:val="20"/>
          <w:lang w:val="ru-RU"/>
        </w:rPr>
        <w:t>марта</w:t>
      </w:r>
      <w:r w:rsidR="007C3C62" w:rsidRPr="002A6490">
        <w:rPr>
          <w:rFonts w:cs="Arial"/>
          <w:sz w:val="20"/>
          <w:szCs w:val="20"/>
          <w:lang w:val="ru-RU"/>
        </w:rPr>
        <w:t xml:space="preserve"> 201</w:t>
      </w:r>
      <w:r w:rsidRPr="002A6490">
        <w:rPr>
          <w:rFonts w:cs="Arial"/>
          <w:sz w:val="20"/>
          <w:szCs w:val="20"/>
          <w:lang w:val="ru-RU"/>
        </w:rPr>
        <w:t>9 года</w:t>
      </w:r>
    </w:p>
    <w:sectPr w:rsidR="00F93FFE" w:rsidRPr="00866798" w:rsidSect="00D26A33">
      <w:headerReference w:type="even" r:id="rId19"/>
      <w:headerReference w:type="default" r:id="rId20"/>
      <w:footerReference w:type="default" r:id="rId21"/>
      <w:headerReference w:type="first" r:id="rId22"/>
      <w:footnotePr>
        <w:numRestart w:val="eachPage"/>
      </w:footnotePr>
      <w:endnotePr>
        <w:numFmt w:val="decimal"/>
      </w:endnotePr>
      <w:type w:val="continuous"/>
      <w:pgSz w:w="11909" w:h="16834" w:code="9"/>
      <w:pgMar w:top="1134" w:right="851" w:bottom="709" w:left="1701" w:header="454" w:footer="283" w:gutter="0"/>
      <w:pgNumType w:start="31"/>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3AA" w:rsidRDefault="00C973AA">
      <w:r>
        <w:separator/>
      </w:r>
    </w:p>
  </w:endnote>
  <w:endnote w:type="continuationSeparator" w:id="0">
    <w:p w:rsidR="00C973AA" w:rsidRDefault="00C9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EYInterstate Light">
    <w:altName w:val="Arial Narrow"/>
    <w:charset w:val="CC"/>
    <w:family w:val="auto"/>
    <w:pitch w:val="variable"/>
    <w:sig w:usb0="00000001" w:usb1="5000206A"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Y Gothic Comp Book">
    <w:altName w:val="Times New Roman"/>
    <w:charset w:val="00"/>
    <w:family w:val="auto"/>
    <w:pitch w:val="variable"/>
    <w:sig w:usb0="00000001" w:usb1="0000004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EYInterstate">
    <w:altName w:val="Corbel"/>
    <w:charset w:val="CC"/>
    <w:family w:val="auto"/>
    <w:pitch w:val="variable"/>
    <w:sig w:usb0="00000001" w:usb1="5000206B" w:usb2="00000000" w:usb3="00000000" w:csb0="0000009F" w:csb1="00000000"/>
  </w:font>
  <w:font w:name="EY Gothic Comp BookP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BukoGothicRegula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419080"/>
      <w:docPartObj>
        <w:docPartGallery w:val="Page Numbers (Bottom of Page)"/>
        <w:docPartUnique/>
      </w:docPartObj>
    </w:sdtPr>
    <w:sdtEndPr/>
    <w:sdtContent>
      <w:p w:rsidR="00D26A33" w:rsidRDefault="00D26A33">
        <w:pPr>
          <w:pStyle w:val="ab"/>
          <w:jc w:val="right"/>
        </w:pPr>
        <w:r>
          <w:fldChar w:fldCharType="begin"/>
        </w:r>
        <w:r>
          <w:instrText>PAGE   \* MERGEFORMAT</w:instrText>
        </w:r>
        <w:r>
          <w:fldChar w:fldCharType="separate"/>
        </w:r>
        <w:r w:rsidR="00023852" w:rsidRPr="00023852">
          <w:rPr>
            <w:noProof/>
            <w:lang w:val="ru-RU"/>
          </w:rPr>
          <w:t>32</w:t>
        </w:r>
        <w:r>
          <w:fldChar w:fldCharType="end"/>
        </w:r>
      </w:p>
    </w:sdtContent>
  </w:sdt>
  <w:p w:rsidR="00B53D00" w:rsidRDefault="00B53D00">
    <w:pPr>
      <w:ind w:right="28"/>
      <w:jc w:val="right"/>
      <w:rPr>
        <w:rFonts w:cs="Arial"/>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3AA" w:rsidRDefault="00C973AA">
      <w:r>
        <w:separator/>
      </w:r>
    </w:p>
  </w:footnote>
  <w:footnote w:type="continuationSeparator" w:id="0">
    <w:p w:rsidR="00C973AA" w:rsidRDefault="00C97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p w:rsidR="00B53D00" w:rsidRDefault="00B53D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00" w:rsidRPr="00CD00AB" w:rsidRDefault="00B53D00" w:rsidP="006A4547">
    <w:pPr>
      <w:pStyle w:val="450HeaderOdd"/>
      <w:tabs>
        <w:tab w:val="clear" w:pos="4253"/>
        <w:tab w:val="clear" w:pos="8505"/>
        <w:tab w:val="right" w:pos="9356"/>
      </w:tabs>
      <w:rPr>
        <w:rFonts w:ascii="Arial" w:hAnsi="Arial" w:cs="Arial"/>
        <w:sz w:val="16"/>
        <w:szCs w:val="18"/>
        <w:lang w:val="ru-RU"/>
      </w:rPr>
    </w:pPr>
    <w:r>
      <w:rPr>
        <w:rFonts w:ascii="Arial" w:hAnsi="Arial" w:cs="Arial"/>
        <w:sz w:val="16"/>
        <w:szCs w:val="18"/>
        <w:lang w:val="ru-RU"/>
      </w:rPr>
      <w:t xml:space="preserve">ПАО «Норвик Банк»                      Пояснительная </w:t>
    </w:r>
    <w:r w:rsidRPr="00CD00AB">
      <w:rPr>
        <w:rFonts w:ascii="Arial" w:hAnsi="Arial" w:cs="Arial"/>
        <w:sz w:val="16"/>
        <w:szCs w:val="18"/>
        <w:lang w:val="ru-RU"/>
      </w:rPr>
      <w:t>информация к</w:t>
    </w:r>
    <w:r>
      <w:rPr>
        <w:rFonts w:ascii="Arial" w:hAnsi="Arial" w:cs="Arial"/>
        <w:sz w:val="16"/>
        <w:szCs w:val="18"/>
        <w:lang w:val="ru-RU"/>
      </w:rPr>
      <w:t xml:space="preserve"> годовой</w:t>
    </w:r>
    <w:r w:rsidRPr="00CD00AB">
      <w:rPr>
        <w:rFonts w:ascii="Arial" w:hAnsi="Arial" w:cs="Arial"/>
        <w:sz w:val="16"/>
        <w:szCs w:val="18"/>
        <w:lang w:val="ru-RU"/>
      </w:rPr>
      <w:t xml:space="preserve"> бухгал</w:t>
    </w:r>
    <w:r>
      <w:rPr>
        <w:rFonts w:ascii="Arial" w:hAnsi="Arial" w:cs="Arial"/>
        <w:sz w:val="16"/>
        <w:szCs w:val="18"/>
        <w:lang w:val="ru-RU"/>
      </w:rPr>
      <w:t xml:space="preserve">терской (финансовой) отчетности за </w:t>
    </w:r>
    <w:r w:rsidRPr="00CD00AB">
      <w:rPr>
        <w:rFonts w:ascii="Arial" w:hAnsi="Arial" w:cs="Arial"/>
        <w:sz w:val="16"/>
        <w:szCs w:val="18"/>
        <w:lang w:val="ru-RU"/>
      </w:rPr>
      <w:t>201</w:t>
    </w:r>
    <w:r>
      <w:rPr>
        <w:rFonts w:ascii="Arial" w:hAnsi="Arial" w:cs="Arial"/>
        <w:sz w:val="16"/>
        <w:szCs w:val="18"/>
        <w:lang w:val="ru-RU"/>
      </w:rPr>
      <w:t>8</w:t>
    </w:r>
    <w:r w:rsidRPr="00CD00AB">
      <w:rPr>
        <w:rFonts w:ascii="Arial" w:hAnsi="Arial" w:cs="Arial"/>
        <w:sz w:val="16"/>
        <w:szCs w:val="18"/>
        <w:lang w:val="ru-RU"/>
      </w:rPr>
      <w:t xml:space="preserve"> год</w:t>
    </w:r>
  </w:p>
  <w:p w:rsidR="00B53D00" w:rsidRPr="0012506D" w:rsidRDefault="00B53D00" w:rsidP="006A4547">
    <w:pPr>
      <w:tabs>
        <w:tab w:val="left" w:pos="620"/>
      </w:tabs>
      <w:ind w:left="-90" w:right="1"/>
      <w:jc w:val="center"/>
      <w:rPr>
        <w:rFonts w:cs="Arial"/>
        <w:i/>
        <w:iCs/>
        <w:color w:val="000000"/>
        <w:sz w:val="14"/>
        <w:szCs w:val="14"/>
        <w:lang w:val="ru-RU"/>
      </w:rPr>
    </w:pPr>
  </w:p>
  <w:p w:rsidR="00B53D00" w:rsidRDefault="00B53D00">
    <w:pPr>
      <w:ind w:right="1"/>
      <w:rPr>
        <w:rFonts w:cs="Arial"/>
        <w:i/>
        <w:iCs/>
        <w:color w:val="000000"/>
        <w:sz w:val="16"/>
        <w:szCs w:val="20"/>
        <w:lang w:val="ru-RU"/>
      </w:rPr>
    </w:pPr>
    <w:r w:rsidRPr="00A566CC">
      <w:rPr>
        <w:rFonts w:cs="Arial"/>
        <w:i/>
        <w:iCs/>
        <w:color w:val="000000"/>
        <w:sz w:val="16"/>
        <w:szCs w:val="20"/>
        <w:lang w:val="ru-RU"/>
      </w:rPr>
      <w:t>(</w:t>
    </w:r>
    <w:r>
      <w:rPr>
        <w:rFonts w:cs="Arial"/>
        <w:i/>
        <w:iCs/>
        <w:color w:val="000000"/>
        <w:sz w:val="16"/>
        <w:szCs w:val="20"/>
        <w:lang w:val="ru-RU"/>
      </w:rPr>
      <w:t>в тысячах российских рублей)</w:t>
    </w:r>
  </w:p>
  <w:p w:rsidR="00B53D00" w:rsidRPr="006A4547" w:rsidRDefault="00B53D00">
    <w:pPr>
      <w:ind w:right="1"/>
      <w:rPr>
        <w:rFonts w:cs="Arial"/>
        <w:i/>
        <w:iCs/>
        <w:color w:val="000000"/>
        <w:sz w:val="16"/>
        <w:szCs w:val="20"/>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D00" w:rsidRDefault="00B53D00">
    <w:pPr>
      <w:pStyle w:val="a9"/>
      <w:rPr>
        <w:lang w:val="ru-RU"/>
      </w:rPr>
    </w:pPr>
  </w:p>
  <w:p w:rsidR="00B53D00" w:rsidRPr="0034352A" w:rsidRDefault="00B53D00">
    <w:pPr>
      <w:pStyle w:val="a9"/>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4ADEA38A"/>
    <w:lvl w:ilvl="0">
      <w:start w:val="1"/>
      <w:numFmt w:val="decimal"/>
      <w:pStyle w:val="3"/>
      <w:lvlText w:val="%1."/>
      <w:lvlJc w:val="left"/>
      <w:pPr>
        <w:tabs>
          <w:tab w:val="num" w:pos="926"/>
        </w:tabs>
        <w:ind w:left="926" w:hanging="360"/>
      </w:pPr>
    </w:lvl>
  </w:abstractNum>
  <w:abstractNum w:abstractNumId="1" w15:restartNumberingAfterBreak="0">
    <w:nsid w:val="FFFFFF80"/>
    <w:multiLevelType w:val="singleLevel"/>
    <w:tmpl w:val="1AD25C9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43D4418"/>
    <w:multiLevelType w:val="hybridMultilevel"/>
    <w:tmpl w:val="411EA3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810E21"/>
    <w:multiLevelType w:val="hybridMultilevel"/>
    <w:tmpl w:val="63D6A0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0D12D5"/>
    <w:multiLevelType w:val="hybridMultilevel"/>
    <w:tmpl w:val="DB76F7E0"/>
    <w:lvl w:ilvl="0" w:tplc="0419000B">
      <w:start w:val="1"/>
      <w:numFmt w:val="bullet"/>
      <w:lvlText w:val=""/>
      <w:lvlJc w:val="left"/>
      <w:pPr>
        <w:ind w:left="720" w:hanging="360"/>
      </w:pPr>
      <w:rPr>
        <w:rFonts w:ascii="Wingdings" w:hAnsi="Wingdings" w:hint="default"/>
      </w:rPr>
    </w:lvl>
    <w:lvl w:ilvl="1" w:tplc="DDF6EA66">
      <w:numFmt w:val="bullet"/>
      <w:lvlText w:val="•"/>
      <w:lvlJc w:val="left"/>
      <w:pPr>
        <w:ind w:left="1440" w:hanging="360"/>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C637CD"/>
    <w:multiLevelType w:val="hybridMultilevel"/>
    <w:tmpl w:val="D3001DDA"/>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424F81"/>
    <w:multiLevelType w:val="hybridMultilevel"/>
    <w:tmpl w:val="B3FA15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AE427C"/>
    <w:multiLevelType w:val="multilevel"/>
    <w:tmpl w:val="89B42C16"/>
    <w:lvl w:ilvl="0">
      <w:start w:val="1"/>
      <w:numFmt w:val="bullet"/>
      <w:lvlText w:val=""/>
      <w:lvlJc w:val="left"/>
      <w:pPr>
        <w:ind w:left="360" w:hanging="360"/>
      </w:pPr>
      <w:rPr>
        <w:rFonts w:ascii="Wingdings" w:hAnsi="Wingdings" w:hint="default"/>
        <w:sz w:val="22"/>
        <w:szCs w:val="22"/>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8" w15:restartNumberingAfterBreak="0">
    <w:nsid w:val="16BF5A8B"/>
    <w:multiLevelType w:val="hybridMultilevel"/>
    <w:tmpl w:val="C54A48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041E2E"/>
    <w:multiLevelType w:val="hybridMultilevel"/>
    <w:tmpl w:val="E01075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351210"/>
    <w:multiLevelType w:val="hybridMultilevel"/>
    <w:tmpl w:val="4BE4CAE4"/>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15:restartNumberingAfterBreak="0">
    <w:nsid w:val="1A804B0A"/>
    <w:multiLevelType w:val="multilevel"/>
    <w:tmpl w:val="3788B718"/>
    <w:lvl w:ilvl="0">
      <w:start w:val="4"/>
      <w:numFmt w:val="bullet"/>
      <w:pStyle w:val="ABC-BulletsinNotes"/>
      <w:lvlText w:val=""/>
      <w:lvlJc w:val="left"/>
      <w:pPr>
        <w:tabs>
          <w:tab w:val="num" w:pos="567"/>
        </w:tabs>
        <w:ind w:left="567" w:hanging="567"/>
      </w:pPr>
      <w:rPr>
        <w:rFonts w:ascii="Symbol" w:hAnsi="Symbol" w:hint="default"/>
        <w:b w:val="0"/>
        <w:i w:val="0"/>
        <w:caps w:val="0"/>
        <w:strike w:val="0"/>
        <w:dstrike w:val="0"/>
        <w:outline w:val="0"/>
        <w:shadow w:val="0"/>
        <w:emboss w:val="0"/>
        <w:imprint w:val="0"/>
        <w:vanish w:val="0"/>
        <w:vertAlign w:val="baseline"/>
      </w:rPr>
    </w:lvl>
    <w:lvl w:ilvl="1">
      <w:start w:val="1"/>
      <w:numFmt w:val="bullet"/>
      <w:lvlText w:val="–"/>
      <w:lvlJc w:val="left"/>
      <w:pPr>
        <w:tabs>
          <w:tab w:val="num" w:pos="927"/>
        </w:tabs>
        <w:ind w:left="851" w:hanging="284"/>
      </w:pPr>
      <w:rPr>
        <w:rFonts w:ascii="Times New Roman" w:hAnsi="Times New Roman"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720"/>
        </w:tabs>
        <w:ind w:left="720" w:hanging="720"/>
      </w:pPr>
      <w:rPr>
        <w:rFonts w:ascii="Arial" w:hAnsi="Arial" w:hint="default"/>
      </w:rPr>
    </w:lvl>
    <w:lvl w:ilvl="4">
      <w:start w:val="1"/>
      <w:numFmt w:val="decimal"/>
      <w:lvlText w:val="%1.%2.%3.%4.%5"/>
      <w:lvlJc w:val="left"/>
      <w:pPr>
        <w:tabs>
          <w:tab w:val="num" w:pos="720"/>
        </w:tabs>
        <w:ind w:left="720" w:hanging="720"/>
      </w:pPr>
      <w:rPr>
        <w:rFonts w:ascii="Arial" w:hAnsi="Arial" w:hint="default"/>
      </w:rPr>
    </w:lvl>
    <w:lvl w:ilvl="5">
      <w:start w:val="1"/>
      <w:numFmt w:val="decimal"/>
      <w:lvlText w:val="%1.%2.%3.%4.%5.%6"/>
      <w:lvlJc w:val="left"/>
      <w:pPr>
        <w:tabs>
          <w:tab w:val="num" w:pos="1080"/>
        </w:tabs>
        <w:ind w:left="1080" w:hanging="1080"/>
      </w:pPr>
      <w:rPr>
        <w:rFonts w:ascii="Arial" w:hAnsi="Arial" w:hint="default"/>
      </w:rPr>
    </w:lvl>
    <w:lvl w:ilvl="6">
      <w:start w:val="1"/>
      <w:numFmt w:val="decimal"/>
      <w:lvlText w:val="%1.%2.%3.%4.%5.%6.%7"/>
      <w:lvlJc w:val="left"/>
      <w:pPr>
        <w:tabs>
          <w:tab w:val="num" w:pos="1080"/>
        </w:tabs>
        <w:ind w:left="1080" w:hanging="1080"/>
      </w:pPr>
      <w:rPr>
        <w:rFonts w:ascii="Arial" w:hAnsi="Arial" w:hint="default"/>
      </w:rPr>
    </w:lvl>
    <w:lvl w:ilvl="7">
      <w:start w:val="1"/>
      <w:numFmt w:val="decimal"/>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440"/>
        </w:tabs>
        <w:ind w:left="1440" w:hanging="1440"/>
      </w:pPr>
      <w:rPr>
        <w:rFonts w:ascii="Arial" w:hAnsi="Arial" w:hint="default"/>
      </w:rPr>
    </w:lvl>
  </w:abstractNum>
  <w:abstractNum w:abstractNumId="12" w15:restartNumberingAfterBreak="0">
    <w:nsid w:val="1BC349AC"/>
    <w:multiLevelType w:val="hybridMultilevel"/>
    <w:tmpl w:val="3460BE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AE048E"/>
    <w:multiLevelType w:val="hybridMultilevel"/>
    <w:tmpl w:val="CA12A0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B44004"/>
    <w:multiLevelType w:val="hybridMultilevel"/>
    <w:tmpl w:val="206AEB90"/>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23579D"/>
    <w:multiLevelType w:val="hybridMultilevel"/>
    <w:tmpl w:val="B98015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2A1B2B"/>
    <w:multiLevelType w:val="hybridMultilevel"/>
    <w:tmpl w:val="D862DE8C"/>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2C780F"/>
    <w:multiLevelType w:val="hybridMultilevel"/>
    <w:tmpl w:val="19ECF0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08F52B0"/>
    <w:multiLevelType w:val="hybridMultilevel"/>
    <w:tmpl w:val="ECBA3D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061229"/>
    <w:multiLevelType w:val="hybridMultilevel"/>
    <w:tmpl w:val="C39262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3117E8A"/>
    <w:multiLevelType w:val="hybridMultilevel"/>
    <w:tmpl w:val="A79C78CC"/>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3826813"/>
    <w:multiLevelType w:val="hybridMultilevel"/>
    <w:tmpl w:val="B97A17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9E699E"/>
    <w:multiLevelType w:val="hybridMultilevel"/>
    <w:tmpl w:val="4328D3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57F24FB"/>
    <w:multiLevelType w:val="hybridMultilevel"/>
    <w:tmpl w:val="BFFA7C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82F5CAD"/>
    <w:multiLevelType w:val="hybridMultilevel"/>
    <w:tmpl w:val="50CE7D7C"/>
    <w:lvl w:ilvl="0" w:tplc="108E70C4">
      <w:start w:val="34"/>
      <w:numFmt w:val="bullet"/>
      <w:lvlText w:val="-"/>
      <w:lvlJc w:val="left"/>
      <w:pPr>
        <w:ind w:left="1854" w:hanging="360"/>
      </w:pPr>
      <w:rPr>
        <w:rFonts w:ascii="Arial" w:eastAsia="Times New Roman" w:hAnsi="Arial" w:cs="Aria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15:restartNumberingAfterBreak="0">
    <w:nsid w:val="29141E1E"/>
    <w:multiLevelType w:val="hybridMultilevel"/>
    <w:tmpl w:val="3482CB8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294564A6"/>
    <w:multiLevelType w:val="hybridMultilevel"/>
    <w:tmpl w:val="C09E1BD6"/>
    <w:lvl w:ilvl="0" w:tplc="E752F590">
      <w:start w:val="1"/>
      <w:numFmt w:val="bullet"/>
      <w:lvlRestart w:val="0"/>
      <w:pStyle w:val="010Subheading1"/>
      <w:lvlText w:val="·"/>
      <w:lvlJc w:val="left"/>
      <w:pPr>
        <w:tabs>
          <w:tab w:val="num" w:pos="425"/>
        </w:tabs>
        <w:ind w:left="425" w:hanging="425"/>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9DA400B"/>
    <w:multiLevelType w:val="hybridMultilevel"/>
    <w:tmpl w:val="6EF2B076"/>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BFD4A20"/>
    <w:multiLevelType w:val="hybridMultilevel"/>
    <w:tmpl w:val="D160CEBA"/>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B71107"/>
    <w:multiLevelType w:val="hybridMultilevel"/>
    <w:tmpl w:val="FC3C1A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D223C71"/>
    <w:multiLevelType w:val="hybridMultilevel"/>
    <w:tmpl w:val="0AEA0B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91987"/>
    <w:multiLevelType w:val="hybridMultilevel"/>
    <w:tmpl w:val="1B0ACBFA"/>
    <w:lvl w:ilvl="0" w:tplc="108E70C4">
      <w:start w:val="34"/>
      <w:numFmt w:val="bullet"/>
      <w:lvlText w:val="-"/>
      <w:lvlJc w:val="left"/>
      <w:pPr>
        <w:ind w:left="1080" w:hanging="360"/>
      </w:pPr>
      <w:rPr>
        <w:rFonts w:ascii="Arial" w:eastAsia="Times New Roman" w:hAnsi="Aria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30170D30"/>
    <w:multiLevelType w:val="hybridMultilevel"/>
    <w:tmpl w:val="334AF558"/>
    <w:lvl w:ilvl="0" w:tplc="108E70C4">
      <w:start w:val="34"/>
      <w:numFmt w:val="bullet"/>
      <w:lvlText w:val="-"/>
      <w:lvlJc w:val="left"/>
      <w:pPr>
        <w:ind w:left="1854" w:hanging="360"/>
      </w:pPr>
      <w:rPr>
        <w:rFonts w:ascii="Arial" w:eastAsia="Times New Roman" w:hAnsi="Arial" w:cs="Aria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23B2E75"/>
    <w:multiLevelType w:val="hybridMultilevel"/>
    <w:tmpl w:val="E7E844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2436CDE"/>
    <w:multiLevelType w:val="hybridMultilevel"/>
    <w:tmpl w:val="88EC2F1A"/>
    <w:lvl w:ilvl="0" w:tplc="108E70C4">
      <w:start w:val="34"/>
      <w:numFmt w:val="bullet"/>
      <w:lvlText w:val="-"/>
      <w:lvlJc w:val="left"/>
      <w:pPr>
        <w:ind w:left="1004" w:hanging="360"/>
      </w:pPr>
      <w:rPr>
        <w:rFonts w:ascii="Arial" w:eastAsia="Times New Roman" w:hAnsi="Arial" w:cs="Aria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32AC3824"/>
    <w:multiLevelType w:val="hybridMultilevel"/>
    <w:tmpl w:val="D5F0EE2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34F72F0F"/>
    <w:multiLevelType w:val="hybridMultilevel"/>
    <w:tmpl w:val="1868CC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54252C5"/>
    <w:multiLevelType w:val="hybridMultilevel"/>
    <w:tmpl w:val="294A6D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903676F"/>
    <w:multiLevelType w:val="hybridMultilevel"/>
    <w:tmpl w:val="C2AE45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A3378D5"/>
    <w:multiLevelType w:val="hybridMultilevel"/>
    <w:tmpl w:val="1F8E0F14"/>
    <w:lvl w:ilvl="0" w:tplc="BA525A88">
      <w:start w:val="1"/>
      <w:numFmt w:val="decimal"/>
      <w:pStyle w:val="2"/>
      <w:lvlText w:val="%1."/>
      <w:lvlJc w:val="left"/>
      <w:pPr>
        <w:ind w:left="36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993A28"/>
    <w:multiLevelType w:val="hybridMultilevel"/>
    <w:tmpl w:val="A6FCB3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EF11A7"/>
    <w:multiLevelType w:val="hybridMultilevel"/>
    <w:tmpl w:val="0016B8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C7B6C4B"/>
    <w:multiLevelType w:val="hybridMultilevel"/>
    <w:tmpl w:val="9B5A7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E20020D"/>
    <w:multiLevelType w:val="hybridMultilevel"/>
    <w:tmpl w:val="DBFE3E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0F079B5"/>
    <w:multiLevelType w:val="hybridMultilevel"/>
    <w:tmpl w:val="41A4B1FE"/>
    <w:lvl w:ilvl="0" w:tplc="E752F590">
      <w:start w:val="1"/>
      <w:numFmt w:val="bullet"/>
      <w:pStyle w:val="tablebullet"/>
      <w:lvlText w:val=""/>
      <w:lvlJc w:val="left"/>
      <w:pPr>
        <w:tabs>
          <w:tab w:val="num" w:pos="1088"/>
        </w:tabs>
        <w:ind w:left="1088" w:hanging="425"/>
      </w:pPr>
      <w:rPr>
        <w:rFonts w:ascii="Wingdings 3" w:hAnsi="Wingdings 3" w:hint="default"/>
        <w:color w:val="7F7E82"/>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15:restartNumberingAfterBreak="0">
    <w:nsid w:val="41C019A4"/>
    <w:multiLevelType w:val="hybridMultilevel"/>
    <w:tmpl w:val="A506823C"/>
    <w:lvl w:ilvl="0" w:tplc="108E70C4">
      <w:start w:val="34"/>
      <w:numFmt w:val="bullet"/>
      <w:lvlText w:val="-"/>
      <w:lvlJc w:val="left"/>
      <w:pPr>
        <w:ind w:left="1854" w:hanging="360"/>
      </w:pPr>
      <w:rPr>
        <w:rFonts w:ascii="Arial" w:eastAsia="Times New Roman" w:hAnsi="Arial" w:cs="Aria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6" w15:restartNumberingAfterBreak="0">
    <w:nsid w:val="42B25615"/>
    <w:multiLevelType w:val="hybridMultilevel"/>
    <w:tmpl w:val="4CB40D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498333D"/>
    <w:multiLevelType w:val="hybridMultilevel"/>
    <w:tmpl w:val="8FA2B0EA"/>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4F23A02"/>
    <w:multiLevelType w:val="hybridMultilevel"/>
    <w:tmpl w:val="3E906B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86A4136"/>
    <w:multiLevelType w:val="hybridMultilevel"/>
    <w:tmpl w:val="09CC2B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9DD76F0"/>
    <w:multiLevelType w:val="hybridMultilevel"/>
    <w:tmpl w:val="64F691AE"/>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CA21A88"/>
    <w:multiLevelType w:val="hybridMultilevel"/>
    <w:tmpl w:val="AE823CD6"/>
    <w:lvl w:ilvl="0" w:tplc="3A0A15EE">
      <w:start w:val="139"/>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05C1AB6"/>
    <w:multiLevelType w:val="hybridMultilevel"/>
    <w:tmpl w:val="025CCE94"/>
    <w:lvl w:ilvl="0" w:tplc="0419000B">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3" w15:restartNumberingAfterBreak="0">
    <w:nsid w:val="51211FCB"/>
    <w:multiLevelType w:val="hybridMultilevel"/>
    <w:tmpl w:val="47448FB8"/>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1E91D0F"/>
    <w:multiLevelType w:val="hybridMultilevel"/>
    <w:tmpl w:val="1BCA86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66404C6"/>
    <w:multiLevelType w:val="hybridMultilevel"/>
    <w:tmpl w:val="98B6ED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74A73FF"/>
    <w:multiLevelType w:val="multilevel"/>
    <w:tmpl w:val="EA66CF88"/>
    <w:lvl w:ilvl="0">
      <w:start w:val="1"/>
      <w:numFmt w:val="decimal"/>
      <w:pStyle w:val="a"/>
      <w:lvlText w:val="%1."/>
      <w:lvlJc w:val="left"/>
      <w:pPr>
        <w:ind w:left="360" w:hanging="360"/>
      </w:pPr>
    </w:lvl>
    <w:lvl w:ilvl="1">
      <w:start w:val="1"/>
      <w:numFmt w:val="decimal"/>
      <w:isLgl/>
      <w:lvlText w:val="%1.%2."/>
      <w:lvlJc w:val="left"/>
      <w:pPr>
        <w:ind w:left="570" w:hanging="570"/>
      </w:pPr>
      <w:rPr>
        <w:rFonts w:hint="default"/>
        <w:b/>
      </w:rPr>
    </w:lvl>
    <w:lvl w:ilvl="2">
      <w:start w:val="3"/>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7" w15:restartNumberingAfterBreak="0">
    <w:nsid w:val="5C2A7B2C"/>
    <w:multiLevelType w:val="hybridMultilevel"/>
    <w:tmpl w:val="35CC3C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C560E0A"/>
    <w:multiLevelType w:val="hybridMultilevel"/>
    <w:tmpl w:val="9EBC4288"/>
    <w:lvl w:ilvl="0" w:tplc="C2441CBC">
      <w:start w:val="1"/>
      <w:numFmt w:val="lowerRoman"/>
      <w:pStyle w:val="50"/>
      <w:lvlText w:val="%1."/>
      <w:lvlJc w:val="left"/>
      <w:pPr>
        <w:ind w:left="360" w:hanging="360"/>
      </w:pPr>
      <w:rPr>
        <w:b/>
        <w:bCs w:val="0"/>
        <w:i/>
        <w:iCs w:val="0"/>
        <w:caps w:val="0"/>
        <w:smallCaps w:val="0"/>
        <w:strike w:val="0"/>
        <w:dstrike w:val="0"/>
        <w:outline w:val="0"/>
        <w:shadow w:val="0"/>
        <w:emboss w:val="0"/>
        <w:imprint w:val="0"/>
        <w:noProof w:val="0"/>
        <w:vanish w:val="0"/>
        <w:spacing w:val="0"/>
        <w:kern w:val="0"/>
        <w:position w:val="0"/>
        <w:u w:val="none"/>
        <w:vertAlign w:val="baseline"/>
        <w:em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9" w15:restartNumberingAfterBreak="0">
    <w:nsid w:val="5CDC31B5"/>
    <w:multiLevelType w:val="hybridMultilevel"/>
    <w:tmpl w:val="3B8A7B50"/>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5262BA3"/>
    <w:multiLevelType w:val="hybridMultilevel"/>
    <w:tmpl w:val="73DC4A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5566191"/>
    <w:multiLevelType w:val="hybridMultilevel"/>
    <w:tmpl w:val="43C081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9BC2001"/>
    <w:multiLevelType w:val="singleLevel"/>
    <w:tmpl w:val="04BE48D8"/>
    <w:lvl w:ilvl="0">
      <w:start w:val="1"/>
      <w:numFmt w:val="bullet"/>
      <w:pStyle w:val="Reportbullets"/>
      <w:lvlText w:val=""/>
      <w:lvlJc w:val="left"/>
      <w:pPr>
        <w:tabs>
          <w:tab w:val="num" w:pos="360"/>
        </w:tabs>
        <w:ind w:left="360" w:hanging="360"/>
      </w:pPr>
      <w:rPr>
        <w:rFonts w:ascii="Symbol" w:hAnsi="Symbol" w:hint="default"/>
      </w:rPr>
    </w:lvl>
  </w:abstractNum>
  <w:abstractNum w:abstractNumId="63" w15:restartNumberingAfterBreak="0">
    <w:nsid w:val="6A4779AF"/>
    <w:multiLevelType w:val="hybridMultilevel"/>
    <w:tmpl w:val="F61AD1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A952720"/>
    <w:multiLevelType w:val="hybridMultilevel"/>
    <w:tmpl w:val="7D2688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B7E076A"/>
    <w:multiLevelType w:val="hybridMultilevel"/>
    <w:tmpl w:val="41ACD43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6" w15:restartNumberingAfterBreak="0">
    <w:nsid w:val="6DBF0E8D"/>
    <w:multiLevelType w:val="hybridMultilevel"/>
    <w:tmpl w:val="C7FCC7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E311BCB"/>
    <w:multiLevelType w:val="hybridMultilevel"/>
    <w:tmpl w:val="61D6E7FE"/>
    <w:lvl w:ilvl="0" w:tplc="04090001">
      <w:start w:val="1"/>
      <w:numFmt w:val="bullet"/>
      <w:lvlRestart w:val="0"/>
      <w:pStyle w:val="Indent3"/>
      <w:lvlText w:val="·"/>
      <w:lvlJc w:val="left"/>
      <w:pPr>
        <w:tabs>
          <w:tab w:val="num" w:pos="425"/>
        </w:tabs>
        <w:ind w:left="425" w:hanging="425"/>
      </w:pPr>
      <w:rPr>
        <w:rFonts w:ascii="Symbol" w:hAnsi="Symbol" w:hint="default"/>
        <w:color w:val="000080"/>
        <w:sz w:val="22"/>
        <w:lang w:val="ru-R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EFB7377"/>
    <w:multiLevelType w:val="hybridMultilevel"/>
    <w:tmpl w:val="D39A5C7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5B563F1"/>
    <w:multiLevelType w:val="hybridMultilevel"/>
    <w:tmpl w:val="B756D8C2"/>
    <w:lvl w:ilvl="0" w:tplc="0419000B">
      <w:start w:val="1"/>
      <w:numFmt w:val="bullet"/>
      <w:lvlText w:val=""/>
      <w:lvlJc w:val="left"/>
      <w:pPr>
        <w:ind w:left="720" w:hanging="360"/>
      </w:pPr>
      <w:rPr>
        <w:rFonts w:ascii="Wingdings" w:hAnsi="Wingdings" w:hint="default"/>
      </w:rPr>
    </w:lvl>
    <w:lvl w:ilvl="1" w:tplc="43822ECE">
      <w:numFmt w:val="bullet"/>
      <w:lvlText w:val="•"/>
      <w:lvlJc w:val="left"/>
      <w:pPr>
        <w:ind w:left="1440" w:hanging="360"/>
      </w:pPr>
      <w:rPr>
        <w:rFonts w:ascii="Arial" w:eastAsia="Times New Roman"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6480712"/>
    <w:multiLevelType w:val="hybridMultilevel"/>
    <w:tmpl w:val="9CF25D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739258D"/>
    <w:multiLevelType w:val="hybridMultilevel"/>
    <w:tmpl w:val="BA1C7D7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76E1641"/>
    <w:multiLevelType w:val="hybridMultilevel"/>
    <w:tmpl w:val="BD0E3B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7B05F0C"/>
    <w:multiLevelType w:val="hybridMultilevel"/>
    <w:tmpl w:val="4C5614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9B43A92"/>
    <w:multiLevelType w:val="hybridMultilevel"/>
    <w:tmpl w:val="624A08F6"/>
    <w:lvl w:ilvl="0" w:tplc="108E70C4">
      <w:start w:val="3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ABD0413"/>
    <w:multiLevelType w:val="hybridMultilevel"/>
    <w:tmpl w:val="F6BE9AB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6" w15:restartNumberingAfterBreak="0">
    <w:nsid w:val="7B3D1782"/>
    <w:multiLevelType w:val="hybridMultilevel"/>
    <w:tmpl w:val="10E698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CB86F51"/>
    <w:multiLevelType w:val="hybridMultilevel"/>
    <w:tmpl w:val="5380BF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E9624E8"/>
    <w:multiLevelType w:val="hybridMultilevel"/>
    <w:tmpl w:val="016CC9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F467B84"/>
    <w:multiLevelType w:val="hybridMultilevel"/>
    <w:tmpl w:val="FC783D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8"/>
  </w:num>
  <w:num w:numId="2">
    <w:abstractNumId w:val="26"/>
  </w:num>
  <w:num w:numId="3">
    <w:abstractNumId w:val="62"/>
  </w:num>
  <w:num w:numId="4">
    <w:abstractNumId w:val="11"/>
  </w:num>
  <w:num w:numId="5">
    <w:abstractNumId w:val="0"/>
  </w:num>
  <w:num w:numId="6">
    <w:abstractNumId w:val="1"/>
  </w:num>
  <w:num w:numId="7">
    <w:abstractNumId w:val="67"/>
  </w:num>
  <w:num w:numId="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79"/>
  </w:num>
  <w:num w:numId="11">
    <w:abstractNumId w:val="57"/>
  </w:num>
  <w:num w:numId="12">
    <w:abstractNumId w:val="8"/>
  </w:num>
  <w:num w:numId="13">
    <w:abstractNumId w:val="36"/>
  </w:num>
  <w:num w:numId="14">
    <w:abstractNumId w:val="37"/>
  </w:num>
  <w:num w:numId="15">
    <w:abstractNumId w:val="12"/>
  </w:num>
  <w:num w:numId="16">
    <w:abstractNumId w:val="10"/>
  </w:num>
  <w:num w:numId="17">
    <w:abstractNumId w:val="14"/>
  </w:num>
  <w:num w:numId="18">
    <w:abstractNumId w:val="52"/>
  </w:num>
  <w:num w:numId="19">
    <w:abstractNumId w:val="25"/>
  </w:num>
  <w:num w:numId="20">
    <w:abstractNumId w:val="65"/>
  </w:num>
  <w:num w:numId="21">
    <w:abstractNumId w:val="75"/>
  </w:num>
  <w:num w:numId="22">
    <w:abstractNumId w:val="49"/>
  </w:num>
  <w:num w:numId="23">
    <w:abstractNumId w:val="18"/>
  </w:num>
  <w:num w:numId="24">
    <w:abstractNumId w:val="68"/>
  </w:num>
  <w:num w:numId="25">
    <w:abstractNumId w:val="69"/>
  </w:num>
  <w:num w:numId="26">
    <w:abstractNumId w:val="78"/>
  </w:num>
  <w:num w:numId="27">
    <w:abstractNumId w:val="21"/>
  </w:num>
  <w:num w:numId="28">
    <w:abstractNumId w:val="5"/>
  </w:num>
  <w:num w:numId="29">
    <w:abstractNumId w:val="60"/>
  </w:num>
  <w:num w:numId="30">
    <w:abstractNumId w:val="4"/>
  </w:num>
  <w:num w:numId="31">
    <w:abstractNumId w:val="42"/>
  </w:num>
  <w:num w:numId="32">
    <w:abstractNumId w:val="43"/>
  </w:num>
  <w:num w:numId="33">
    <w:abstractNumId w:val="46"/>
  </w:num>
  <w:num w:numId="34">
    <w:abstractNumId w:val="2"/>
  </w:num>
  <w:num w:numId="35">
    <w:abstractNumId w:val="64"/>
  </w:num>
  <w:num w:numId="36">
    <w:abstractNumId w:val="76"/>
  </w:num>
  <w:num w:numId="37">
    <w:abstractNumId w:val="71"/>
  </w:num>
  <w:num w:numId="38">
    <w:abstractNumId w:val="30"/>
  </w:num>
  <w:num w:numId="39">
    <w:abstractNumId w:val="23"/>
  </w:num>
  <w:num w:numId="40">
    <w:abstractNumId w:val="55"/>
  </w:num>
  <w:num w:numId="41">
    <w:abstractNumId w:val="66"/>
  </w:num>
  <w:num w:numId="42">
    <w:abstractNumId w:val="19"/>
  </w:num>
  <w:num w:numId="43">
    <w:abstractNumId w:val="54"/>
  </w:num>
  <w:num w:numId="44">
    <w:abstractNumId w:val="72"/>
  </w:num>
  <w:num w:numId="45">
    <w:abstractNumId w:val="40"/>
  </w:num>
  <w:num w:numId="46">
    <w:abstractNumId w:val="56"/>
  </w:num>
  <w:num w:numId="47">
    <w:abstractNumId w:val="6"/>
  </w:num>
  <w:num w:numId="48">
    <w:abstractNumId w:val="47"/>
  </w:num>
  <w:num w:numId="49">
    <w:abstractNumId w:val="34"/>
  </w:num>
  <w:num w:numId="50">
    <w:abstractNumId w:val="31"/>
  </w:num>
  <w:num w:numId="51">
    <w:abstractNumId w:val="27"/>
  </w:num>
  <w:num w:numId="52">
    <w:abstractNumId w:val="74"/>
  </w:num>
  <w:num w:numId="53">
    <w:abstractNumId w:val="59"/>
  </w:num>
  <w:num w:numId="54">
    <w:abstractNumId w:val="50"/>
  </w:num>
  <w:num w:numId="55">
    <w:abstractNumId w:val="16"/>
  </w:num>
  <w:num w:numId="56">
    <w:abstractNumId w:val="20"/>
  </w:num>
  <w:num w:numId="57">
    <w:abstractNumId w:val="28"/>
  </w:num>
  <w:num w:numId="58">
    <w:abstractNumId w:val="13"/>
  </w:num>
  <w:num w:numId="59">
    <w:abstractNumId w:val="53"/>
  </w:num>
  <w:num w:numId="60">
    <w:abstractNumId w:val="17"/>
  </w:num>
  <w:num w:numId="61">
    <w:abstractNumId w:val="15"/>
  </w:num>
  <w:num w:numId="62">
    <w:abstractNumId w:val="32"/>
  </w:num>
  <w:num w:numId="63">
    <w:abstractNumId w:val="45"/>
  </w:num>
  <w:num w:numId="64">
    <w:abstractNumId w:val="24"/>
  </w:num>
  <w:num w:numId="65">
    <w:abstractNumId w:val="73"/>
  </w:num>
  <w:num w:numId="66">
    <w:abstractNumId w:val="35"/>
  </w:num>
  <w:num w:numId="67">
    <w:abstractNumId w:val="51"/>
  </w:num>
  <w:num w:numId="68">
    <w:abstractNumId w:val="33"/>
  </w:num>
  <w:num w:numId="69">
    <w:abstractNumId w:val="7"/>
  </w:num>
  <w:num w:numId="70">
    <w:abstractNumId w:val="70"/>
  </w:num>
  <w:num w:numId="71">
    <w:abstractNumId w:val="61"/>
  </w:num>
  <w:num w:numId="72">
    <w:abstractNumId w:val="77"/>
  </w:num>
  <w:num w:numId="73">
    <w:abstractNumId w:val="63"/>
  </w:num>
  <w:num w:numId="74">
    <w:abstractNumId w:val="41"/>
  </w:num>
  <w:num w:numId="75">
    <w:abstractNumId w:val="9"/>
  </w:num>
  <w:num w:numId="76">
    <w:abstractNumId w:val="48"/>
  </w:num>
  <w:num w:numId="77">
    <w:abstractNumId w:val="56"/>
    <w:lvlOverride w:ilvl="0">
      <w:startOverride w:val="6"/>
    </w:lvlOverride>
    <w:lvlOverride w:ilvl="1">
      <w:startOverride w:val="1"/>
    </w:lvlOverride>
    <w:lvlOverride w:ilvl="2">
      <w:startOverride w:val="6"/>
    </w:lvlOverride>
  </w:num>
  <w:num w:numId="78">
    <w:abstractNumId w:val="38"/>
  </w:num>
  <w:num w:numId="79">
    <w:abstractNumId w:val="22"/>
  </w:num>
  <w:num w:numId="80">
    <w:abstractNumId w:val="29"/>
  </w:num>
  <w:num w:numId="81">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C31"/>
    <w:rsid w:val="00001668"/>
    <w:rsid w:val="000022BE"/>
    <w:rsid w:val="000039CC"/>
    <w:rsid w:val="000045A9"/>
    <w:rsid w:val="00004624"/>
    <w:rsid w:val="00004A25"/>
    <w:rsid w:val="00005C9B"/>
    <w:rsid w:val="00006986"/>
    <w:rsid w:val="00006992"/>
    <w:rsid w:val="00006E6F"/>
    <w:rsid w:val="00007574"/>
    <w:rsid w:val="00011138"/>
    <w:rsid w:val="000114BA"/>
    <w:rsid w:val="00012375"/>
    <w:rsid w:val="00013156"/>
    <w:rsid w:val="000166DF"/>
    <w:rsid w:val="00021BC6"/>
    <w:rsid w:val="00023852"/>
    <w:rsid w:val="00025583"/>
    <w:rsid w:val="000255C2"/>
    <w:rsid w:val="00027103"/>
    <w:rsid w:val="00031711"/>
    <w:rsid w:val="000317A6"/>
    <w:rsid w:val="00031DA6"/>
    <w:rsid w:val="00031FA5"/>
    <w:rsid w:val="00032EC1"/>
    <w:rsid w:val="0003317B"/>
    <w:rsid w:val="00033620"/>
    <w:rsid w:val="000344F2"/>
    <w:rsid w:val="00034C31"/>
    <w:rsid w:val="0003641B"/>
    <w:rsid w:val="000364A2"/>
    <w:rsid w:val="00037815"/>
    <w:rsid w:val="00040E10"/>
    <w:rsid w:val="00041143"/>
    <w:rsid w:val="00042501"/>
    <w:rsid w:val="000425B5"/>
    <w:rsid w:val="000433C7"/>
    <w:rsid w:val="00043C71"/>
    <w:rsid w:val="00043E1E"/>
    <w:rsid w:val="00043F94"/>
    <w:rsid w:val="0004456D"/>
    <w:rsid w:val="000448FC"/>
    <w:rsid w:val="00044B0C"/>
    <w:rsid w:val="00045FDF"/>
    <w:rsid w:val="00046AE0"/>
    <w:rsid w:val="000505C8"/>
    <w:rsid w:val="00052F2E"/>
    <w:rsid w:val="000541AA"/>
    <w:rsid w:val="00055C56"/>
    <w:rsid w:val="00057491"/>
    <w:rsid w:val="000578FD"/>
    <w:rsid w:val="000603D7"/>
    <w:rsid w:val="00061DC8"/>
    <w:rsid w:val="00061EF5"/>
    <w:rsid w:val="00062945"/>
    <w:rsid w:val="0006326C"/>
    <w:rsid w:val="000635FD"/>
    <w:rsid w:val="00065104"/>
    <w:rsid w:val="00065504"/>
    <w:rsid w:val="00066C0D"/>
    <w:rsid w:val="00067CF6"/>
    <w:rsid w:val="000700D1"/>
    <w:rsid w:val="0007170B"/>
    <w:rsid w:val="00071BE7"/>
    <w:rsid w:val="000736E0"/>
    <w:rsid w:val="000764F1"/>
    <w:rsid w:val="00077F38"/>
    <w:rsid w:val="00077F62"/>
    <w:rsid w:val="000804B8"/>
    <w:rsid w:val="0008061B"/>
    <w:rsid w:val="000808E4"/>
    <w:rsid w:val="000809C4"/>
    <w:rsid w:val="0008119E"/>
    <w:rsid w:val="0008144B"/>
    <w:rsid w:val="00082896"/>
    <w:rsid w:val="00083217"/>
    <w:rsid w:val="0008509D"/>
    <w:rsid w:val="00090B9D"/>
    <w:rsid w:val="000940F2"/>
    <w:rsid w:val="0009450E"/>
    <w:rsid w:val="000955AF"/>
    <w:rsid w:val="00095933"/>
    <w:rsid w:val="000A147D"/>
    <w:rsid w:val="000A23EB"/>
    <w:rsid w:val="000A4F12"/>
    <w:rsid w:val="000A5C19"/>
    <w:rsid w:val="000A67F3"/>
    <w:rsid w:val="000A71E6"/>
    <w:rsid w:val="000A793F"/>
    <w:rsid w:val="000A7C12"/>
    <w:rsid w:val="000A7CC1"/>
    <w:rsid w:val="000A7EF1"/>
    <w:rsid w:val="000B0CA0"/>
    <w:rsid w:val="000B0E1D"/>
    <w:rsid w:val="000B3EEB"/>
    <w:rsid w:val="000B5F5D"/>
    <w:rsid w:val="000B601B"/>
    <w:rsid w:val="000B618B"/>
    <w:rsid w:val="000B77BC"/>
    <w:rsid w:val="000C3137"/>
    <w:rsid w:val="000C4231"/>
    <w:rsid w:val="000C432B"/>
    <w:rsid w:val="000C6BC3"/>
    <w:rsid w:val="000C6EE1"/>
    <w:rsid w:val="000C7CDE"/>
    <w:rsid w:val="000D083B"/>
    <w:rsid w:val="000D0877"/>
    <w:rsid w:val="000D13C9"/>
    <w:rsid w:val="000D4222"/>
    <w:rsid w:val="000D4920"/>
    <w:rsid w:val="000D4FC5"/>
    <w:rsid w:val="000D6FD4"/>
    <w:rsid w:val="000D7054"/>
    <w:rsid w:val="000E0E8A"/>
    <w:rsid w:val="000E1D61"/>
    <w:rsid w:val="000E295A"/>
    <w:rsid w:val="000E30B3"/>
    <w:rsid w:val="000E3E4F"/>
    <w:rsid w:val="000E3F7F"/>
    <w:rsid w:val="000E67DE"/>
    <w:rsid w:val="000E692C"/>
    <w:rsid w:val="000E70B5"/>
    <w:rsid w:val="000F007B"/>
    <w:rsid w:val="000F0BCC"/>
    <w:rsid w:val="000F17F6"/>
    <w:rsid w:val="000F55CF"/>
    <w:rsid w:val="000F7749"/>
    <w:rsid w:val="0010115E"/>
    <w:rsid w:val="0010141F"/>
    <w:rsid w:val="0010167E"/>
    <w:rsid w:val="0010182D"/>
    <w:rsid w:val="00101907"/>
    <w:rsid w:val="001020EA"/>
    <w:rsid w:val="00104E54"/>
    <w:rsid w:val="00105466"/>
    <w:rsid w:val="0010748D"/>
    <w:rsid w:val="00107C2D"/>
    <w:rsid w:val="00111486"/>
    <w:rsid w:val="0011186C"/>
    <w:rsid w:val="00112AFF"/>
    <w:rsid w:val="001134A0"/>
    <w:rsid w:val="0011361C"/>
    <w:rsid w:val="00114E43"/>
    <w:rsid w:val="00122C4C"/>
    <w:rsid w:val="00124BBD"/>
    <w:rsid w:val="00124FF6"/>
    <w:rsid w:val="00125232"/>
    <w:rsid w:val="00125272"/>
    <w:rsid w:val="001257AE"/>
    <w:rsid w:val="00125DA7"/>
    <w:rsid w:val="001262B6"/>
    <w:rsid w:val="0013000F"/>
    <w:rsid w:val="00131F24"/>
    <w:rsid w:val="00132688"/>
    <w:rsid w:val="001328B6"/>
    <w:rsid w:val="00133048"/>
    <w:rsid w:val="00133D2F"/>
    <w:rsid w:val="001340B7"/>
    <w:rsid w:val="00134832"/>
    <w:rsid w:val="00136969"/>
    <w:rsid w:val="00137796"/>
    <w:rsid w:val="00137991"/>
    <w:rsid w:val="001408FC"/>
    <w:rsid w:val="00141B57"/>
    <w:rsid w:val="00142752"/>
    <w:rsid w:val="001457E9"/>
    <w:rsid w:val="00146308"/>
    <w:rsid w:val="00146711"/>
    <w:rsid w:val="00146A9B"/>
    <w:rsid w:val="00151143"/>
    <w:rsid w:val="001527C0"/>
    <w:rsid w:val="00153AF2"/>
    <w:rsid w:val="0015744C"/>
    <w:rsid w:val="00157CE2"/>
    <w:rsid w:val="00161404"/>
    <w:rsid w:val="0016263E"/>
    <w:rsid w:val="00162CFF"/>
    <w:rsid w:val="001655EB"/>
    <w:rsid w:val="00166279"/>
    <w:rsid w:val="001672CE"/>
    <w:rsid w:val="001717DE"/>
    <w:rsid w:val="00172315"/>
    <w:rsid w:val="0017292A"/>
    <w:rsid w:val="001729E7"/>
    <w:rsid w:val="00172E5A"/>
    <w:rsid w:val="001733D6"/>
    <w:rsid w:val="00175B1E"/>
    <w:rsid w:val="00176908"/>
    <w:rsid w:val="00177C5D"/>
    <w:rsid w:val="00180376"/>
    <w:rsid w:val="001807B7"/>
    <w:rsid w:val="00180F3B"/>
    <w:rsid w:val="00182F15"/>
    <w:rsid w:val="00184EB6"/>
    <w:rsid w:val="00186516"/>
    <w:rsid w:val="00190225"/>
    <w:rsid w:val="00190B37"/>
    <w:rsid w:val="00190ED9"/>
    <w:rsid w:val="00192610"/>
    <w:rsid w:val="00192612"/>
    <w:rsid w:val="00192672"/>
    <w:rsid w:val="0019456D"/>
    <w:rsid w:val="001951D9"/>
    <w:rsid w:val="001969DD"/>
    <w:rsid w:val="00196A7A"/>
    <w:rsid w:val="00196AA4"/>
    <w:rsid w:val="001979A3"/>
    <w:rsid w:val="001A069F"/>
    <w:rsid w:val="001A0753"/>
    <w:rsid w:val="001A183A"/>
    <w:rsid w:val="001A607C"/>
    <w:rsid w:val="001B0959"/>
    <w:rsid w:val="001B0A56"/>
    <w:rsid w:val="001B152B"/>
    <w:rsid w:val="001B4461"/>
    <w:rsid w:val="001B70F1"/>
    <w:rsid w:val="001C0269"/>
    <w:rsid w:val="001C093F"/>
    <w:rsid w:val="001C100D"/>
    <w:rsid w:val="001C1914"/>
    <w:rsid w:val="001C2354"/>
    <w:rsid w:val="001C495C"/>
    <w:rsid w:val="001C5332"/>
    <w:rsid w:val="001C5DA8"/>
    <w:rsid w:val="001C7FD2"/>
    <w:rsid w:val="001D0A02"/>
    <w:rsid w:val="001D1C87"/>
    <w:rsid w:val="001D2BC3"/>
    <w:rsid w:val="001D3DE2"/>
    <w:rsid w:val="001D4C47"/>
    <w:rsid w:val="001E0477"/>
    <w:rsid w:val="001E293B"/>
    <w:rsid w:val="001E400D"/>
    <w:rsid w:val="001E56DD"/>
    <w:rsid w:val="001E591D"/>
    <w:rsid w:val="001E62D3"/>
    <w:rsid w:val="001E6A2C"/>
    <w:rsid w:val="001E7773"/>
    <w:rsid w:val="001E7814"/>
    <w:rsid w:val="001E7DA7"/>
    <w:rsid w:val="001F1B3D"/>
    <w:rsid w:val="001F20BD"/>
    <w:rsid w:val="001F2532"/>
    <w:rsid w:val="001F4607"/>
    <w:rsid w:val="001F67AA"/>
    <w:rsid w:val="001F67FE"/>
    <w:rsid w:val="001F6A09"/>
    <w:rsid w:val="001F6AF8"/>
    <w:rsid w:val="001F6BE4"/>
    <w:rsid w:val="0020028D"/>
    <w:rsid w:val="00200769"/>
    <w:rsid w:val="00202C79"/>
    <w:rsid w:val="00203945"/>
    <w:rsid w:val="00204543"/>
    <w:rsid w:val="002063AC"/>
    <w:rsid w:val="00206C25"/>
    <w:rsid w:val="0021288B"/>
    <w:rsid w:val="00212A2B"/>
    <w:rsid w:val="00214A8A"/>
    <w:rsid w:val="00215D81"/>
    <w:rsid w:val="00216A9F"/>
    <w:rsid w:val="00217705"/>
    <w:rsid w:val="0022254A"/>
    <w:rsid w:val="002225B7"/>
    <w:rsid w:val="002246D9"/>
    <w:rsid w:val="002248AC"/>
    <w:rsid w:val="00224940"/>
    <w:rsid w:val="002249E8"/>
    <w:rsid w:val="00224A70"/>
    <w:rsid w:val="00224FFF"/>
    <w:rsid w:val="00226FA7"/>
    <w:rsid w:val="0022703E"/>
    <w:rsid w:val="00227E4C"/>
    <w:rsid w:val="00231E0E"/>
    <w:rsid w:val="00232947"/>
    <w:rsid w:val="002337EB"/>
    <w:rsid w:val="002344FE"/>
    <w:rsid w:val="002345A6"/>
    <w:rsid w:val="00236218"/>
    <w:rsid w:val="002371B1"/>
    <w:rsid w:val="00237D44"/>
    <w:rsid w:val="002403E7"/>
    <w:rsid w:val="00241056"/>
    <w:rsid w:val="00241C87"/>
    <w:rsid w:val="002425CF"/>
    <w:rsid w:val="00244896"/>
    <w:rsid w:val="002448EA"/>
    <w:rsid w:val="00244F90"/>
    <w:rsid w:val="002458FA"/>
    <w:rsid w:val="00247BFA"/>
    <w:rsid w:val="00250B38"/>
    <w:rsid w:val="002510EF"/>
    <w:rsid w:val="00251F51"/>
    <w:rsid w:val="0025286A"/>
    <w:rsid w:val="002534E6"/>
    <w:rsid w:val="00260890"/>
    <w:rsid w:val="00263401"/>
    <w:rsid w:val="002636A4"/>
    <w:rsid w:val="00263E2A"/>
    <w:rsid w:val="00264B91"/>
    <w:rsid w:val="00266984"/>
    <w:rsid w:val="002701AE"/>
    <w:rsid w:val="00273CA2"/>
    <w:rsid w:val="002776FF"/>
    <w:rsid w:val="002822DF"/>
    <w:rsid w:val="002832F1"/>
    <w:rsid w:val="00283730"/>
    <w:rsid w:val="00285742"/>
    <w:rsid w:val="00285F82"/>
    <w:rsid w:val="00286B3F"/>
    <w:rsid w:val="002905C4"/>
    <w:rsid w:val="00291BBB"/>
    <w:rsid w:val="00291E94"/>
    <w:rsid w:val="00292A66"/>
    <w:rsid w:val="00292C2E"/>
    <w:rsid w:val="00294AD1"/>
    <w:rsid w:val="00294CD0"/>
    <w:rsid w:val="00295A22"/>
    <w:rsid w:val="00295C0C"/>
    <w:rsid w:val="00296D88"/>
    <w:rsid w:val="00297E6B"/>
    <w:rsid w:val="002A0660"/>
    <w:rsid w:val="002A4CA4"/>
    <w:rsid w:val="002A539B"/>
    <w:rsid w:val="002A6490"/>
    <w:rsid w:val="002A697B"/>
    <w:rsid w:val="002B142D"/>
    <w:rsid w:val="002B5F75"/>
    <w:rsid w:val="002B62D7"/>
    <w:rsid w:val="002B6304"/>
    <w:rsid w:val="002B673A"/>
    <w:rsid w:val="002B6FDF"/>
    <w:rsid w:val="002B711F"/>
    <w:rsid w:val="002B7A1F"/>
    <w:rsid w:val="002C032E"/>
    <w:rsid w:val="002C33EA"/>
    <w:rsid w:val="002C3A3C"/>
    <w:rsid w:val="002C40F1"/>
    <w:rsid w:val="002C45B6"/>
    <w:rsid w:val="002C5B35"/>
    <w:rsid w:val="002C609B"/>
    <w:rsid w:val="002C61BB"/>
    <w:rsid w:val="002D10B1"/>
    <w:rsid w:val="002D1DB0"/>
    <w:rsid w:val="002D2DB2"/>
    <w:rsid w:val="002D320A"/>
    <w:rsid w:val="002D3832"/>
    <w:rsid w:val="002D4AF9"/>
    <w:rsid w:val="002D62F3"/>
    <w:rsid w:val="002E0C68"/>
    <w:rsid w:val="002E30A6"/>
    <w:rsid w:val="002E4F31"/>
    <w:rsid w:val="002E506E"/>
    <w:rsid w:val="002E5B84"/>
    <w:rsid w:val="002E6E09"/>
    <w:rsid w:val="002E6E13"/>
    <w:rsid w:val="002F26BD"/>
    <w:rsid w:val="002F5E50"/>
    <w:rsid w:val="002F6175"/>
    <w:rsid w:val="002F6462"/>
    <w:rsid w:val="002F6E42"/>
    <w:rsid w:val="002F7829"/>
    <w:rsid w:val="002F793F"/>
    <w:rsid w:val="00304990"/>
    <w:rsid w:val="003065BB"/>
    <w:rsid w:val="003065D7"/>
    <w:rsid w:val="00306753"/>
    <w:rsid w:val="00311456"/>
    <w:rsid w:val="003126F5"/>
    <w:rsid w:val="00312970"/>
    <w:rsid w:val="00314906"/>
    <w:rsid w:val="00314D4C"/>
    <w:rsid w:val="00314F7A"/>
    <w:rsid w:val="00315096"/>
    <w:rsid w:val="00315354"/>
    <w:rsid w:val="00320AFD"/>
    <w:rsid w:val="00321470"/>
    <w:rsid w:val="00321DC3"/>
    <w:rsid w:val="003228E5"/>
    <w:rsid w:val="00322E04"/>
    <w:rsid w:val="00323F18"/>
    <w:rsid w:val="00324A68"/>
    <w:rsid w:val="00324C04"/>
    <w:rsid w:val="00325555"/>
    <w:rsid w:val="00327307"/>
    <w:rsid w:val="00327EBC"/>
    <w:rsid w:val="00331760"/>
    <w:rsid w:val="0033513F"/>
    <w:rsid w:val="003352EF"/>
    <w:rsid w:val="00336A50"/>
    <w:rsid w:val="00336F92"/>
    <w:rsid w:val="003377B1"/>
    <w:rsid w:val="0034201D"/>
    <w:rsid w:val="00342C7C"/>
    <w:rsid w:val="0034352A"/>
    <w:rsid w:val="003440CA"/>
    <w:rsid w:val="00344336"/>
    <w:rsid w:val="003470FD"/>
    <w:rsid w:val="00347D00"/>
    <w:rsid w:val="00353E39"/>
    <w:rsid w:val="00354A28"/>
    <w:rsid w:val="0035554A"/>
    <w:rsid w:val="003561EA"/>
    <w:rsid w:val="00360385"/>
    <w:rsid w:val="00361ABC"/>
    <w:rsid w:val="00361DF2"/>
    <w:rsid w:val="003627AE"/>
    <w:rsid w:val="00362C84"/>
    <w:rsid w:val="00362D6C"/>
    <w:rsid w:val="00363055"/>
    <w:rsid w:val="00364E5E"/>
    <w:rsid w:val="0036673A"/>
    <w:rsid w:val="00367522"/>
    <w:rsid w:val="00367D3E"/>
    <w:rsid w:val="0037020E"/>
    <w:rsid w:val="00370982"/>
    <w:rsid w:val="00371578"/>
    <w:rsid w:val="00372553"/>
    <w:rsid w:val="00372B43"/>
    <w:rsid w:val="003744D0"/>
    <w:rsid w:val="003758E2"/>
    <w:rsid w:val="00380546"/>
    <w:rsid w:val="00380BAE"/>
    <w:rsid w:val="00380EAE"/>
    <w:rsid w:val="003814F0"/>
    <w:rsid w:val="003817AC"/>
    <w:rsid w:val="003823C4"/>
    <w:rsid w:val="00383F0D"/>
    <w:rsid w:val="0038573B"/>
    <w:rsid w:val="00386744"/>
    <w:rsid w:val="00387BCE"/>
    <w:rsid w:val="00390B36"/>
    <w:rsid w:val="00392FBF"/>
    <w:rsid w:val="00393C98"/>
    <w:rsid w:val="003949E5"/>
    <w:rsid w:val="00395831"/>
    <w:rsid w:val="00395F61"/>
    <w:rsid w:val="003969C7"/>
    <w:rsid w:val="003A096E"/>
    <w:rsid w:val="003A0B64"/>
    <w:rsid w:val="003A0BFF"/>
    <w:rsid w:val="003A0F9C"/>
    <w:rsid w:val="003A1576"/>
    <w:rsid w:val="003A2422"/>
    <w:rsid w:val="003A27AB"/>
    <w:rsid w:val="003A288C"/>
    <w:rsid w:val="003A3C51"/>
    <w:rsid w:val="003A6DF1"/>
    <w:rsid w:val="003A753B"/>
    <w:rsid w:val="003B4C9B"/>
    <w:rsid w:val="003B5D8D"/>
    <w:rsid w:val="003B7473"/>
    <w:rsid w:val="003B7771"/>
    <w:rsid w:val="003C21DD"/>
    <w:rsid w:val="003C3EE3"/>
    <w:rsid w:val="003C6B00"/>
    <w:rsid w:val="003D0EF8"/>
    <w:rsid w:val="003D1C29"/>
    <w:rsid w:val="003D20BD"/>
    <w:rsid w:val="003D254C"/>
    <w:rsid w:val="003D2AA2"/>
    <w:rsid w:val="003D37BE"/>
    <w:rsid w:val="003D3E50"/>
    <w:rsid w:val="003D5AC4"/>
    <w:rsid w:val="003D6FD2"/>
    <w:rsid w:val="003D76C1"/>
    <w:rsid w:val="003E20B6"/>
    <w:rsid w:val="003E23DD"/>
    <w:rsid w:val="003E2B5F"/>
    <w:rsid w:val="003E30CD"/>
    <w:rsid w:val="003E36EC"/>
    <w:rsid w:val="003E522E"/>
    <w:rsid w:val="003E6402"/>
    <w:rsid w:val="003E6C8F"/>
    <w:rsid w:val="003E6EEE"/>
    <w:rsid w:val="003F0375"/>
    <w:rsid w:val="003F109C"/>
    <w:rsid w:val="003F24F9"/>
    <w:rsid w:val="003F2763"/>
    <w:rsid w:val="003F2EF6"/>
    <w:rsid w:val="003F4098"/>
    <w:rsid w:val="003F4EB2"/>
    <w:rsid w:val="003F645F"/>
    <w:rsid w:val="003F65F7"/>
    <w:rsid w:val="003F7506"/>
    <w:rsid w:val="00400324"/>
    <w:rsid w:val="00400E91"/>
    <w:rsid w:val="00400EAB"/>
    <w:rsid w:val="004023FD"/>
    <w:rsid w:val="00402958"/>
    <w:rsid w:val="00403C17"/>
    <w:rsid w:val="004044B0"/>
    <w:rsid w:val="00404BF6"/>
    <w:rsid w:val="00405FE6"/>
    <w:rsid w:val="004069B0"/>
    <w:rsid w:val="00406F1E"/>
    <w:rsid w:val="00407B05"/>
    <w:rsid w:val="00407BB1"/>
    <w:rsid w:val="0041091C"/>
    <w:rsid w:val="00411A9B"/>
    <w:rsid w:val="004132A0"/>
    <w:rsid w:val="00414DF2"/>
    <w:rsid w:val="00415822"/>
    <w:rsid w:val="00415CCB"/>
    <w:rsid w:val="00417A1D"/>
    <w:rsid w:val="00417C1F"/>
    <w:rsid w:val="00422456"/>
    <w:rsid w:val="004244CB"/>
    <w:rsid w:val="00425542"/>
    <w:rsid w:val="00425543"/>
    <w:rsid w:val="0042635C"/>
    <w:rsid w:val="00427004"/>
    <w:rsid w:val="004279A8"/>
    <w:rsid w:val="004329C6"/>
    <w:rsid w:val="00433BEF"/>
    <w:rsid w:val="00433C2C"/>
    <w:rsid w:val="00434257"/>
    <w:rsid w:val="0043428D"/>
    <w:rsid w:val="004343C2"/>
    <w:rsid w:val="004344BD"/>
    <w:rsid w:val="00434CAF"/>
    <w:rsid w:val="00437987"/>
    <w:rsid w:val="00437EE9"/>
    <w:rsid w:val="00440483"/>
    <w:rsid w:val="00441511"/>
    <w:rsid w:val="00445324"/>
    <w:rsid w:val="004526F9"/>
    <w:rsid w:val="00452C17"/>
    <w:rsid w:val="00453538"/>
    <w:rsid w:val="00453941"/>
    <w:rsid w:val="0045598E"/>
    <w:rsid w:val="00457DAC"/>
    <w:rsid w:val="004607DF"/>
    <w:rsid w:val="00460CF6"/>
    <w:rsid w:val="00461455"/>
    <w:rsid w:val="00462481"/>
    <w:rsid w:val="00463574"/>
    <w:rsid w:val="004637FD"/>
    <w:rsid w:val="004639FD"/>
    <w:rsid w:val="00464397"/>
    <w:rsid w:val="00464E78"/>
    <w:rsid w:val="004660BA"/>
    <w:rsid w:val="00467492"/>
    <w:rsid w:val="0047057C"/>
    <w:rsid w:val="0047064D"/>
    <w:rsid w:val="0047146A"/>
    <w:rsid w:val="00472371"/>
    <w:rsid w:val="00475C43"/>
    <w:rsid w:val="0047628C"/>
    <w:rsid w:val="00480F6E"/>
    <w:rsid w:val="004857D2"/>
    <w:rsid w:val="00485D25"/>
    <w:rsid w:val="00485FBB"/>
    <w:rsid w:val="0048671B"/>
    <w:rsid w:val="00486A75"/>
    <w:rsid w:val="00491510"/>
    <w:rsid w:val="00493C5A"/>
    <w:rsid w:val="00493D06"/>
    <w:rsid w:val="0049499A"/>
    <w:rsid w:val="00494A82"/>
    <w:rsid w:val="00494E4B"/>
    <w:rsid w:val="00496676"/>
    <w:rsid w:val="004971C9"/>
    <w:rsid w:val="004A4232"/>
    <w:rsid w:val="004A4DBD"/>
    <w:rsid w:val="004A5F3C"/>
    <w:rsid w:val="004A6BB9"/>
    <w:rsid w:val="004A700B"/>
    <w:rsid w:val="004B058C"/>
    <w:rsid w:val="004B189B"/>
    <w:rsid w:val="004B2189"/>
    <w:rsid w:val="004B3AD8"/>
    <w:rsid w:val="004B42C9"/>
    <w:rsid w:val="004B5A80"/>
    <w:rsid w:val="004B633D"/>
    <w:rsid w:val="004B6634"/>
    <w:rsid w:val="004C0CEF"/>
    <w:rsid w:val="004C21B7"/>
    <w:rsid w:val="004C300E"/>
    <w:rsid w:val="004C4B34"/>
    <w:rsid w:val="004C4F8D"/>
    <w:rsid w:val="004C52AE"/>
    <w:rsid w:val="004C5F21"/>
    <w:rsid w:val="004C6136"/>
    <w:rsid w:val="004C6184"/>
    <w:rsid w:val="004C7CEA"/>
    <w:rsid w:val="004D0631"/>
    <w:rsid w:val="004D11A4"/>
    <w:rsid w:val="004D1FB5"/>
    <w:rsid w:val="004D26A9"/>
    <w:rsid w:val="004D2EAE"/>
    <w:rsid w:val="004D4E3F"/>
    <w:rsid w:val="004D78FD"/>
    <w:rsid w:val="004D79D1"/>
    <w:rsid w:val="004E119B"/>
    <w:rsid w:val="004E1339"/>
    <w:rsid w:val="004E26E6"/>
    <w:rsid w:val="004E306E"/>
    <w:rsid w:val="004E4966"/>
    <w:rsid w:val="004E4D36"/>
    <w:rsid w:val="004E6559"/>
    <w:rsid w:val="004E6E19"/>
    <w:rsid w:val="004E76E8"/>
    <w:rsid w:val="004E79FC"/>
    <w:rsid w:val="004F06F5"/>
    <w:rsid w:val="004F0889"/>
    <w:rsid w:val="004F557D"/>
    <w:rsid w:val="004F5A5E"/>
    <w:rsid w:val="004F6850"/>
    <w:rsid w:val="00501026"/>
    <w:rsid w:val="00502173"/>
    <w:rsid w:val="00502DED"/>
    <w:rsid w:val="00503F7D"/>
    <w:rsid w:val="00503FB4"/>
    <w:rsid w:val="00506C64"/>
    <w:rsid w:val="0050733E"/>
    <w:rsid w:val="00512C10"/>
    <w:rsid w:val="00513023"/>
    <w:rsid w:val="00513D5A"/>
    <w:rsid w:val="00515FE8"/>
    <w:rsid w:val="005163A1"/>
    <w:rsid w:val="00517012"/>
    <w:rsid w:val="00517ADC"/>
    <w:rsid w:val="00517D17"/>
    <w:rsid w:val="00521A2E"/>
    <w:rsid w:val="00522562"/>
    <w:rsid w:val="00522681"/>
    <w:rsid w:val="0052305E"/>
    <w:rsid w:val="00523FDF"/>
    <w:rsid w:val="00525602"/>
    <w:rsid w:val="00525AA1"/>
    <w:rsid w:val="00526405"/>
    <w:rsid w:val="00526CB9"/>
    <w:rsid w:val="00526D7C"/>
    <w:rsid w:val="00526F9E"/>
    <w:rsid w:val="005277F7"/>
    <w:rsid w:val="00531C54"/>
    <w:rsid w:val="00531E31"/>
    <w:rsid w:val="0053204E"/>
    <w:rsid w:val="005328F1"/>
    <w:rsid w:val="005347CD"/>
    <w:rsid w:val="00535893"/>
    <w:rsid w:val="00536566"/>
    <w:rsid w:val="005367E0"/>
    <w:rsid w:val="00540327"/>
    <w:rsid w:val="00543810"/>
    <w:rsid w:val="00544A45"/>
    <w:rsid w:val="00545CB4"/>
    <w:rsid w:val="00546565"/>
    <w:rsid w:val="00546E4F"/>
    <w:rsid w:val="00547380"/>
    <w:rsid w:val="00547F59"/>
    <w:rsid w:val="00550A92"/>
    <w:rsid w:val="00550F4B"/>
    <w:rsid w:val="005522E6"/>
    <w:rsid w:val="00552DF3"/>
    <w:rsid w:val="005544AB"/>
    <w:rsid w:val="0055478E"/>
    <w:rsid w:val="0055494F"/>
    <w:rsid w:val="005552CC"/>
    <w:rsid w:val="00555CBD"/>
    <w:rsid w:val="00555F2C"/>
    <w:rsid w:val="0055636B"/>
    <w:rsid w:val="00556CBA"/>
    <w:rsid w:val="00561180"/>
    <w:rsid w:val="00564496"/>
    <w:rsid w:val="00564614"/>
    <w:rsid w:val="00564621"/>
    <w:rsid w:val="00565EAD"/>
    <w:rsid w:val="005666E1"/>
    <w:rsid w:val="00566AA5"/>
    <w:rsid w:val="00566CA6"/>
    <w:rsid w:val="00570DA6"/>
    <w:rsid w:val="00570DB2"/>
    <w:rsid w:val="005739F5"/>
    <w:rsid w:val="00574753"/>
    <w:rsid w:val="0057686C"/>
    <w:rsid w:val="0057725B"/>
    <w:rsid w:val="0058337E"/>
    <w:rsid w:val="005864D9"/>
    <w:rsid w:val="00586640"/>
    <w:rsid w:val="00587052"/>
    <w:rsid w:val="00591DF9"/>
    <w:rsid w:val="005946CF"/>
    <w:rsid w:val="00594EAE"/>
    <w:rsid w:val="00595530"/>
    <w:rsid w:val="00596F9C"/>
    <w:rsid w:val="005971B8"/>
    <w:rsid w:val="00597283"/>
    <w:rsid w:val="00597879"/>
    <w:rsid w:val="005A149F"/>
    <w:rsid w:val="005A322B"/>
    <w:rsid w:val="005A32EB"/>
    <w:rsid w:val="005A3A49"/>
    <w:rsid w:val="005A3ACA"/>
    <w:rsid w:val="005A3C5B"/>
    <w:rsid w:val="005A62FA"/>
    <w:rsid w:val="005A7848"/>
    <w:rsid w:val="005B4BE6"/>
    <w:rsid w:val="005B580F"/>
    <w:rsid w:val="005B58D9"/>
    <w:rsid w:val="005B6BB7"/>
    <w:rsid w:val="005B706F"/>
    <w:rsid w:val="005C0300"/>
    <w:rsid w:val="005C0D97"/>
    <w:rsid w:val="005C1134"/>
    <w:rsid w:val="005C21D9"/>
    <w:rsid w:val="005C2FC2"/>
    <w:rsid w:val="005C3E69"/>
    <w:rsid w:val="005C43F3"/>
    <w:rsid w:val="005C4FE2"/>
    <w:rsid w:val="005C659F"/>
    <w:rsid w:val="005C7A65"/>
    <w:rsid w:val="005C7AA5"/>
    <w:rsid w:val="005C7F79"/>
    <w:rsid w:val="005D0173"/>
    <w:rsid w:val="005D0D00"/>
    <w:rsid w:val="005D1068"/>
    <w:rsid w:val="005D25B4"/>
    <w:rsid w:val="005D2691"/>
    <w:rsid w:val="005D33DA"/>
    <w:rsid w:val="005D3B55"/>
    <w:rsid w:val="005D51CB"/>
    <w:rsid w:val="005D6327"/>
    <w:rsid w:val="005D76BE"/>
    <w:rsid w:val="005D7958"/>
    <w:rsid w:val="005E0DE7"/>
    <w:rsid w:val="005E1070"/>
    <w:rsid w:val="005E3B5A"/>
    <w:rsid w:val="005E5C01"/>
    <w:rsid w:val="005E6614"/>
    <w:rsid w:val="005E7E2D"/>
    <w:rsid w:val="005F1D7E"/>
    <w:rsid w:val="005F1E32"/>
    <w:rsid w:val="005F221A"/>
    <w:rsid w:val="005F25E9"/>
    <w:rsid w:val="005F2755"/>
    <w:rsid w:val="005F2EA0"/>
    <w:rsid w:val="005F5892"/>
    <w:rsid w:val="005F7110"/>
    <w:rsid w:val="00600DED"/>
    <w:rsid w:val="00601B28"/>
    <w:rsid w:val="00602807"/>
    <w:rsid w:val="00602CA4"/>
    <w:rsid w:val="00602CAF"/>
    <w:rsid w:val="00602E1E"/>
    <w:rsid w:val="00604EE9"/>
    <w:rsid w:val="006065B3"/>
    <w:rsid w:val="006103AE"/>
    <w:rsid w:val="00611C45"/>
    <w:rsid w:val="00611DAF"/>
    <w:rsid w:val="00611DF9"/>
    <w:rsid w:val="00612079"/>
    <w:rsid w:val="00613DC8"/>
    <w:rsid w:val="006149A9"/>
    <w:rsid w:val="00614E1C"/>
    <w:rsid w:val="00617991"/>
    <w:rsid w:val="006203FC"/>
    <w:rsid w:val="00622CCC"/>
    <w:rsid w:val="00623A2F"/>
    <w:rsid w:val="00623E16"/>
    <w:rsid w:val="00624B3D"/>
    <w:rsid w:val="00627B1A"/>
    <w:rsid w:val="00630D63"/>
    <w:rsid w:val="00630F6D"/>
    <w:rsid w:val="006323A2"/>
    <w:rsid w:val="00632CA0"/>
    <w:rsid w:val="006433A0"/>
    <w:rsid w:val="00643B9B"/>
    <w:rsid w:val="00646557"/>
    <w:rsid w:val="006465B4"/>
    <w:rsid w:val="00646EB5"/>
    <w:rsid w:val="00647A10"/>
    <w:rsid w:val="00647EA6"/>
    <w:rsid w:val="006500F8"/>
    <w:rsid w:val="00650513"/>
    <w:rsid w:val="006508BA"/>
    <w:rsid w:val="00650AD6"/>
    <w:rsid w:val="00652759"/>
    <w:rsid w:val="006541D2"/>
    <w:rsid w:val="00654421"/>
    <w:rsid w:val="00655354"/>
    <w:rsid w:val="00657916"/>
    <w:rsid w:val="0066025F"/>
    <w:rsid w:val="00662A47"/>
    <w:rsid w:val="00664B61"/>
    <w:rsid w:val="006670F3"/>
    <w:rsid w:val="006679A5"/>
    <w:rsid w:val="00670B9E"/>
    <w:rsid w:val="0067209B"/>
    <w:rsid w:val="0067410A"/>
    <w:rsid w:val="0067516F"/>
    <w:rsid w:val="00675E57"/>
    <w:rsid w:val="006765CF"/>
    <w:rsid w:val="0067699B"/>
    <w:rsid w:val="006772FF"/>
    <w:rsid w:val="00683129"/>
    <w:rsid w:val="00683968"/>
    <w:rsid w:val="006839C9"/>
    <w:rsid w:val="00683CC6"/>
    <w:rsid w:val="006848FC"/>
    <w:rsid w:val="00686721"/>
    <w:rsid w:val="00687A32"/>
    <w:rsid w:val="00690AFA"/>
    <w:rsid w:val="00691C30"/>
    <w:rsid w:val="00692CC9"/>
    <w:rsid w:val="00696B6D"/>
    <w:rsid w:val="00696B8A"/>
    <w:rsid w:val="00697C2F"/>
    <w:rsid w:val="006A0108"/>
    <w:rsid w:val="006A060A"/>
    <w:rsid w:val="006A0D71"/>
    <w:rsid w:val="006A1C03"/>
    <w:rsid w:val="006A1C9D"/>
    <w:rsid w:val="006A1E41"/>
    <w:rsid w:val="006A3A20"/>
    <w:rsid w:val="006A42CD"/>
    <w:rsid w:val="006A4547"/>
    <w:rsid w:val="006A4EF4"/>
    <w:rsid w:val="006A5755"/>
    <w:rsid w:val="006A5F79"/>
    <w:rsid w:val="006B1194"/>
    <w:rsid w:val="006B185E"/>
    <w:rsid w:val="006B257E"/>
    <w:rsid w:val="006B2ED4"/>
    <w:rsid w:val="006B48DF"/>
    <w:rsid w:val="006B4CC1"/>
    <w:rsid w:val="006B4F74"/>
    <w:rsid w:val="006B5043"/>
    <w:rsid w:val="006B6744"/>
    <w:rsid w:val="006B7BF9"/>
    <w:rsid w:val="006C0333"/>
    <w:rsid w:val="006C07B2"/>
    <w:rsid w:val="006C0DB6"/>
    <w:rsid w:val="006C1317"/>
    <w:rsid w:val="006C17C5"/>
    <w:rsid w:val="006C2BC3"/>
    <w:rsid w:val="006C40D9"/>
    <w:rsid w:val="006C411E"/>
    <w:rsid w:val="006C5D7A"/>
    <w:rsid w:val="006C61F8"/>
    <w:rsid w:val="006C6979"/>
    <w:rsid w:val="006C7EAE"/>
    <w:rsid w:val="006C7FEE"/>
    <w:rsid w:val="006D06D1"/>
    <w:rsid w:val="006D0F59"/>
    <w:rsid w:val="006D154F"/>
    <w:rsid w:val="006D4271"/>
    <w:rsid w:val="006D4696"/>
    <w:rsid w:val="006D4952"/>
    <w:rsid w:val="006D4E3C"/>
    <w:rsid w:val="006D506D"/>
    <w:rsid w:val="006D5206"/>
    <w:rsid w:val="006D654A"/>
    <w:rsid w:val="006E2244"/>
    <w:rsid w:val="006E262C"/>
    <w:rsid w:val="006E4B6D"/>
    <w:rsid w:val="006E5980"/>
    <w:rsid w:val="006E6AD0"/>
    <w:rsid w:val="006E7956"/>
    <w:rsid w:val="006F07EB"/>
    <w:rsid w:val="006F114C"/>
    <w:rsid w:val="006F22D5"/>
    <w:rsid w:val="006F294E"/>
    <w:rsid w:val="006F4CC2"/>
    <w:rsid w:val="006F5EF5"/>
    <w:rsid w:val="006F5F86"/>
    <w:rsid w:val="006F6232"/>
    <w:rsid w:val="006F6324"/>
    <w:rsid w:val="006F6AB5"/>
    <w:rsid w:val="006F6E29"/>
    <w:rsid w:val="006F769C"/>
    <w:rsid w:val="006F7C5A"/>
    <w:rsid w:val="007001E2"/>
    <w:rsid w:val="00700C17"/>
    <w:rsid w:val="00700F6F"/>
    <w:rsid w:val="0070105A"/>
    <w:rsid w:val="007024BE"/>
    <w:rsid w:val="00702C3F"/>
    <w:rsid w:val="00703C5D"/>
    <w:rsid w:val="00712D37"/>
    <w:rsid w:val="00714A19"/>
    <w:rsid w:val="00715BD7"/>
    <w:rsid w:val="007206A1"/>
    <w:rsid w:val="007207C4"/>
    <w:rsid w:val="00721EAF"/>
    <w:rsid w:val="007230C1"/>
    <w:rsid w:val="0072316A"/>
    <w:rsid w:val="00723585"/>
    <w:rsid w:val="007259AF"/>
    <w:rsid w:val="00725B20"/>
    <w:rsid w:val="0072781B"/>
    <w:rsid w:val="00727BD1"/>
    <w:rsid w:val="00727EEF"/>
    <w:rsid w:val="00730B32"/>
    <w:rsid w:val="00730F21"/>
    <w:rsid w:val="0073102E"/>
    <w:rsid w:val="007315DA"/>
    <w:rsid w:val="007348E4"/>
    <w:rsid w:val="00735DFF"/>
    <w:rsid w:val="00736537"/>
    <w:rsid w:val="0073679C"/>
    <w:rsid w:val="0073686A"/>
    <w:rsid w:val="0074023F"/>
    <w:rsid w:val="00740B00"/>
    <w:rsid w:val="00741AF4"/>
    <w:rsid w:val="007430E9"/>
    <w:rsid w:val="00744DFC"/>
    <w:rsid w:val="00745B3A"/>
    <w:rsid w:val="00747557"/>
    <w:rsid w:val="00750AC6"/>
    <w:rsid w:val="00751779"/>
    <w:rsid w:val="007519EB"/>
    <w:rsid w:val="00751AC2"/>
    <w:rsid w:val="00751BBC"/>
    <w:rsid w:val="0075386F"/>
    <w:rsid w:val="00753A3D"/>
    <w:rsid w:val="007556EC"/>
    <w:rsid w:val="0075683B"/>
    <w:rsid w:val="007607D3"/>
    <w:rsid w:val="00760930"/>
    <w:rsid w:val="00760C9E"/>
    <w:rsid w:val="00762E21"/>
    <w:rsid w:val="00763687"/>
    <w:rsid w:val="00765192"/>
    <w:rsid w:val="007654B9"/>
    <w:rsid w:val="007667FA"/>
    <w:rsid w:val="0077067C"/>
    <w:rsid w:val="00771976"/>
    <w:rsid w:val="00771B96"/>
    <w:rsid w:val="00773B33"/>
    <w:rsid w:val="007747CB"/>
    <w:rsid w:val="0077508D"/>
    <w:rsid w:val="00776471"/>
    <w:rsid w:val="00781B29"/>
    <w:rsid w:val="00781BAC"/>
    <w:rsid w:val="0078284C"/>
    <w:rsid w:val="00783CA0"/>
    <w:rsid w:val="0078424D"/>
    <w:rsid w:val="00785A98"/>
    <w:rsid w:val="0078690B"/>
    <w:rsid w:val="00786CDA"/>
    <w:rsid w:val="00787136"/>
    <w:rsid w:val="00791F83"/>
    <w:rsid w:val="0079324F"/>
    <w:rsid w:val="00793F9A"/>
    <w:rsid w:val="0079508E"/>
    <w:rsid w:val="007979D2"/>
    <w:rsid w:val="007A0875"/>
    <w:rsid w:val="007A1821"/>
    <w:rsid w:val="007A32DE"/>
    <w:rsid w:val="007A35F9"/>
    <w:rsid w:val="007A52EC"/>
    <w:rsid w:val="007A5F07"/>
    <w:rsid w:val="007A6455"/>
    <w:rsid w:val="007B1BAB"/>
    <w:rsid w:val="007B33C3"/>
    <w:rsid w:val="007B3C01"/>
    <w:rsid w:val="007B43D0"/>
    <w:rsid w:val="007B5100"/>
    <w:rsid w:val="007B6670"/>
    <w:rsid w:val="007B6E96"/>
    <w:rsid w:val="007B6F5B"/>
    <w:rsid w:val="007B74D6"/>
    <w:rsid w:val="007B7D41"/>
    <w:rsid w:val="007C0435"/>
    <w:rsid w:val="007C0C8A"/>
    <w:rsid w:val="007C2E21"/>
    <w:rsid w:val="007C2EA7"/>
    <w:rsid w:val="007C3BE5"/>
    <w:rsid w:val="007C3C62"/>
    <w:rsid w:val="007C4B3F"/>
    <w:rsid w:val="007C5319"/>
    <w:rsid w:val="007C5A93"/>
    <w:rsid w:val="007C629A"/>
    <w:rsid w:val="007D3716"/>
    <w:rsid w:val="007D3AD8"/>
    <w:rsid w:val="007D3C39"/>
    <w:rsid w:val="007D46D5"/>
    <w:rsid w:val="007D76E6"/>
    <w:rsid w:val="007E0522"/>
    <w:rsid w:val="007E06DD"/>
    <w:rsid w:val="007E14B6"/>
    <w:rsid w:val="007E2AAC"/>
    <w:rsid w:val="007E3BA3"/>
    <w:rsid w:val="007E4231"/>
    <w:rsid w:val="007E45D3"/>
    <w:rsid w:val="007E5562"/>
    <w:rsid w:val="007E606E"/>
    <w:rsid w:val="007F0292"/>
    <w:rsid w:val="007F1E8B"/>
    <w:rsid w:val="007F1F9B"/>
    <w:rsid w:val="007F27C6"/>
    <w:rsid w:val="007F2B88"/>
    <w:rsid w:val="007F2DE6"/>
    <w:rsid w:val="007F531E"/>
    <w:rsid w:val="008011DB"/>
    <w:rsid w:val="00801A4C"/>
    <w:rsid w:val="008026AB"/>
    <w:rsid w:val="0080696F"/>
    <w:rsid w:val="00806E62"/>
    <w:rsid w:val="00810082"/>
    <w:rsid w:val="0081071C"/>
    <w:rsid w:val="0081097B"/>
    <w:rsid w:val="00811B9D"/>
    <w:rsid w:val="008121EC"/>
    <w:rsid w:val="00815A25"/>
    <w:rsid w:val="00816799"/>
    <w:rsid w:val="00824657"/>
    <w:rsid w:val="008250EC"/>
    <w:rsid w:val="00826CED"/>
    <w:rsid w:val="00827C77"/>
    <w:rsid w:val="00833996"/>
    <w:rsid w:val="008361E5"/>
    <w:rsid w:val="00840597"/>
    <w:rsid w:val="008415C3"/>
    <w:rsid w:val="00841DD1"/>
    <w:rsid w:val="008437A1"/>
    <w:rsid w:val="00844B22"/>
    <w:rsid w:val="00845FA1"/>
    <w:rsid w:val="00846A38"/>
    <w:rsid w:val="00847C8D"/>
    <w:rsid w:val="00850A97"/>
    <w:rsid w:val="0085251B"/>
    <w:rsid w:val="008533D7"/>
    <w:rsid w:val="0085421D"/>
    <w:rsid w:val="008556E7"/>
    <w:rsid w:val="00855B4D"/>
    <w:rsid w:val="00855F53"/>
    <w:rsid w:val="00856080"/>
    <w:rsid w:val="008562AA"/>
    <w:rsid w:val="008572CE"/>
    <w:rsid w:val="00860036"/>
    <w:rsid w:val="0086006D"/>
    <w:rsid w:val="00860520"/>
    <w:rsid w:val="00860CC7"/>
    <w:rsid w:val="00861D3F"/>
    <w:rsid w:val="008644E1"/>
    <w:rsid w:val="00865B92"/>
    <w:rsid w:val="00866798"/>
    <w:rsid w:val="00866DC3"/>
    <w:rsid w:val="008705A6"/>
    <w:rsid w:val="00870793"/>
    <w:rsid w:val="0087089D"/>
    <w:rsid w:val="00871B66"/>
    <w:rsid w:val="008721C9"/>
    <w:rsid w:val="00872F0B"/>
    <w:rsid w:val="0087326F"/>
    <w:rsid w:val="00874BA6"/>
    <w:rsid w:val="00875280"/>
    <w:rsid w:val="00877ED4"/>
    <w:rsid w:val="00882C61"/>
    <w:rsid w:val="00883295"/>
    <w:rsid w:val="0088388C"/>
    <w:rsid w:val="00884713"/>
    <w:rsid w:val="008847B3"/>
    <w:rsid w:val="0088543F"/>
    <w:rsid w:val="0088648C"/>
    <w:rsid w:val="00890795"/>
    <w:rsid w:val="0089353A"/>
    <w:rsid w:val="00893EA5"/>
    <w:rsid w:val="00894530"/>
    <w:rsid w:val="00895125"/>
    <w:rsid w:val="00895DA9"/>
    <w:rsid w:val="00896D9F"/>
    <w:rsid w:val="00897287"/>
    <w:rsid w:val="00897661"/>
    <w:rsid w:val="008A1825"/>
    <w:rsid w:val="008A2E04"/>
    <w:rsid w:val="008A5837"/>
    <w:rsid w:val="008A5FDE"/>
    <w:rsid w:val="008A645C"/>
    <w:rsid w:val="008B01B8"/>
    <w:rsid w:val="008B1EFE"/>
    <w:rsid w:val="008B1F78"/>
    <w:rsid w:val="008B2E07"/>
    <w:rsid w:val="008B3CE1"/>
    <w:rsid w:val="008B5C92"/>
    <w:rsid w:val="008C0CEE"/>
    <w:rsid w:val="008C418F"/>
    <w:rsid w:val="008C48C0"/>
    <w:rsid w:val="008C6899"/>
    <w:rsid w:val="008C68BF"/>
    <w:rsid w:val="008C74CD"/>
    <w:rsid w:val="008D0E7B"/>
    <w:rsid w:val="008D1237"/>
    <w:rsid w:val="008D12EE"/>
    <w:rsid w:val="008D1375"/>
    <w:rsid w:val="008D22EC"/>
    <w:rsid w:val="008D28EA"/>
    <w:rsid w:val="008D2DCE"/>
    <w:rsid w:val="008D43FB"/>
    <w:rsid w:val="008D51B0"/>
    <w:rsid w:val="008D6301"/>
    <w:rsid w:val="008D69BA"/>
    <w:rsid w:val="008E3148"/>
    <w:rsid w:val="008E3164"/>
    <w:rsid w:val="008E3594"/>
    <w:rsid w:val="008E482C"/>
    <w:rsid w:val="008E502C"/>
    <w:rsid w:val="008E7006"/>
    <w:rsid w:val="008E7700"/>
    <w:rsid w:val="008E7CF0"/>
    <w:rsid w:val="008F0092"/>
    <w:rsid w:val="008F0A2E"/>
    <w:rsid w:val="008F0F07"/>
    <w:rsid w:val="008F1412"/>
    <w:rsid w:val="008F2CB3"/>
    <w:rsid w:val="008F4382"/>
    <w:rsid w:val="008F4DA4"/>
    <w:rsid w:val="008F531D"/>
    <w:rsid w:val="008F5EF6"/>
    <w:rsid w:val="008F73C3"/>
    <w:rsid w:val="00900B76"/>
    <w:rsid w:val="009020B3"/>
    <w:rsid w:val="009025EA"/>
    <w:rsid w:val="0090461C"/>
    <w:rsid w:val="0090500E"/>
    <w:rsid w:val="00906F6A"/>
    <w:rsid w:val="0090719D"/>
    <w:rsid w:val="00910354"/>
    <w:rsid w:val="00911509"/>
    <w:rsid w:val="00912278"/>
    <w:rsid w:val="00912279"/>
    <w:rsid w:val="00913BF1"/>
    <w:rsid w:val="009140D9"/>
    <w:rsid w:val="00914B00"/>
    <w:rsid w:val="0091522F"/>
    <w:rsid w:val="009165C4"/>
    <w:rsid w:val="00917B98"/>
    <w:rsid w:val="0092154D"/>
    <w:rsid w:val="00921A76"/>
    <w:rsid w:val="00922B2A"/>
    <w:rsid w:val="00922F30"/>
    <w:rsid w:val="00923134"/>
    <w:rsid w:val="00925DDA"/>
    <w:rsid w:val="00926461"/>
    <w:rsid w:val="009300E5"/>
    <w:rsid w:val="00931E42"/>
    <w:rsid w:val="00932814"/>
    <w:rsid w:val="00933B11"/>
    <w:rsid w:val="0093474D"/>
    <w:rsid w:val="00936CA5"/>
    <w:rsid w:val="0093787B"/>
    <w:rsid w:val="009436A1"/>
    <w:rsid w:val="00945716"/>
    <w:rsid w:val="0094635A"/>
    <w:rsid w:val="00950328"/>
    <w:rsid w:val="00952405"/>
    <w:rsid w:val="00953435"/>
    <w:rsid w:val="00954185"/>
    <w:rsid w:val="00956B96"/>
    <w:rsid w:val="00956F86"/>
    <w:rsid w:val="00960C7D"/>
    <w:rsid w:val="009614D9"/>
    <w:rsid w:val="009626D9"/>
    <w:rsid w:val="009626ED"/>
    <w:rsid w:val="00963F54"/>
    <w:rsid w:val="00965F65"/>
    <w:rsid w:val="009661B1"/>
    <w:rsid w:val="009668AC"/>
    <w:rsid w:val="00966AAC"/>
    <w:rsid w:val="00970195"/>
    <w:rsid w:val="00970300"/>
    <w:rsid w:val="00970792"/>
    <w:rsid w:val="00971231"/>
    <w:rsid w:val="00973A91"/>
    <w:rsid w:val="009744C5"/>
    <w:rsid w:val="0097744F"/>
    <w:rsid w:val="00980C57"/>
    <w:rsid w:val="0098162D"/>
    <w:rsid w:val="00983E58"/>
    <w:rsid w:val="00984E30"/>
    <w:rsid w:val="00985B51"/>
    <w:rsid w:val="00986562"/>
    <w:rsid w:val="00987B02"/>
    <w:rsid w:val="009907D2"/>
    <w:rsid w:val="0099094F"/>
    <w:rsid w:val="0099241D"/>
    <w:rsid w:val="009932B7"/>
    <w:rsid w:val="00994AD9"/>
    <w:rsid w:val="00995AFD"/>
    <w:rsid w:val="009964A3"/>
    <w:rsid w:val="009976FB"/>
    <w:rsid w:val="009A052D"/>
    <w:rsid w:val="009A6384"/>
    <w:rsid w:val="009B14B8"/>
    <w:rsid w:val="009B21EF"/>
    <w:rsid w:val="009B2388"/>
    <w:rsid w:val="009B474E"/>
    <w:rsid w:val="009B4D51"/>
    <w:rsid w:val="009B5B02"/>
    <w:rsid w:val="009B605B"/>
    <w:rsid w:val="009B6140"/>
    <w:rsid w:val="009C3111"/>
    <w:rsid w:val="009C4BB0"/>
    <w:rsid w:val="009C5ADB"/>
    <w:rsid w:val="009C5EEF"/>
    <w:rsid w:val="009C7087"/>
    <w:rsid w:val="009C780B"/>
    <w:rsid w:val="009D0B9C"/>
    <w:rsid w:val="009D2223"/>
    <w:rsid w:val="009D3B21"/>
    <w:rsid w:val="009D52A9"/>
    <w:rsid w:val="009D57D2"/>
    <w:rsid w:val="009E0A59"/>
    <w:rsid w:val="009E16AD"/>
    <w:rsid w:val="009E1F22"/>
    <w:rsid w:val="009E21AF"/>
    <w:rsid w:val="009E24A9"/>
    <w:rsid w:val="009E34FC"/>
    <w:rsid w:val="009E3768"/>
    <w:rsid w:val="009E4082"/>
    <w:rsid w:val="009E614E"/>
    <w:rsid w:val="009E623B"/>
    <w:rsid w:val="009E6AAC"/>
    <w:rsid w:val="009E6ACC"/>
    <w:rsid w:val="009E7504"/>
    <w:rsid w:val="009E769D"/>
    <w:rsid w:val="009E7A39"/>
    <w:rsid w:val="009F3B02"/>
    <w:rsid w:val="009F43D2"/>
    <w:rsid w:val="009F4965"/>
    <w:rsid w:val="009F56B9"/>
    <w:rsid w:val="009F5813"/>
    <w:rsid w:val="009F74F4"/>
    <w:rsid w:val="00A00010"/>
    <w:rsid w:val="00A0034F"/>
    <w:rsid w:val="00A01AD9"/>
    <w:rsid w:val="00A059B9"/>
    <w:rsid w:val="00A05A3C"/>
    <w:rsid w:val="00A12A91"/>
    <w:rsid w:val="00A13366"/>
    <w:rsid w:val="00A14556"/>
    <w:rsid w:val="00A16905"/>
    <w:rsid w:val="00A2178E"/>
    <w:rsid w:val="00A23DB3"/>
    <w:rsid w:val="00A25346"/>
    <w:rsid w:val="00A26D7A"/>
    <w:rsid w:val="00A31B9C"/>
    <w:rsid w:val="00A320EC"/>
    <w:rsid w:val="00A34140"/>
    <w:rsid w:val="00A35580"/>
    <w:rsid w:val="00A35EA3"/>
    <w:rsid w:val="00A363AB"/>
    <w:rsid w:val="00A4024C"/>
    <w:rsid w:val="00A41E94"/>
    <w:rsid w:val="00A4212F"/>
    <w:rsid w:val="00A435A6"/>
    <w:rsid w:val="00A43613"/>
    <w:rsid w:val="00A43AAA"/>
    <w:rsid w:val="00A45533"/>
    <w:rsid w:val="00A45C34"/>
    <w:rsid w:val="00A47F16"/>
    <w:rsid w:val="00A50D1A"/>
    <w:rsid w:val="00A50E03"/>
    <w:rsid w:val="00A51A30"/>
    <w:rsid w:val="00A51E42"/>
    <w:rsid w:val="00A52A0B"/>
    <w:rsid w:val="00A5473B"/>
    <w:rsid w:val="00A550D7"/>
    <w:rsid w:val="00A566CC"/>
    <w:rsid w:val="00A568FB"/>
    <w:rsid w:val="00A56935"/>
    <w:rsid w:val="00A56D52"/>
    <w:rsid w:val="00A57476"/>
    <w:rsid w:val="00A57BEC"/>
    <w:rsid w:val="00A60DB0"/>
    <w:rsid w:val="00A619A0"/>
    <w:rsid w:val="00A64790"/>
    <w:rsid w:val="00A653A5"/>
    <w:rsid w:val="00A67FC7"/>
    <w:rsid w:val="00A73C63"/>
    <w:rsid w:val="00A74C9E"/>
    <w:rsid w:val="00A755FD"/>
    <w:rsid w:val="00A76D78"/>
    <w:rsid w:val="00A76F71"/>
    <w:rsid w:val="00A77E5E"/>
    <w:rsid w:val="00A822E3"/>
    <w:rsid w:val="00A82437"/>
    <w:rsid w:val="00A8462E"/>
    <w:rsid w:val="00A853F4"/>
    <w:rsid w:val="00A8597D"/>
    <w:rsid w:val="00A8693A"/>
    <w:rsid w:val="00A879B3"/>
    <w:rsid w:val="00A968FA"/>
    <w:rsid w:val="00A97305"/>
    <w:rsid w:val="00A97C17"/>
    <w:rsid w:val="00A97FA2"/>
    <w:rsid w:val="00AA0091"/>
    <w:rsid w:val="00AA15F0"/>
    <w:rsid w:val="00AA24B0"/>
    <w:rsid w:val="00AA27D7"/>
    <w:rsid w:val="00AA2FF6"/>
    <w:rsid w:val="00AA3368"/>
    <w:rsid w:val="00AA5623"/>
    <w:rsid w:val="00AB2B12"/>
    <w:rsid w:val="00AB2E13"/>
    <w:rsid w:val="00AB2F2B"/>
    <w:rsid w:val="00AB35F2"/>
    <w:rsid w:val="00AB5EE5"/>
    <w:rsid w:val="00AB600C"/>
    <w:rsid w:val="00AC003F"/>
    <w:rsid w:val="00AC00EB"/>
    <w:rsid w:val="00AC09B9"/>
    <w:rsid w:val="00AC0B0B"/>
    <w:rsid w:val="00AC0C7C"/>
    <w:rsid w:val="00AC150D"/>
    <w:rsid w:val="00AD13A1"/>
    <w:rsid w:val="00AD2146"/>
    <w:rsid w:val="00AD32C8"/>
    <w:rsid w:val="00AD5225"/>
    <w:rsid w:val="00AD7280"/>
    <w:rsid w:val="00AE0647"/>
    <w:rsid w:val="00AE30FC"/>
    <w:rsid w:val="00AE4577"/>
    <w:rsid w:val="00AF0DFA"/>
    <w:rsid w:val="00AF124B"/>
    <w:rsid w:val="00AF31B3"/>
    <w:rsid w:val="00AF34FE"/>
    <w:rsid w:val="00AF3B8A"/>
    <w:rsid w:val="00AF48E4"/>
    <w:rsid w:val="00AF4B8B"/>
    <w:rsid w:val="00AF5B3C"/>
    <w:rsid w:val="00AF6CC3"/>
    <w:rsid w:val="00AF7D29"/>
    <w:rsid w:val="00B007D2"/>
    <w:rsid w:val="00B00D6B"/>
    <w:rsid w:val="00B0158E"/>
    <w:rsid w:val="00B01AD4"/>
    <w:rsid w:val="00B0314D"/>
    <w:rsid w:val="00B0384E"/>
    <w:rsid w:val="00B042E8"/>
    <w:rsid w:val="00B04A3C"/>
    <w:rsid w:val="00B05FDF"/>
    <w:rsid w:val="00B06A46"/>
    <w:rsid w:val="00B07AB3"/>
    <w:rsid w:val="00B109E9"/>
    <w:rsid w:val="00B13ACB"/>
    <w:rsid w:val="00B142EA"/>
    <w:rsid w:val="00B146A6"/>
    <w:rsid w:val="00B14D59"/>
    <w:rsid w:val="00B14DF3"/>
    <w:rsid w:val="00B165A2"/>
    <w:rsid w:val="00B172A2"/>
    <w:rsid w:val="00B20A45"/>
    <w:rsid w:val="00B227EF"/>
    <w:rsid w:val="00B23C32"/>
    <w:rsid w:val="00B24AD6"/>
    <w:rsid w:val="00B2766D"/>
    <w:rsid w:val="00B27A8E"/>
    <w:rsid w:val="00B320DC"/>
    <w:rsid w:val="00B3259B"/>
    <w:rsid w:val="00B3512E"/>
    <w:rsid w:val="00B35245"/>
    <w:rsid w:val="00B373F6"/>
    <w:rsid w:val="00B40FF9"/>
    <w:rsid w:val="00B41604"/>
    <w:rsid w:val="00B41FFB"/>
    <w:rsid w:val="00B42360"/>
    <w:rsid w:val="00B42386"/>
    <w:rsid w:val="00B43133"/>
    <w:rsid w:val="00B43158"/>
    <w:rsid w:val="00B4319A"/>
    <w:rsid w:val="00B439D9"/>
    <w:rsid w:val="00B43F51"/>
    <w:rsid w:val="00B44B6E"/>
    <w:rsid w:val="00B4660D"/>
    <w:rsid w:val="00B46965"/>
    <w:rsid w:val="00B5164E"/>
    <w:rsid w:val="00B525FD"/>
    <w:rsid w:val="00B531B3"/>
    <w:rsid w:val="00B53217"/>
    <w:rsid w:val="00B53D00"/>
    <w:rsid w:val="00B548A4"/>
    <w:rsid w:val="00B560F4"/>
    <w:rsid w:val="00B61522"/>
    <w:rsid w:val="00B61B64"/>
    <w:rsid w:val="00B62B93"/>
    <w:rsid w:val="00B65870"/>
    <w:rsid w:val="00B65BBD"/>
    <w:rsid w:val="00B66B37"/>
    <w:rsid w:val="00B70939"/>
    <w:rsid w:val="00B71439"/>
    <w:rsid w:val="00B71A34"/>
    <w:rsid w:val="00B72009"/>
    <w:rsid w:val="00B73CE7"/>
    <w:rsid w:val="00B759E9"/>
    <w:rsid w:val="00B7767E"/>
    <w:rsid w:val="00B77AB1"/>
    <w:rsid w:val="00B80C10"/>
    <w:rsid w:val="00B81168"/>
    <w:rsid w:val="00B828CB"/>
    <w:rsid w:val="00B82FA6"/>
    <w:rsid w:val="00B84FBA"/>
    <w:rsid w:val="00B87C75"/>
    <w:rsid w:val="00B90D30"/>
    <w:rsid w:val="00B90E0F"/>
    <w:rsid w:val="00B9403D"/>
    <w:rsid w:val="00B97950"/>
    <w:rsid w:val="00BA07A4"/>
    <w:rsid w:val="00BA32C9"/>
    <w:rsid w:val="00BA47BE"/>
    <w:rsid w:val="00BA4A9E"/>
    <w:rsid w:val="00BA4EDC"/>
    <w:rsid w:val="00BA5BB0"/>
    <w:rsid w:val="00BA725A"/>
    <w:rsid w:val="00BA7381"/>
    <w:rsid w:val="00BB135F"/>
    <w:rsid w:val="00BB1461"/>
    <w:rsid w:val="00BB3EF8"/>
    <w:rsid w:val="00BB3F30"/>
    <w:rsid w:val="00BB5DA7"/>
    <w:rsid w:val="00BB77B7"/>
    <w:rsid w:val="00BC2666"/>
    <w:rsid w:val="00BC6CC3"/>
    <w:rsid w:val="00BC7FDA"/>
    <w:rsid w:val="00BD0120"/>
    <w:rsid w:val="00BD17F4"/>
    <w:rsid w:val="00BD213E"/>
    <w:rsid w:val="00BD258F"/>
    <w:rsid w:val="00BD2710"/>
    <w:rsid w:val="00BD27A6"/>
    <w:rsid w:val="00BD41D6"/>
    <w:rsid w:val="00BD6662"/>
    <w:rsid w:val="00BD73CD"/>
    <w:rsid w:val="00BE0D66"/>
    <w:rsid w:val="00BE27CD"/>
    <w:rsid w:val="00BE4D5A"/>
    <w:rsid w:val="00BE502C"/>
    <w:rsid w:val="00BF0503"/>
    <w:rsid w:val="00BF0670"/>
    <w:rsid w:val="00BF0B6A"/>
    <w:rsid w:val="00BF1EBC"/>
    <w:rsid w:val="00BF22CE"/>
    <w:rsid w:val="00BF2463"/>
    <w:rsid w:val="00BF2D10"/>
    <w:rsid w:val="00BF2F56"/>
    <w:rsid w:val="00BF3417"/>
    <w:rsid w:val="00BF381A"/>
    <w:rsid w:val="00BF436E"/>
    <w:rsid w:val="00BF6592"/>
    <w:rsid w:val="00BF765B"/>
    <w:rsid w:val="00C01DB6"/>
    <w:rsid w:val="00C02289"/>
    <w:rsid w:val="00C06364"/>
    <w:rsid w:val="00C06AA2"/>
    <w:rsid w:val="00C0701E"/>
    <w:rsid w:val="00C114A8"/>
    <w:rsid w:val="00C13586"/>
    <w:rsid w:val="00C1445C"/>
    <w:rsid w:val="00C21994"/>
    <w:rsid w:val="00C225C3"/>
    <w:rsid w:val="00C23FA9"/>
    <w:rsid w:val="00C24137"/>
    <w:rsid w:val="00C30FE3"/>
    <w:rsid w:val="00C31AEE"/>
    <w:rsid w:val="00C335C2"/>
    <w:rsid w:val="00C33679"/>
    <w:rsid w:val="00C3468D"/>
    <w:rsid w:val="00C351D1"/>
    <w:rsid w:val="00C35485"/>
    <w:rsid w:val="00C35519"/>
    <w:rsid w:val="00C355D3"/>
    <w:rsid w:val="00C36CD4"/>
    <w:rsid w:val="00C4144B"/>
    <w:rsid w:val="00C428E4"/>
    <w:rsid w:val="00C42C4A"/>
    <w:rsid w:val="00C42FA6"/>
    <w:rsid w:val="00C43402"/>
    <w:rsid w:val="00C4429B"/>
    <w:rsid w:val="00C447D1"/>
    <w:rsid w:val="00C46354"/>
    <w:rsid w:val="00C507C7"/>
    <w:rsid w:val="00C51334"/>
    <w:rsid w:val="00C5151A"/>
    <w:rsid w:val="00C5270E"/>
    <w:rsid w:val="00C529D6"/>
    <w:rsid w:val="00C52EC7"/>
    <w:rsid w:val="00C533D8"/>
    <w:rsid w:val="00C54067"/>
    <w:rsid w:val="00C56CDB"/>
    <w:rsid w:val="00C576E1"/>
    <w:rsid w:val="00C578D2"/>
    <w:rsid w:val="00C63CAC"/>
    <w:rsid w:val="00C64F36"/>
    <w:rsid w:val="00C65CEC"/>
    <w:rsid w:val="00C66C97"/>
    <w:rsid w:val="00C67F8A"/>
    <w:rsid w:val="00C701EC"/>
    <w:rsid w:val="00C704D4"/>
    <w:rsid w:val="00C70C12"/>
    <w:rsid w:val="00C715ED"/>
    <w:rsid w:val="00C717B2"/>
    <w:rsid w:val="00C77076"/>
    <w:rsid w:val="00C77E2C"/>
    <w:rsid w:val="00C81DB9"/>
    <w:rsid w:val="00C82087"/>
    <w:rsid w:val="00C820B1"/>
    <w:rsid w:val="00C87C98"/>
    <w:rsid w:val="00C900A6"/>
    <w:rsid w:val="00C9151A"/>
    <w:rsid w:val="00C92540"/>
    <w:rsid w:val="00C94568"/>
    <w:rsid w:val="00C94F67"/>
    <w:rsid w:val="00C95979"/>
    <w:rsid w:val="00C95AAA"/>
    <w:rsid w:val="00C95CB7"/>
    <w:rsid w:val="00C973AA"/>
    <w:rsid w:val="00C978CA"/>
    <w:rsid w:val="00C97D07"/>
    <w:rsid w:val="00CA1782"/>
    <w:rsid w:val="00CA26C2"/>
    <w:rsid w:val="00CA3812"/>
    <w:rsid w:val="00CA46F7"/>
    <w:rsid w:val="00CA4857"/>
    <w:rsid w:val="00CA4A55"/>
    <w:rsid w:val="00CA7590"/>
    <w:rsid w:val="00CA7F77"/>
    <w:rsid w:val="00CB0056"/>
    <w:rsid w:val="00CB00C2"/>
    <w:rsid w:val="00CB05C5"/>
    <w:rsid w:val="00CB1FAE"/>
    <w:rsid w:val="00CB2CAD"/>
    <w:rsid w:val="00CB2E03"/>
    <w:rsid w:val="00CB6189"/>
    <w:rsid w:val="00CB748F"/>
    <w:rsid w:val="00CB74E4"/>
    <w:rsid w:val="00CB760B"/>
    <w:rsid w:val="00CB79D8"/>
    <w:rsid w:val="00CC0AE5"/>
    <w:rsid w:val="00CC2BBC"/>
    <w:rsid w:val="00CC2F3B"/>
    <w:rsid w:val="00CC3B03"/>
    <w:rsid w:val="00CC4B58"/>
    <w:rsid w:val="00CC6839"/>
    <w:rsid w:val="00CD00AB"/>
    <w:rsid w:val="00CD0267"/>
    <w:rsid w:val="00CD1257"/>
    <w:rsid w:val="00CD1508"/>
    <w:rsid w:val="00CD2887"/>
    <w:rsid w:val="00CD349A"/>
    <w:rsid w:val="00CD5258"/>
    <w:rsid w:val="00CD6EF1"/>
    <w:rsid w:val="00CD702B"/>
    <w:rsid w:val="00CD73BA"/>
    <w:rsid w:val="00CD7FEC"/>
    <w:rsid w:val="00CE2554"/>
    <w:rsid w:val="00CE3B70"/>
    <w:rsid w:val="00CE4A5E"/>
    <w:rsid w:val="00CE4F79"/>
    <w:rsid w:val="00CE647A"/>
    <w:rsid w:val="00CE7C5D"/>
    <w:rsid w:val="00CE7D20"/>
    <w:rsid w:val="00CF11C6"/>
    <w:rsid w:val="00CF251A"/>
    <w:rsid w:val="00CF25EE"/>
    <w:rsid w:val="00CF2940"/>
    <w:rsid w:val="00CF30F8"/>
    <w:rsid w:val="00CF3296"/>
    <w:rsid w:val="00CF58F3"/>
    <w:rsid w:val="00CF5C3A"/>
    <w:rsid w:val="00CF76BF"/>
    <w:rsid w:val="00CF7AF5"/>
    <w:rsid w:val="00CF7BE8"/>
    <w:rsid w:val="00D00E6F"/>
    <w:rsid w:val="00D013D7"/>
    <w:rsid w:val="00D0158F"/>
    <w:rsid w:val="00D01BAC"/>
    <w:rsid w:val="00D02EA6"/>
    <w:rsid w:val="00D031CE"/>
    <w:rsid w:val="00D03F02"/>
    <w:rsid w:val="00D04271"/>
    <w:rsid w:val="00D05ED8"/>
    <w:rsid w:val="00D06FBE"/>
    <w:rsid w:val="00D10209"/>
    <w:rsid w:val="00D1107E"/>
    <w:rsid w:val="00D11437"/>
    <w:rsid w:val="00D11FD9"/>
    <w:rsid w:val="00D13542"/>
    <w:rsid w:val="00D14063"/>
    <w:rsid w:val="00D14D5E"/>
    <w:rsid w:val="00D1523D"/>
    <w:rsid w:val="00D15907"/>
    <w:rsid w:val="00D2081A"/>
    <w:rsid w:val="00D20ED0"/>
    <w:rsid w:val="00D227DD"/>
    <w:rsid w:val="00D229DC"/>
    <w:rsid w:val="00D22B8C"/>
    <w:rsid w:val="00D23408"/>
    <w:rsid w:val="00D24BA4"/>
    <w:rsid w:val="00D256B4"/>
    <w:rsid w:val="00D26876"/>
    <w:rsid w:val="00D26A33"/>
    <w:rsid w:val="00D26A47"/>
    <w:rsid w:val="00D26F0A"/>
    <w:rsid w:val="00D3010B"/>
    <w:rsid w:val="00D30820"/>
    <w:rsid w:val="00D32478"/>
    <w:rsid w:val="00D34CCE"/>
    <w:rsid w:val="00D3504A"/>
    <w:rsid w:val="00D35538"/>
    <w:rsid w:val="00D368B4"/>
    <w:rsid w:val="00D407E8"/>
    <w:rsid w:val="00D4130F"/>
    <w:rsid w:val="00D43911"/>
    <w:rsid w:val="00D43B8A"/>
    <w:rsid w:val="00D43BA8"/>
    <w:rsid w:val="00D441A8"/>
    <w:rsid w:val="00D45E29"/>
    <w:rsid w:val="00D4654D"/>
    <w:rsid w:val="00D47BB3"/>
    <w:rsid w:val="00D5162D"/>
    <w:rsid w:val="00D51C75"/>
    <w:rsid w:val="00D51FFF"/>
    <w:rsid w:val="00D53926"/>
    <w:rsid w:val="00D5457A"/>
    <w:rsid w:val="00D5511D"/>
    <w:rsid w:val="00D55E1E"/>
    <w:rsid w:val="00D57F32"/>
    <w:rsid w:val="00D60C26"/>
    <w:rsid w:val="00D60F21"/>
    <w:rsid w:val="00D61547"/>
    <w:rsid w:val="00D61A05"/>
    <w:rsid w:val="00D63292"/>
    <w:rsid w:val="00D63F1E"/>
    <w:rsid w:val="00D65962"/>
    <w:rsid w:val="00D65E51"/>
    <w:rsid w:val="00D671DA"/>
    <w:rsid w:val="00D71AA0"/>
    <w:rsid w:val="00D71E68"/>
    <w:rsid w:val="00D73B42"/>
    <w:rsid w:val="00D7481A"/>
    <w:rsid w:val="00D74929"/>
    <w:rsid w:val="00D74E18"/>
    <w:rsid w:val="00D7574E"/>
    <w:rsid w:val="00D7612D"/>
    <w:rsid w:val="00D7672E"/>
    <w:rsid w:val="00D8041C"/>
    <w:rsid w:val="00D80A01"/>
    <w:rsid w:val="00D817B7"/>
    <w:rsid w:val="00D81AB6"/>
    <w:rsid w:val="00D820F8"/>
    <w:rsid w:val="00D84C3D"/>
    <w:rsid w:val="00D86939"/>
    <w:rsid w:val="00D86E93"/>
    <w:rsid w:val="00D9194B"/>
    <w:rsid w:val="00D93756"/>
    <w:rsid w:val="00D975A5"/>
    <w:rsid w:val="00DA135A"/>
    <w:rsid w:val="00DA3204"/>
    <w:rsid w:val="00DA3BF0"/>
    <w:rsid w:val="00DA3DDC"/>
    <w:rsid w:val="00DA485D"/>
    <w:rsid w:val="00DA4CCD"/>
    <w:rsid w:val="00DA6A3E"/>
    <w:rsid w:val="00DB0030"/>
    <w:rsid w:val="00DB0A3B"/>
    <w:rsid w:val="00DB12EB"/>
    <w:rsid w:val="00DB201A"/>
    <w:rsid w:val="00DB4018"/>
    <w:rsid w:val="00DB5C6A"/>
    <w:rsid w:val="00DB6875"/>
    <w:rsid w:val="00DB6B4A"/>
    <w:rsid w:val="00DB6B69"/>
    <w:rsid w:val="00DB6F6D"/>
    <w:rsid w:val="00DB7413"/>
    <w:rsid w:val="00DB76F3"/>
    <w:rsid w:val="00DB7B5D"/>
    <w:rsid w:val="00DB7F8A"/>
    <w:rsid w:val="00DC0F5F"/>
    <w:rsid w:val="00DC208A"/>
    <w:rsid w:val="00DC243F"/>
    <w:rsid w:val="00DC25B0"/>
    <w:rsid w:val="00DC2EF7"/>
    <w:rsid w:val="00DC5C92"/>
    <w:rsid w:val="00DC6534"/>
    <w:rsid w:val="00DD067E"/>
    <w:rsid w:val="00DD1D02"/>
    <w:rsid w:val="00DD4F29"/>
    <w:rsid w:val="00DD5493"/>
    <w:rsid w:val="00DD6FE7"/>
    <w:rsid w:val="00DD7124"/>
    <w:rsid w:val="00DE1E2E"/>
    <w:rsid w:val="00DE1F84"/>
    <w:rsid w:val="00DE4468"/>
    <w:rsid w:val="00DE4E07"/>
    <w:rsid w:val="00DE52E2"/>
    <w:rsid w:val="00DE73E8"/>
    <w:rsid w:val="00DE78F9"/>
    <w:rsid w:val="00DE7BCF"/>
    <w:rsid w:val="00DF0622"/>
    <w:rsid w:val="00DF090C"/>
    <w:rsid w:val="00DF1390"/>
    <w:rsid w:val="00DF1BAA"/>
    <w:rsid w:val="00DF3C99"/>
    <w:rsid w:val="00DF4911"/>
    <w:rsid w:val="00DF6E4E"/>
    <w:rsid w:val="00DF7E4B"/>
    <w:rsid w:val="00E01824"/>
    <w:rsid w:val="00E04376"/>
    <w:rsid w:val="00E05019"/>
    <w:rsid w:val="00E053BB"/>
    <w:rsid w:val="00E055C0"/>
    <w:rsid w:val="00E06EA4"/>
    <w:rsid w:val="00E070AE"/>
    <w:rsid w:val="00E07E2E"/>
    <w:rsid w:val="00E10680"/>
    <w:rsid w:val="00E10F9E"/>
    <w:rsid w:val="00E1115E"/>
    <w:rsid w:val="00E11425"/>
    <w:rsid w:val="00E12792"/>
    <w:rsid w:val="00E128CC"/>
    <w:rsid w:val="00E13479"/>
    <w:rsid w:val="00E169CC"/>
    <w:rsid w:val="00E16B5A"/>
    <w:rsid w:val="00E17578"/>
    <w:rsid w:val="00E17E35"/>
    <w:rsid w:val="00E20587"/>
    <w:rsid w:val="00E23F70"/>
    <w:rsid w:val="00E259FE"/>
    <w:rsid w:val="00E25BF4"/>
    <w:rsid w:val="00E267B4"/>
    <w:rsid w:val="00E30030"/>
    <w:rsid w:val="00E30C15"/>
    <w:rsid w:val="00E319DA"/>
    <w:rsid w:val="00E32019"/>
    <w:rsid w:val="00E32634"/>
    <w:rsid w:val="00E32AF5"/>
    <w:rsid w:val="00E332E5"/>
    <w:rsid w:val="00E345A1"/>
    <w:rsid w:val="00E34F93"/>
    <w:rsid w:val="00E360B4"/>
    <w:rsid w:val="00E362C0"/>
    <w:rsid w:val="00E36C69"/>
    <w:rsid w:val="00E37963"/>
    <w:rsid w:val="00E41356"/>
    <w:rsid w:val="00E415BA"/>
    <w:rsid w:val="00E4161B"/>
    <w:rsid w:val="00E423DA"/>
    <w:rsid w:val="00E431E9"/>
    <w:rsid w:val="00E4590D"/>
    <w:rsid w:val="00E462CF"/>
    <w:rsid w:val="00E46D34"/>
    <w:rsid w:val="00E508E9"/>
    <w:rsid w:val="00E50F94"/>
    <w:rsid w:val="00E517C4"/>
    <w:rsid w:val="00E517E9"/>
    <w:rsid w:val="00E528C1"/>
    <w:rsid w:val="00E53C09"/>
    <w:rsid w:val="00E549B1"/>
    <w:rsid w:val="00E551D8"/>
    <w:rsid w:val="00E55825"/>
    <w:rsid w:val="00E560A3"/>
    <w:rsid w:val="00E565C5"/>
    <w:rsid w:val="00E60F46"/>
    <w:rsid w:val="00E61700"/>
    <w:rsid w:val="00E62B4D"/>
    <w:rsid w:val="00E63136"/>
    <w:rsid w:val="00E6457E"/>
    <w:rsid w:val="00E6525E"/>
    <w:rsid w:val="00E665B1"/>
    <w:rsid w:val="00E67845"/>
    <w:rsid w:val="00E70156"/>
    <w:rsid w:val="00E76CA7"/>
    <w:rsid w:val="00E810D1"/>
    <w:rsid w:val="00E84206"/>
    <w:rsid w:val="00E85B9F"/>
    <w:rsid w:val="00E86459"/>
    <w:rsid w:val="00E871CE"/>
    <w:rsid w:val="00E914A7"/>
    <w:rsid w:val="00E92C0F"/>
    <w:rsid w:val="00E92CB3"/>
    <w:rsid w:val="00E96315"/>
    <w:rsid w:val="00E96F05"/>
    <w:rsid w:val="00EA100B"/>
    <w:rsid w:val="00EA3C49"/>
    <w:rsid w:val="00EA4A39"/>
    <w:rsid w:val="00EA513E"/>
    <w:rsid w:val="00EA5374"/>
    <w:rsid w:val="00EA6E32"/>
    <w:rsid w:val="00EB2842"/>
    <w:rsid w:val="00EB3056"/>
    <w:rsid w:val="00EB5A74"/>
    <w:rsid w:val="00EB7E56"/>
    <w:rsid w:val="00EC09AD"/>
    <w:rsid w:val="00EC0E26"/>
    <w:rsid w:val="00EC3B01"/>
    <w:rsid w:val="00EC49AD"/>
    <w:rsid w:val="00EC5DE0"/>
    <w:rsid w:val="00EC752D"/>
    <w:rsid w:val="00ED0490"/>
    <w:rsid w:val="00ED0571"/>
    <w:rsid w:val="00ED1562"/>
    <w:rsid w:val="00ED1684"/>
    <w:rsid w:val="00ED2245"/>
    <w:rsid w:val="00ED3C89"/>
    <w:rsid w:val="00ED3E0B"/>
    <w:rsid w:val="00ED4E9B"/>
    <w:rsid w:val="00ED55E9"/>
    <w:rsid w:val="00ED6676"/>
    <w:rsid w:val="00ED756A"/>
    <w:rsid w:val="00EE18A5"/>
    <w:rsid w:val="00EE2D81"/>
    <w:rsid w:val="00EE4740"/>
    <w:rsid w:val="00EE4E07"/>
    <w:rsid w:val="00EE69E6"/>
    <w:rsid w:val="00EE70BD"/>
    <w:rsid w:val="00EF1087"/>
    <w:rsid w:val="00EF17AD"/>
    <w:rsid w:val="00EF3B41"/>
    <w:rsid w:val="00EF3F1E"/>
    <w:rsid w:val="00EF4BEC"/>
    <w:rsid w:val="00EF4FF8"/>
    <w:rsid w:val="00EF6978"/>
    <w:rsid w:val="00EF77B9"/>
    <w:rsid w:val="00F013BB"/>
    <w:rsid w:val="00F01449"/>
    <w:rsid w:val="00F01C28"/>
    <w:rsid w:val="00F026AA"/>
    <w:rsid w:val="00F03771"/>
    <w:rsid w:val="00F04297"/>
    <w:rsid w:val="00F07B7E"/>
    <w:rsid w:val="00F1041D"/>
    <w:rsid w:val="00F1358C"/>
    <w:rsid w:val="00F13927"/>
    <w:rsid w:val="00F1397C"/>
    <w:rsid w:val="00F13A46"/>
    <w:rsid w:val="00F15797"/>
    <w:rsid w:val="00F15BA1"/>
    <w:rsid w:val="00F1625C"/>
    <w:rsid w:val="00F1660D"/>
    <w:rsid w:val="00F17170"/>
    <w:rsid w:val="00F2021B"/>
    <w:rsid w:val="00F21826"/>
    <w:rsid w:val="00F24161"/>
    <w:rsid w:val="00F24AA4"/>
    <w:rsid w:val="00F26A5B"/>
    <w:rsid w:val="00F273F6"/>
    <w:rsid w:val="00F3023F"/>
    <w:rsid w:val="00F30555"/>
    <w:rsid w:val="00F30A1A"/>
    <w:rsid w:val="00F31EC5"/>
    <w:rsid w:val="00F32718"/>
    <w:rsid w:val="00F329E1"/>
    <w:rsid w:val="00F37126"/>
    <w:rsid w:val="00F37DE0"/>
    <w:rsid w:val="00F40B34"/>
    <w:rsid w:val="00F40FDE"/>
    <w:rsid w:val="00F41B85"/>
    <w:rsid w:val="00F41BED"/>
    <w:rsid w:val="00F4245A"/>
    <w:rsid w:val="00F434EF"/>
    <w:rsid w:val="00F4379C"/>
    <w:rsid w:val="00F451F2"/>
    <w:rsid w:val="00F46DC1"/>
    <w:rsid w:val="00F50735"/>
    <w:rsid w:val="00F51D2B"/>
    <w:rsid w:val="00F51E3E"/>
    <w:rsid w:val="00F52F1D"/>
    <w:rsid w:val="00F53E9A"/>
    <w:rsid w:val="00F561EE"/>
    <w:rsid w:val="00F56A49"/>
    <w:rsid w:val="00F60D2B"/>
    <w:rsid w:val="00F6404A"/>
    <w:rsid w:val="00F7186C"/>
    <w:rsid w:val="00F72E19"/>
    <w:rsid w:val="00F73E56"/>
    <w:rsid w:val="00F746BD"/>
    <w:rsid w:val="00F75567"/>
    <w:rsid w:val="00F75F5C"/>
    <w:rsid w:val="00F80DE4"/>
    <w:rsid w:val="00F81621"/>
    <w:rsid w:val="00F8435F"/>
    <w:rsid w:val="00F84A17"/>
    <w:rsid w:val="00F86285"/>
    <w:rsid w:val="00F873F1"/>
    <w:rsid w:val="00F906D0"/>
    <w:rsid w:val="00F9386E"/>
    <w:rsid w:val="00F93FFE"/>
    <w:rsid w:val="00F9419D"/>
    <w:rsid w:val="00F94E75"/>
    <w:rsid w:val="00F96D31"/>
    <w:rsid w:val="00F97D34"/>
    <w:rsid w:val="00FA01FE"/>
    <w:rsid w:val="00FA0E2F"/>
    <w:rsid w:val="00FA1C33"/>
    <w:rsid w:val="00FA1F5E"/>
    <w:rsid w:val="00FA7B19"/>
    <w:rsid w:val="00FB2593"/>
    <w:rsid w:val="00FB280F"/>
    <w:rsid w:val="00FB3696"/>
    <w:rsid w:val="00FB57D9"/>
    <w:rsid w:val="00FC1313"/>
    <w:rsid w:val="00FC48DC"/>
    <w:rsid w:val="00FC5D59"/>
    <w:rsid w:val="00FD2D47"/>
    <w:rsid w:val="00FD367E"/>
    <w:rsid w:val="00FD4FD3"/>
    <w:rsid w:val="00FD6EF5"/>
    <w:rsid w:val="00FD6FD6"/>
    <w:rsid w:val="00FD7A07"/>
    <w:rsid w:val="00FD7A6E"/>
    <w:rsid w:val="00FD7D28"/>
    <w:rsid w:val="00FD7EE7"/>
    <w:rsid w:val="00FE17C7"/>
    <w:rsid w:val="00FE38D4"/>
    <w:rsid w:val="00FE6BF1"/>
    <w:rsid w:val="00FE7252"/>
    <w:rsid w:val="00FF020A"/>
    <w:rsid w:val="00FF0DF8"/>
    <w:rsid w:val="00FF152C"/>
    <w:rsid w:val="00FF2AFA"/>
    <w:rsid w:val="00FF3E83"/>
    <w:rsid w:val="00FF4063"/>
    <w:rsid w:val="00FF6799"/>
    <w:rsid w:val="00FF6DAD"/>
    <w:rsid w:val="00FF6F92"/>
    <w:rsid w:val="00FF7A66"/>
    <w:rsid w:val="00F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6CEC73-A8E6-4815-9073-9A01A1C2B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n,Times 12,AY body text,Times 12 Point,10 point,Flush left,Geneva 10,12 point,Flush left Times,Flush left Times  10,Flush left Times 12,Justified,Flush Left"/>
    <w:qFormat/>
    <w:rsid w:val="00034C31"/>
    <w:pPr>
      <w:overflowPunct w:val="0"/>
      <w:autoSpaceDE w:val="0"/>
      <w:autoSpaceDN w:val="0"/>
      <w:adjustRightInd w:val="0"/>
      <w:spacing w:after="0" w:line="240" w:lineRule="auto"/>
      <w:textAlignment w:val="baseline"/>
    </w:pPr>
    <w:rPr>
      <w:rFonts w:ascii="Arial" w:eastAsia="Times New Roman" w:hAnsi="Arial" w:cs="Times"/>
      <w:sz w:val="18"/>
      <w:szCs w:val="24"/>
      <w:lang w:val="en-GB"/>
    </w:rPr>
  </w:style>
  <w:style w:type="paragraph" w:styleId="1">
    <w:name w:val="heading 1"/>
    <w:aliases w:val="numbered indent 1,ni1,h1,Hanging 1 Indent,Header 1,Numbered indent 1"/>
    <w:basedOn w:val="a0"/>
    <w:link w:val="10"/>
    <w:autoRedefine/>
    <w:uiPriority w:val="9"/>
    <w:qFormat/>
    <w:rsid w:val="00E62B4D"/>
    <w:pPr>
      <w:jc w:val="both"/>
      <w:outlineLvl w:val="0"/>
    </w:pPr>
    <w:rPr>
      <w:rFonts w:cs="Arial"/>
      <w:b/>
      <w:sz w:val="20"/>
      <w:szCs w:val="20"/>
      <w:lang w:val="ru-RU"/>
    </w:rPr>
  </w:style>
  <w:style w:type="paragraph" w:styleId="2">
    <w:name w:val="heading 2"/>
    <w:basedOn w:val="a0"/>
    <w:link w:val="20"/>
    <w:qFormat/>
    <w:rsid w:val="00034C31"/>
    <w:pPr>
      <w:numPr>
        <w:numId w:val="9"/>
      </w:numPr>
      <w:outlineLvl w:val="1"/>
    </w:pPr>
    <w:rPr>
      <w:rFonts w:cs="Arial"/>
      <w:b/>
      <w:sz w:val="22"/>
      <w:szCs w:val="20"/>
      <w:lang w:val="ru-RU"/>
    </w:rPr>
  </w:style>
  <w:style w:type="paragraph" w:styleId="30">
    <w:name w:val="heading 3"/>
    <w:basedOn w:val="a0"/>
    <w:link w:val="31"/>
    <w:uiPriority w:val="99"/>
    <w:qFormat/>
    <w:rsid w:val="00034C31"/>
    <w:pPr>
      <w:outlineLvl w:val="2"/>
    </w:pPr>
    <w:rPr>
      <w:i/>
      <w:sz w:val="20"/>
      <w:lang w:val="ru-RU"/>
    </w:rPr>
  </w:style>
  <w:style w:type="paragraph" w:styleId="4">
    <w:name w:val="heading 4"/>
    <w:aliases w:val="Заголовок 311"/>
    <w:basedOn w:val="2normal"/>
    <w:next w:val="a0"/>
    <w:link w:val="40"/>
    <w:uiPriority w:val="9"/>
    <w:qFormat/>
    <w:rsid w:val="00E62B4D"/>
    <w:pPr>
      <w:jc w:val="both"/>
      <w:outlineLvl w:val="3"/>
    </w:pPr>
    <w:rPr>
      <w:rFonts w:cs="Arial"/>
      <w:b/>
      <w:sz w:val="20"/>
      <w:szCs w:val="20"/>
      <w:lang w:val="ru-RU"/>
    </w:rPr>
  </w:style>
  <w:style w:type="paragraph" w:styleId="50">
    <w:name w:val="heading 5"/>
    <w:basedOn w:val="a0"/>
    <w:next w:val="a0"/>
    <w:link w:val="51"/>
    <w:qFormat/>
    <w:rsid w:val="00034C31"/>
    <w:pPr>
      <w:numPr>
        <w:numId w:val="1"/>
      </w:numPr>
      <w:ind w:left="567" w:hanging="567"/>
      <w:outlineLvl w:val="4"/>
    </w:pPr>
    <w:rPr>
      <w:b/>
      <w:i/>
    </w:rPr>
  </w:style>
  <w:style w:type="paragraph" w:styleId="6">
    <w:name w:val="heading 6"/>
    <w:basedOn w:val="a0"/>
    <w:next w:val="a0"/>
    <w:link w:val="60"/>
    <w:qFormat/>
    <w:rsid w:val="00034C31"/>
    <w:pPr>
      <w:keepNext/>
      <w:spacing w:after="200" w:line="280" w:lineRule="atLeast"/>
      <w:outlineLvl w:val="5"/>
    </w:pPr>
  </w:style>
  <w:style w:type="paragraph" w:styleId="7">
    <w:name w:val="heading 7"/>
    <w:basedOn w:val="a0"/>
    <w:next w:val="a0"/>
    <w:link w:val="70"/>
    <w:qFormat/>
    <w:rsid w:val="00034C31"/>
    <w:pPr>
      <w:keepNext/>
      <w:spacing w:after="200" w:line="280" w:lineRule="atLeast"/>
      <w:outlineLvl w:val="6"/>
    </w:pPr>
  </w:style>
  <w:style w:type="paragraph" w:styleId="8">
    <w:name w:val="heading 8"/>
    <w:basedOn w:val="a0"/>
    <w:next w:val="a0"/>
    <w:link w:val="80"/>
    <w:qFormat/>
    <w:rsid w:val="00034C31"/>
    <w:pPr>
      <w:keepNext/>
      <w:spacing w:after="200" w:line="280" w:lineRule="atLeast"/>
      <w:outlineLvl w:val="7"/>
    </w:pPr>
  </w:style>
  <w:style w:type="paragraph" w:styleId="9">
    <w:name w:val="heading 9"/>
    <w:aliases w:val="Продолжение"/>
    <w:basedOn w:val="2normal"/>
    <w:next w:val="a0"/>
    <w:link w:val="90"/>
    <w:uiPriority w:val="9"/>
    <w:qFormat/>
    <w:rsid w:val="00E62B4D"/>
    <w:pPr>
      <w:jc w:val="both"/>
      <w:outlineLvl w:val="8"/>
    </w:pPr>
    <w:rPr>
      <w:rFonts w:cs="Arial"/>
      <w:b/>
      <w:szCs w:val="1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numbered indent 1 Знак,ni1 Знак,h1 Знак,Hanging 1 Indent Знак,Header 1 Знак,Numbered indent 1 Знак"/>
    <w:basedOn w:val="a1"/>
    <w:link w:val="1"/>
    <w:uiPriority w:val="9"/>
    <w:rsid w:val="00E62B4D"/>
    <w:rPr>
      <w:rFonts w:ascii="Arial" w:eastAsia="Times New Roman" w:hAnsi="Arial" w:cs="Arial"/>
      <w:b/>
      <w:sz w:val="20"/>
      <w:szCs w:val="20"/>
    </w:rPr>
  </w:style>
  <w:style w:type="character" w:customStyle="1" w:styleId="20">
    <w:name w:val="Заголовок 2 Знак"/>
    <w:basedOn w:val="a1"/>
    <w:link w:val="2"/>
    <w:rsid w:val="00034C31"/>
    <w:rPr>
      <w:rFonts w:ascii="Arial" w:eastAsia="Times New Roman" w:hAnsi="Arial" w:cs="Arial"/>
      <w:b/>
      <w:szCs w:val="20"/>
    </w:rPr>
  </w:style>
  <w:style w:type="character" w:customStyle="1" w:styleId="31">
    <w:name w:val="Заголовок 3 Знак"/>
    <w:basedOn w:val="a1"/>
    <w:link w:val="30"/>
    <w:uiPriority w:val="99"/>
    <w:rsid w:val="00034C31"/>
    <w:rPr>
      <w:rFonts w:ascii="Arial" w:eastAsia="Times New Roman" w:hAnsi="Arial" w:cs="Times"/>
      <w:i/>
      <w:sz w:val="20"/>
      <w:szCs w:val="24"/>
    </w:rPr>
  </w:style>
  <w:style w:type="character" w:customStyle="1" w:styleId="40">
    <w:name w:val="Заголовок 4 Знак"/>
    <w:aliases w:val="Заголовок 311 Знак"/>
    <w:basedOn w:val="a1"/>
    <w:link w:val="4"/>
    <w:uiPriority w:val="9"/>
    <w:rsid w:val="00E62B4D"/>
    <w:rPr>
      <w:rFonts w:ascii="Arial" w:eastAsia="Times New Roman" w:hAnsi="Arial" w:cs="Arial"/>
      <w:b/>
      <w:sz w:val="20"/>
      <w:szCs w:val="20"/>
    </w:rPr>
  </w:style>
  <w:style w:type="character" w:customStyle="1" w:styleId="51">
    <w:name w:val="Заголовок 5 Знак"/>
    <w:basedOn w:val="a1"/>
    <w:link w:val="50"/>
    <w:rsid w:val="00034C31"/>
    <w:rPr>
      <w:rFonts w:ascii="Arial" w:eastAsia="Times New Roman" w:hAnsi="Arial" w:cs="Times"/>
      <w:b/>
      <w:i/>
      <w:sz w:val="18"/>
      <w:szCs w:val="24"/>
      <w:lang w:val="en-GB"/>
    </w:rPr>
  </w:style>
  <w:style w:type="character" w:customStyle="1" w:styleId="60">
    <w:name w:val="Заголовок 6 Знак"/>
    <w:basedOn w:val="a1"/>
    <w:link w:val="6"/>
    <w:rsid w:val="00034C31"/>
    <w:rPr>
      <w:rFonts w:ascii="Arial" w:eastAsia="Times New Roman" w:hAnsi="Arial" w:cs="Times"/>
      <w:sz w:val="18"/>
      <w:szCs w:val="24"/>
      <w:lang w:val="en-GB"/>
    </w:rPr>
  </w:style>
  <w:style w:type="character" w:customStyle="1" w:styleId="70">
    <w:name w:val="Заголовок 7 Знак"/>
    <w:basedOn w:val="a1"/>
    <w:link w:val="7"/>
    <w:rsid w:val="00034C31"/>
    <w:rPr>
      <w:rFonts w:ascii="Arial" w:eastAsia="Times New Roman" w:hAnsi="Arial" w:cs="Times"/>
      <w:sz w:val="18"/>
      <w:szCs w:val="24"/>
      <w:lang w:val="en-GB"/>
    </w:rPr>
  </w:style>
  <w:style w:type="character" w:customStyle="1" w:styleId="80">
    <w:name w:val="Заголовок 8 Знак"/>
    <w:basedOn w:val="a1"/>
    <w:link w:val="8"/>
    <w:rsid w:val="00034C31"/>
    <w:rPr>
      <w:rFonts w:ascii="Arial" w:eastAsia="Times New Roman" w:hAnsi="Arial" w:cs="Times"/>
      <w:sz w:val="18"/>
      <w:szCs w:val="24"/>
      <w:lang w:val="en-GB"/>
    </w:rPr>
  </w:style>
  <w:style w:type="character" w:customStyle="1" w:styleId="90">
    <w:name w:val="Заголовок 9 Знак"/>
    <w:aliases w:val="Продолжение Знак"/>
    <w:basedOn w:val="a1"/>
    <w:link w:val="9"/>
    <w:uiPriority w:val="9"/>
    <w:rsid w:val="00E62B4D"/>
    <w:rPr>
      <w:rFonts w:ascii="Arial" w:eastAsia="Times New Roman" w:hAnsi="Arial" w:cs="Arial"/>
      <w:b/>
      <w:sz w:val="18"/>
      <w:szCs w:val="18"/>
    </w:rPr>
  </w:style>
  <w:style w:type="character" w:customStyle="1" w:styleId="a4">
    <w:name w:val="Схема документа Знак"/>
    <w:basedOn w:val="a1"/>
    <w:link w:val="a5"/>
    <w:semiHidden/>
    <w:rsid w:val="00034C31"/>
    <w:rPr>
      <w:rFonts w:ascii="Tahoma" w:eastAsia="Times New Roman" w:hAnsi="Tahoma" w:cs="Tahoma"/>
      <w:sz w:val="18"/>
      <w:szCs w:val="24"/>
      <w:shd w:val="clear" w:color="auto" w:fill="000080"/>
      <w:lang w:val="en-GB"/>
    </w:rPr>
  </w:style>
  <w:style w:type="paragraph" w:styleId="a5">
    <w:name w:val="Document Map"/>
    <w:basedOn w:val="a0"/>
    <w:link w:val="a4"/>
    <w:semiHidden/>
    <w:rsid w:val="00034C31"/>
    <w:pPr>
      <w:shd w:val="clear" w:color="auto" w:fill="000080"/>
    </w:pPr>
    <w:rPr>
      <w:rFonts w:ascii="Tahoma" w:hAnsi="Tahoma" w:cs="Tahoma"/>
    </w:rPr>
  </w:style>
  <w:style w:type="character" w:customStyle="1" w:styleId="11">
    <w:name w:val="Схема документа Знак1"/>
    <w:basedOn w:val="a1"/>
    <w:uiPriority w:val="99"/>
    <w:semiHidden/>
    <w:rsid w:val="00034C31"/>
    <w:rPr>
      <w:rFonts w:ascii="Tahoma" w:eastAsia="Times New Roman" w:hAnsi="Tahoma" w:cs="Tahoma"/>
      <w:sz w:val="16"/>
      <w:szCs w:val="16"/>
      <w:lang w:val="en-GB"/>
    </w:rPr>
  </w:style>
  <w:style w:type="paragraph" w:customStyle="1" w:styleId="SingleSpacing">
    <w:name w:val="Single Spacing"/>
    <w:aliases w:val="ss,Single spacing,single spacing,s"/>
    <w:basedOn w:val="a0"/>
    <w:rsid w:val="00034C31"/>
    <w:pPr>
      <w:spacing w:line="280" w:lineRule="atLeast"/>
    </w:pPr>
  </w:style>
  <w:style w:type="paragraph" w:styleId="a6">
    <w:name w:val="caption"/>
    <w:basedOn w:val="a0"/>
    <w:next w:val="a0"/>
    <w:rsid w:val="00034C31"/>
    <w:pPr>
      <w:framePr w:w="6989" w:h="3245" w:hRule="exact" w:hSpace="180" w:wrap="auto" w:vAnchor="text" w:hAnchor="page" w:x="1222" w:y="-337"/>
      <w:ind w:left="1701" w:right="44"/>
      <w:jc w:val="center"/>
    </w:pPr>
    <w:rPr>
      <w:rFonts w:ascii="Times New Roman" w:hAnsi="Times New Roman" w:cs="Times New Roman"/>
      <w:i/>
      <w:iCs/>
    </w:rPr>
  </w:style>
  <w:style w:type="paragraph" w:styleId="a7">
    <w:name w:val="Body Text"/>
    <w:basedOn w:val="a0"/>
    <w:link w:val="a8"/>
    <w:uiPriority w:val="99"/>
    <w:rsid w:val="00034C31"/>
    <w:pPr>
      <w:ind w:right="568"/>
    </w:pPr>
  </w:style>
  <w:style w:type="character" w:customStyle="1" w:styleId="a8">
    <w:name w:val="Основной текст Знак"/>
    <w:basedOn w:val="a1"/>
    <w:link w:val="a7"/>
    <w:uiPriority w:val="99"/>
    <w:rsid w:val="00034C31"/>
    <w:rPr>
      <w:rFonts w:ascii="Arial" w:eastAsia="Times New Roman" w:hAnsi="Arial" w:cs="Times"/>
      <w:sz w:val="18"/>
      <w:szCs w:val="24"/>
      <w:lang w:val="en-GB"/>
    </w:rPr>
  </w:style>
  <w:style w:type="paragraph" w:styleId="a9">
    <w:name w:val="header"/>
    <w:basedOn w:val="a0"/>
    <w:link w:val="aa"/>
    <w:uiPriority w:val="99"/>
    <w:rsid w:val="00034C31"/>
    <w:pPr>
      <w:tabs>
        <w:tab w:val="center" w:pos="4677"/>
        <w:tab w:val="right" w:pos="9355"/>
      </w:tabs>
    </w:pPr>
  </w:style>
  <w:style w:type="character" w:customStyle="1" w:styleId="aa">
    <w:name w:val="Верхний колонтитул Знак"/>
    <w:basedOn w:val="a1"/>
    <w:link w:val="a9"/>
    <w:uiPriority w:val="99"/>
    <w:rsid w:val="00034C31"/>
    <w:rPr>
      <w:rFonts w:ascii="Arial" w:eastAsia="Times New Roman" w:hAnsi="Arial" w:cs="Times"/>
      <w:sz w:val="18"/>
      <w:szCs w:val="24"/>
      <w:lang w:val="en-GB"/>
    </w:rPr>
  </w:style>
  <w:style w:type="paragraph" w:styleId="ab">
    <w:name w:val="footer"/>
    <w:basedOn w:val="a0"/>
    <w:link w:val="ac"/>
    <w:uiPriority w:val="99"/>
    <w:rsid w:val="00034C31"/>
    <w:pPr>
      <w:tabs>
        <w:tab w:val="center" w:pos="4677"/>
        <w:tab w:val="right" w:pos="9355"/>
      </w:tabs>
    </w:pPr>
  </w:style>
  <w:style w:type="character" w:customStyle="1" w:styleId="ac">
    <w:name w:val="Нижний колонтитул Знак"/>
    <w:basedOn w:val="a1"/>
    <w:link w:val="ab"/>
    <w:uiPriority w:val="99"/>
    <w:rsid w:val="00034C31"/>
    <w:rPr>
      <w:rFonts w:ascii="Arial" w:eastAsia="Times New Roman" w:hAnsi="Arial" w:cs="Times"/>
      <w:sz w:val="18"/>
      <w:szCs w:val="24"/>
      <w:lang w:val="en-GB"/>
    </w:rPr>
  </w:style>
  <w:style w:type="paragraph" w:customStyle="1" w:styleId="12">
    <w:name w:val="Обычный1"/>
    <w:basedOn w:val="a0"/>
    <w:rsid w:val="00034C31"/>
    <w:pPr>
      <w:ind w:right="567"/>
      <w:outlineLvl w:val="0"/>
    </w:pPr>
    <w:rPr>
      <w:rFonts w:ascii="Times New Roman" w:hAnsi="Times New Roman" w:cs="Times New Roman"/>
      <w:i/>
      <w:iCs/>
      <w:color w:val="000000"/>
    </w:rPr>
  </w:style>
  <w:style w:type="paragraph" w:customStyle="1" w:styleId="Normaltext">
    <w:name w:val="Normal text"/>
    <w:basedOn w:val="a0"/>
    <w:rsid w:val="00034C31"/>
    <w:pPr>
      <w:spacing w:line="240" w:lineRule="atLeast"/>
      <w:ind w:right="568"/>
    </w:pPr>
    <w:rPr>
      <w:rFonts w:ascii="Times New Roman" w:hAnsi="Times New Roman" w:cs="Times New Roman"/>
    </w:rPr>
  </w:style>
  <w:style w:type="paragraph" w:customStyle="1" w:styleId="HEADING">
    <w:name w:val="HEADING"/>
    <w:basedOn w:val="1"/>
    <w:rsid w:val="00034C31"/>
  </w:style>
  <w:style w:type="paragraph" w:customStyle="1" w:styleId="100FreeStyle">
    <w:name w:val="100 Free Style"/>
    <w:basedOn w:val="a0"/>
    <w:rsid w:val="00034C31"/>
    <w:pPr>
      <w:spacing w:after="200"/>
    </w:pPr>
    <w:rPr>
      <w:rFonts w:ascii="Palatino Linotype" w:hAnsi="Palatino Linotype" w:cs="Times New Roman"/>
      <w:b/>
      <w:bCs/>
      <w:sz w:val="36"/>
      <w:szCs w:val="20"/>
    </w:rPr>
  </w:style>
  <w:style w:type="paragraph" w:customStyle="1" w:styleId="Tabletextbold">
    <w:name w:val="Table text bold"/>
    <w:basedOn w:val="a0"/>
    <w:rsid w:val="00034C31"/>
    <w:pPr>
      <w:ind w:left="177" w:hanging="177"/>
    </w:pPr>
    <w:rPr>
      <w:rFonts w:ascii="Times New Roman" w:hAnsi="Times New Roman"/>
      <w:b/>
      <w:bCs/>
      <w:sz w:val="22"/>
      <w:szCs w:val="22"/>
    </w:rPr>
  </w:style>
  <w:style w:type="paragraph" w:customStyle="1" w:styleId="Tabletext">
    <w:name w:val="Table text"/>
    <w:basedOn w:val="a0"/>
    <w:autoRedefine/>
    <w:rsid w:val="00034C31"/>
    <w:rPr>
      <w:rFonts w:ascii="Times New Roman" w:hAnsi="Times New Roman"/>
    </w:rPr>
  </w:style>
  <w:style w:type="paragraph" w:customStyle="1" w:styleId="000Normal">
    <w:name w:val="000 Normal"/>
    <w:basedOn w:val="a0"/>
    <w:link w:val="000NormalChar"/>
    <w:rsid w:val="00034C31"/>
    <w:pPr>
      <w:spacing w:before="60" w:after="40" w:line="220" w:lineRule="exact"/>
    </w:pPr>
    <w:rPr>
      <w:rFonts w:ascii="Garamond" w:hAnsi="Garamond" w:cs="Times New Roman"/>
      <w:sz w:val="20"/>
      <w:szCs w:val="20"/>
    </w:rPr>
  </w:style>
  <w:style w:type="character" w:customStyle="1" w:styleId="000NormalChar">
    <w:name w:val="000 Normal Char"/>
    <w:basedOn w:val="a1"/>
    <w:link w:val="000Normal"/>
    <w:rsid w:val="00034C31"/>
    <w:rPr>
      <w:rFonts w:ascii="Garamond" w:eastAsia="Times New Roman" w:hAnsi="Garamond" w:cs="Times New Roman"/>
      <w:sz w:val="20"/>
      <w:szCs w:val="20"/>
      <w:lang w:val="en-GB"/>
    </w:rPr>
  </w:style>
  <w:style w:type="paragraph" w:customStyle="1" w:styleId="450HeaderOdd">
    <w:name w:val="450 Header Odd"/>
    <w:basedOn w:val="000Normal"/>
    <w:rsid w:val="00034C31"/>
    <w:pPr>
      <w:pBdr>
        <w:bottom w:val="single" w:sz="4" w:space="1" w:color="auto"/>
      </w:pBdr>
      <w:tabs>
        <w:tab w:val="center" w:pos="4253"/>
        <w:tab w:val="right" w:pos="8505"/>
      </w:tabs>
      <w:spacing w:before="0"/>
    </w:pPr>
  </w:style>
  <w:style w:type="paragraph" w:customStyle="1" w:styleId="460HeaderOdd2">
    <w:name w:val="460 Header Odd 2"/>
    <w:basedOn w:val="000Normal"/>
    <w:rsid w:val="00034C31"/>
    <w:pPr>
      <w:spacing w:before="140" w:after="0" w:line="240" w:lineRule="auto"/>
    </w:pPr>
    <w:rPr>
      <w:b/>
      <w:caps/>
      <w:sz w:val="28"/>
    </w:rPr>
  </w:style>
  <w:style w:type="paragraph" w:customStyle="1" w:styleId="470HeaderOdd3">
    <w:name w:val="470 Header Odd 3"/>
    <w:basedOn w:val="460HeaderOdd2"/>
    <w:rsid w:val="00034C31"/>
    <w:pPr>
      <w:spacing w:before="0"/>
    </w:pPr>
    <w:rPr>
      <w:caps w:val="0"/>
      <w:sz w:val="24"/>
    </w:rPr>
  </w:style>
  <w:style w:type="paragraph" w:customStyle="1" w:styleId="451HeaderEven">
    <w:name w:val="451 Header Even"/>
    <w:basedOn w:val="450HeaderOdd"/>
    <w:rsid w:val="00034C31"/>
  </w:style>
  <w:style w:type="paragraph" w:customStyle="1" w:styleId="230Tablecenter">
    <w:name w:val="230 Table center"/>
    <w:basedOn w:val="a0"/>
    <w:rsid w:val="00034C31"/>
    <w:pPr>
      <w:spacing w:before="20" w:line="200" w:lineRule="exact"/>
      <w:jc w:val="center"/>
    </w:pPr>
    <w:rPr>
      <w:rFonts w:ascii="Garamond" w:hAnsi="Garamond" w:cs="Times New Roman"/>
      <w:sz w:val="20"/>
      <w:szCs w:val="20"/>
    </w:rPr>
  </w:style>
  <w:style w:type="paragraph" w:customStyle="1" w:styleId="210Tableright">
    <w:name w:val="210 Table right"/>
    <w:basedOn w:val="a0"/>
    <w:rsid w:val="00034C31"/>
    <w:pPr>
      <w:spacing w:before="20" w:line="200" w:lineRule="exact"/>
      <w:jc w:val="right"/>
    </w:pPr>
    <w:rPr>
      <w:rFonts w:ascii="Garamond" w:hAnsi="Garamond" w:cs="Times New Roman"/>
      <w:sz w:val="20"/>
      <w:szCs w:val="20"/>
    </w:rPr>
  </w:style>
  <w:style w:type="paragraph" w:customStyle="1" w:styleId="200Tableleft">
    <w:name w:val="200 Table left"/>
    <w:basedOn w:val="000Normal"/>
    <w:rsid w:val="00034C31"/>
    <w:pPr>
      <w:spacing w:before="20" w:after="0" w:line="200" w:lineRule="exact"/>
    </w:pPr>
  </w:style>
  <w:style w:type="paragraph" w:customStyle="1" w:styleId="201Tableleftindent1">
    <w:name w:val="201 Table left indent 1"/>
    <w:basedOn w:val="200Tableleft"/>
    <w:rsid w:val="00034C31"/>
    <w:pPr>
      <w:ind w:left="170" w:hanging="170"/>
    </w:pPr>
  </w:style>
  <w:style w:type="character" w:customStyle="1" w:styleId="900Hyperlink">
    <w:name w:val="900 Hyperlink"/>
    <w:basedOn w:val="a1"/>
    <w:rsid w:val="00034C31"/>
    <w:rPr>
      <w:color w:val="008000"/>
    </w:rPr>
  </w:style>
  <w:style w:type="paragraph" w:customStyle="1" w:styleId="202Tableleftindent2">
    <w:name w:val="202 Table left indent 2"/>
    <w:basedOn w:val="201Tableleftindent1"/>
    <w:rsid w:val="00034C31"/>
    <w:pPr>
      <w:ind w:left="340"/>
    </w:pPr>
  </w:style>
  <w:style w:type="paragraph" w:customStyle="1" w:styleId="010Subheading1">
    <w:name w:val="010 Subheading 1"/>
    <w:basedOn w:val="000Normal"/>
    <w:rsid w:val="00034C31"/>
    <w:pPr>
      <w:numPr>
        <w:numId w:val="2"/>
      </w:numPr>
      <w:spacing w:before="0"/>
    </w:pPr>
  </w:style>
  <w:style w:type="paragraph" w:styleId="21">
    <w:name w:val="Body Text 2"/>
    <w:basedOn w:val="a0"/>
    <w:link w:val="22"/>
    <w:uiPriority w:val="99"/>
    <w:rsid w:val="00034C31"/>
    <w:pPr>
      <w:ind w:right="567"/>
    </w:pPr>
    <w:rPr>
      <w:rFonts w:ascii="Garamond" w:hAnsi="Garamond" w:cs="Times New Roman"/>
      <w:i/>
      <w:iCs/>
      <w:sz w:val="20"/>
      <w:szCs w:val="20"/>
    </w:rPr>
  </w:style>
  <w:style w:type="character" w:customStyle="1" w:styleId="22">
    <w:name w:val="Основной текст 2 Знак"/>
    <w:basedOn w:val="a1"/>
    <w:link w:val="21"/>
    <w:uiPriority w:val="99"/>
    <w:rsid w:val="00034C31"/>
    <w:rPr>
      <w:rFonts w:ascii="Garamond" w:eastAsia="Times New Roman" w:hAnsi="Garamond" w:cs="Times New Roman"/>
      <w:i/>
      <w:iCs/>
      <w:sz w:val="20"/>
      <w:szCs w:val="20"/>
      <w:lang w:val="en-GB"/>
    </w:rPr>
  </w:style>
  <w:style w:type="paragraph" w:styleId="a">
    <w:name w:val="Block Text"/>
    <w:aliases w:val="заголовок 2"/>
    <w:basedOn w:val="1continued"/>
    <w:rsid w:val="00B007D2"/>
    <w:pPr>
      <w:numPr>
        <w:numId w:val="46"/>
      </w:numPr>
      <w:tabs>
        <w:tab w:val="left" w:pos="284"/>
      </w:tabs>
      <w:outlineLvl w:val="0"/>
    </w:pPr>
    <w:rPr>
      <w:sz w:val="22"/>
    </w:rPr>
  </w:style>
  <w:style w:type="paragraph" w:styleId="13">
    <w:name w:val="toc 1"/>
    <w:next w:val="a0"/>
    <w:uiPriority w:val="39"/>
    <w:rsid w:val="00034C31"/>
    <w:pPr>
      <w:overflowPunct w:val="0"/>
      <w:autoSpaceDE w:val="0"/>
      <w:autoSpaceDN w:val="0"/>
      <w:adjustRightInd w:val="0"/>
      <w:spacing w:after="0" w:line="240" w:lineRule="auto"/>
      <w:ind w:left="1531" w:hanging="567"/>
      <w:textAlignment w:val="baseline"/>
    </w:pPr>
    <w:rPr>
      <w:rFonts w:ascii="Arial" w:eastAsia="Times New Roman" w:hAnsi="Arial" w:cs="Times New Roman"/>
      <w:bCs/>
      <w:sz w:val="18"/>
      <w:szCs w:val="24"/>
      <w:lang w:val="en-US"/>
    </w:rPr>
  </w:style>
  <w:style w:type="character" w:customStyle="1" w:styleId="ad">
    <w:name w:val="Текст концевой сноски Знак"/>
    <w:basedOn w:val="a1"/>
    <w:link w:val="ae"/>
    <w:semiHidden/>
    <w:rsid w:val="00034C31"/>
    <w:rPr>
      <w:rFonts w:ascii="Arial" w:eastAsia="Times New Roman" w:hAnsi="Arial" w:cs="Times New Roman"/>
      <w:sz w:val="18"/>
      <w:szCs w:val="20"/>
      <w:lang w:val="en-GB"/>
    </w:rPr>
  </w:style>
  <w:style w:type="paragraph" w:styleId="ae">
    <w:name w:val="endnote text"/>
    <w:basedOn w:val="a0"/>
    <w:link w:val="ad"/>
    <w:semiHidden/>
    <w:rsid w:val="00034C31"/>
    <w:pPr>
      <w:spacing w:after="120"/>
    </w:pPr>
    <w:rPr>
      <w:rFonts w:cs="Times New Roman"/>
      <w:szCs w:val="20"/>
    </w:rPr>
  </w:style>
  <w:style w:type="character" w:customStyle="1" w:styleId="14">
    <w:name w:val="Текст концевой сноски Знак1"/>
    <w:basedOn w:val="a1"/>
    <w:uiPriority w:val="99"/>
    <w:semiHidden/>
    <w:rsid w:val="00034C31"/>
    <w:rPr>
      <w:rFonts w:ascii="Arial" w:eastAsia="Times New Roman" w:hAnsi="Arial" w:cs="Times"/>
      <w:sz w:val="20"/>
      <w:szCs w:val="20"/>
      <w:lang w:val="en-GB"/>
    </w:rPr>
  </w:style>
  <w:style w:type="paragraph" w:customStyle="1" w:styleId="SingleSpacingssSinglespacing">
    <w:name w:val="Single Spacing.ss.Single spacing"/>
    <w:basedOn w:val="a0"/>
    <w:rsid w:val="00034C31"/>
    <w:pPr>
      <w:widowControl w:val="0"/>
      <w:spacing w:line="280" w:lineRule="atLeast"/>
    </w:pPr>
  </w:style>
  <w:style w:type="character" w:styleId="af">
    <w:name w:val="endnote reference"/>
    <w:basedOn w:val="a1"/>
    <w:semiHidden/>
    <w:rsid w:val="00034C31"/>
    <w:rPr>
      <w:vertAlign w:val="superscript"/>
    </w:rPr>
  </w:style>
  <w:style w:type="paragraph" w:styleId="23">
    <w:name w:val="toc 2"/>
    <w:basedOn w:val="a0"/>
    <w:next w:val="a0"/>
    <w:uiPriority w:val="39"/>
    <w:rsid w:val="00034C31"/>
    <w:pPr>
      <w:tabs>
        <w:tab w:val="right" w:pos="8392"/>
      </w:tabs>
      <w:ind w:left="1531" w:hanging="567"/>
    </w:pPr>
    <w:rPr>
      <w:rFonts w:ascii="EYInterstate Light" w:hAnsi="EYInterstate Light" w:cs="Times New Roman"/>
      <w:sz w:val="22"/>
    </w:rPr>
  </w:style>
  <w:style w:type="paragraph" w:styleId="32">
    <w:name w:val="toc 3"/>
    <w:basedOn w:val="a0"/>
    <w:next w:val="a0"/>
    <w:uiPriority w:val="39"/>
    <w:rsid w:val="00034C31"/>
    <w:pPr>
      <w:tabs>
        <w:tab w:val="left" w:pos="1049"/>
        <w:tab w:val="right" w:leader="dot" w:pos="9072"/>
      </w:tabs>
      <w:ind w:left="1049" w:hanging="567"/>
    </w:pPr>
    <w:rPr>
      <w:rFonts w:ascii="Garamond" w:hAnsi="Garamond" w:cs="Times New Roman"/>
      <w:iCs/>
      <w:sz w:val="20"/>
    </w:rPr>
  </w:style>
  <w:style w:type="character" w:styleId="af0">
    <w:name w:val="Hyperlink"/>
    <w:basedOn w:val="a1"/>
    <w:uiPriority w:val="99"/>
    <w:rsid w:val="00034C31"/>
    <w:rPr>
      <w:color w:val="0000FF"/>
      <w:u w:val="single"/>
    </w:rPr>
  </w:style>
  <w:style w:type="paragraph" w:styleId="33">
    <w:name w:val="Body Text 3"/>
    <w:basedOn w:val="a0"/>
    <w:link w:val="34"/>
    <w:rsid w:val="00034C31"/>
    <w:pPr>
      <w:spacing w:line="240" w:lineRule="atLeast"/>
      <w:ind w:right="568"/>
    </w:pPr>
    <w:rPr>
      <w:rFonts w:ascii="Garamond" w:hAnsi="Garamond" w:cs="Times New Roman"/>
      <w:spacing w:val="-2"/>
      <w:sz w:val="20"/>
      <w:szCs w:val="20"/>
    </w:rPr>
  </w:style>
  <w:style w:type="character" w:customStyle="1" w:styleId="34">
    <w:name w:val="Основной текст 3 Знак"/>
    <w:basedOn w:val="a1"/>
    <w:link w:val="33"/>
    <w:rsid w:val="00034C31"/>
    <w:rPr>
      <w:rFonts w:ascii="Garamond" w:eastAsia="Times New Roman" w:hAnsi="Garamond" w:cs="Times New Roman"/>
      <w:spacing w:val="-2"/>
      <w:sz w:val="20"/>
      <w:szCs w:val="20"/>
      <w:lang w:val="en-GB"/>
    </w:rPr>
  </w:style>
  <w:style w:type="paragraph" w:styleId="af1">
    <w:name w:val="table of figures"/>
    <w:basedOn w:val="a0"/>
    <w:next w:val="a0"/>
    <w:semiHidden/>
    <w:rsid w:val="00034C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szCs w:val="20"/>
    </w:rPr>
  </w:style>
  <w:style w:type="character" w:styleId="af2">
    <w:name w:val="FollowedHyperlink"/>
    <w:basedOn w:val="a1"/>
    <w:rsid w:val="00034C31"/>
    <w:rPr>
      <w:color w:val="800080"/>
      <w:u w:val="single"/>
    </w:rPr>
  </w:style>
  <w:style w:type="paragraph" w:customStyle="1" w:styleId="AANumbering">
    <w:name w:val="AA Numbering"/>
    <w:basedOn w:val="a0"/>
    <w:rsid w:val="00034C31"/>
    <w:pPr>
      <w:tabs>
        <w:tab w:val="left" w:pos="284"/>
      </w:tabs>
      <w:overflowPunct/>
      <w:autoSpaceDE/>
      <w:autoSpaceDN/>
      <w:adjustRightInd/>
      <w:spacing w:line="240" w:lineRule="atLeast"/>
      <w:textAlignment w:val="auto"/>
    </w:pPr>
    <w:rPr>
      <w:rFonts w:cs="Times New Roman"/>
      <w:szCs w:val="20"/>
    </w:rPr>
  </w:style>
  <w:style w:type="character" w:styleId="af3">
    <w:name w:val="annotation reference"/>
    <w:basedOn w:val="a1"/>
    <w:uiPriority w:val="99"/>
    <w:semiHidden/>
    <w:rsid w:val="00034C31"/>
    <w:rPr>
      <w:sz w:val="16"/>
      <w:szCs w:val="16"/>
    </w:rPr>
  </w:style>
  <w:style w:type="paragraph" w:styleId="af4">
    <w:name w:val="annotation text"/>
    <w:basedOn w:val="a0"/>
    <w:link w:val="af5"/>
    <w:uiPriority w:val="99"/>
    <w:rsid w:val="00034C31"/>
    <w:rPr>
      <w:sz w:val="20"/>
      <w:szCs w:val="20"/>
    </w:rPr>
  </w:style>
  <w:style w:type="character" w:customStyle="1" w:styleId="af5">
    <w:name w:val="Текст примечания Знак"/>
    <w:basedOn w:val="a1"/>
    <w:link w:val="af4"/>
    <w:uiPriority w:val="99"/>
    <w:rsid w:val="00034C31"/>
    <w:rPr>
      <w:rFonts w:ascii="Arial" w:eastAsia="Times New Roman" w:hAnsi="Arial" w:cs="Times"/>
      <w:sz w:val="20"/>
      <w:szCs w:val="20"/>
      <w:lang w:val="en-GB"/>
    </w:rPr>
  </w:style>
  <w:style w:type="paragraph" w:styleId="af6">
    <w:name w:val="Balloon Text"/>
    <w:basedOn w:val="a0"/>
    <w:link w:val="af7"/>
    <w:uiPriority w:val="99"/>
    <w:semiHidden/>
    <w:rsid w:val="00034C31"/>
    <w:rPr>
      <w:rFonts w:ascii="Tahoma" w:hAnsi="Tahoma" w:cs="Tahoma"/>
      <w:sz w:val="16"/>
      <w:szCs w:val="16"/>
    </w:rPr>
  </w:style>
  <w:style w:type="character" w:customStyle="1" w:styleId="af7">
    <w:name w:val="Текст выноски Знак"/>
    <w:basedOn w:val="a1"/>
    <w:link w:val="af6"/>
    <w:uiPriority w:val="99"/>
    <w:semiHidden/>
    <w:rsid w:val="00034C31"/>
    <w:rPr>
      <w:rFonts w:ascii="Tahoma" w:eastAsia="Times New Roman" w:hAnsi="Tahoma" w:cs="Tahoma"/>
      <w:sz w:val="16"/>
      <w:szCs w:val="16"/>
      <w:lang w:val="en-GB"/>
    </w:rPr>
  </w:style>
  <w:style w:type="paragraph" w:styleId="af8">
    <w:name w:val="footnote text"/>
    <w:basedOn w:val="a0"/>
    <w:link w:val="af9"/>
    <w:semiHidden/>
    <w:rsid w:val="00034C31"/>
    <w:rPr>
      <w:sz w:val="20"/>
      <w:szCs w:val="20"/>
    </w:rPr>
  </w:style>
  <w:style w:type="character" w:customStyle="1" w:styleId="af9">
    <w:name w:val="Текст сноски Знак"/>
    <w:basedOn w:val="a1"/>
    <w:link w:val="af8"/>
    <w:semiHidden/>
    <w:rsid w:val="00034C31"/>
    <w:rPr>
      <w:rFonts w:ascii="Arial" w:eastAsia="Times New Roman" w:hAnsi="Arial" w:cs="Times"/>
      <w:sz w:val="20"/>
      <w:szCs w:val="20"/>
      <w:lang w:val="en-GB"/>
    </w:rPr>
  </w:style>
  <w:style w:type="paragraph" w:customStyle="1" w:styleId="ABLOCKPARA">
    <w:name w:val="A BLOCK PARA"/>
    <w:basedOn w:val="a0"/>
    <w:rsid w:val="00034C31"/>
    <w:pPr>
      <w:overflowPunct/>
      <w:autoSpaceDE/>
      <w:autoSpaceDN/>
      <w:adjustRightInd/>
      <w:textAlignment w:val="auto"/>
    </w:pPr>
    <w:rPr>
      <w:rFonts w:ascii="Book Antiqua" w:hAnsi="Book Antiqua" w:cs="Times New Roman"/>
      <w:sz w:val="22"/>
      <w:szCs w:val="20"/>
    </w:rPr>
  </w:style>
  <w:style w:type="paragraph" w:customStyle="1" w:styleId="ABC-paragrahinNotes">
    <w:name w:val="ABC - paragrah in Notes"/>
    <w:rsid w:val="00034C31"/>
    <w:pPr>
      <w:spacing w:after="240" w:line="240" w:lineRule="auto"/>
      <w:jc w:val="both"/>
    </w:pPr>
    <w:rPr>
      <w:rFonts w:ascii="Times New Roman" w:eastAsia="Times New Roman" w:hAnsi="Times New Roman" w:cs="Times New Roman"/>
      <w:sz w:val="20"/>
      <w:szCs w:val="20"/>
      <w:lang w:val="en-GB"/>
    </w:rPr>
  </w:style>
  <w:style w:type="paragraph" w:customStyle="1" w:styleId="Reportbullets">
    <w:name w:val="Report bullets"/>
    <w:rsid w:val="00034C31"/>
    <w:pPr>
      <w:numPr>
        <w:numId w:val="3"/>
      </w:numPr>
      <w:tabs>
        <w:tab w:val="clear" w:pos="360"/>
        <w:tab w:val="left" w:pos="567"/>
      </w:tabs>
      <w:spacing w:after="240" w:line="240" w:lineRule="auto"/>
      <w:ind w:left="567" w:hanging="567"/>
      <w:jc w:val="both"/>
    </w:pPr>
    <w:rPr>
      <w:rFonts w:ascii="Times New Roman" w:eastAsia="Times New Roman" w:hAnsi="Times New Roman" w:cs="Times New Roman"/>
      <w:sz w:val="20"/>
      <w:szCs w:val="20"/>
      <w:lang w:val="en-GB"/>
    </w:rPr>
  </w:style>
  <w:style w:type="paragraph" w:customStyle="1" w:styleId="ABC-BulletsinNotes">
    <w:name w:val="ABC - Bullets in Notes"/>
    <w:rsid w:val="00034C31"/>
    <w:pPr>
      <w:numPr>
        <w:numId w:val="4"/>
      </w:numPr>
      <w:tabs>
        <w:tab w:val="left" w:pos="851"/>
      </w:tabs>
      <w:spacing w:after="240" w:line="240" w:lineRule="auto"/>
      <w:jc w:val="both"/>
    </w:pPr>
    <w:rPr>
      <w:rFonts w:ascii="Times New Roman" w:eastAsia="Times New Roman" w:hAnsi="Times New Roman" w:cs="Times New Roman"/>
      <w:sz w:val="20"/>
      <w:szCs w:val="20"/>
      <w:lang w:val="en-GB"/>
    </w:rPr>
  </w:style>
  <w:style w:type="character" w:styleId="afa">
    <w:name w:val="page number"/>
    <w:basedOn w:val="a1"/>
    <w:rsid w:val="00034C31"/>
  </w:style>
  <w:style w:type="paragraph" w:customStyle="1" w:styleId="BodySingle">
    <w:name w:val="Body Single"/>
    <w:basedOn w:val="a7"/>
    <w:rsid w:val="00034C31"/>
    <w:pPr>
      <w:overflowPunct/>
      <w:autoSpaceDE/>
      <w:autoSpaceDN/>
      <w:adjustRightInd/>
      <w:spacing w:line="290" w:lineRule="atLeast"/>
      <w:ind w:right="0"/>
      <w:textAlignment w:val="auto"/>
    </w:pPr>
    <w:rPr>
      <w:rFonts w:ascii="Times New Roman" w:hAnsi="Times New Roman" w:cs="Times New Roman"/>
      <w:szCs w:val="20"/>
    </w:rPr>
  </w:style>
  <w:style w:type="paragraph" w:customStyle="1" w:styleId="titlepage">
    <w:name w:val="title page"/>
    <w:basedOn w:val="a0"/>
    <w:next w:val="a0"/>
    <w:rsid w:val="00034C31"/>
    <w:pPr>
      <w:spacing w:line="320" w:lineRule="atLeast"/>
      <w:jc w:val="center"/>
    </w:pPr>
    <w:rPr>
      <w:rFonts w:cs="Times New Roman"/>
      <w:sz w:val="28"/>
      <w:szCs w:val="20"/>
    </w:rPr>
  </w:style>
  <w:style w:type="paragraph" w:customStyle="1" w:styleId="ABC-r-paragraphinNotes">
    <w:name w:val="ABC-r - paragraph in Notes"/>
    <w:rsid w:val="00034C31"/>
    <w:pPr>
      <w:spacing w:after="240" w:line="240" w:lineRule="auto"/>
      <w:jc w:val="both"/>
    </w:pPr>
    <w:rPr>
      <w:rFonts w:ascii="Times New Roman" w:eastAsia="Times New Roman" w:hAnsi="Times New Roman" w:cs="Times New Roman"/>
      <w:sz w:val="20"/>
      <w:szCs w:val="20"/>
    </w:rPr>
  </w:style>
  <w:style w:type="paragraph" w:customStyle="1" w:styleId="ABCFootnote">
    <w:name w:val="ABC Footnote"/>
    <w:basedOn w:val="af8"/>
    <w:rsid w:val="00034C31"/>
    <w:pPr>
      <w:overflowPunct/>
      <w:autoSpaceDE/>
      <w:autoSpaceDN/>
      <w:adjustRightInd/>
      <w:textAlignment w:val="auto"/>
    </w:pPr>
    <w:rPr>
      <w:rFonts w:ascii="Times New Roman" w:hAnsi="Times New Roman" w:cs="Times New Roman"/>
      <w:sz w:val="18"/>
    </w:rPr>
  </w:style>
  <w:style w:type="paragraph" w:customStyle="1" w:styleId="221Tablejustifiedindent1">
    <w:name w:val="221 Table justified indent 1"/>
    <w:basedOn w:val="200Tableleft"/>
    <w:rsid w:val="00034C31"/>
    <w:pPr>
      <w:ind w:left="170" w:hanging="170"/>
      <w:jc w:val="both"/>
    </w:pPr>
  </w:style>
  <w:style w:type="paragraph" w:styleId="3">
    <w:name w:val="List Number 3"/>
    <w:basedOn w:val="a0"/>
    <w:rsid w:val="00034C31"/>
    <w:pPr>
      <w:numPr>
        <w:numId w:val="5"/>
      </w:numPr>
      <w:spacing w:line="220" w:lineRule="exact"/>
    </w:pPr>
    <w:rPr>
      <w:rFonts w:ascii="Garamond" w:hAnsi="Garamond" w:cs="Times New Roman"/>
      <w:sz w:val="20"/>
      <w:szCs w:val="20"/>
    </w:rPr>
  </w:style>
  <w:style w:type="paragraph" w:styleId="5">
    <w:name w:val="List Bullet 5"/>
    <w:basedOn w:val="a0"/>
    <w:autoRedefine/>
    <w:rsid w:val="00034C31"/>
    <w:pPr>
      <w:numPr>
        <w:numId w:val="6"/>
      </w:numPr>
      <w:spacing w:line="220" w:lineRule="exact"/>
    </w:pPr>
    <w:rPr>
      <w:rFonts w:ascii="Garamond" w:hAnsi="Garamond" w:cs="Times New Roman"/>
      <w:sz w:val="20"/>
      <w:szCs w:val="20"/>
    </w:rPr>
  </w:style>
  <w:style w:type="paragraph" w:customStyle="1" w:styleId="000standaarduitvullen">
    <w:name w:val="000.standaard uitvullen"/>
    <w:basedOn w:val="a0"/>
    <w:rsid w:val="00034C31"/>
    <w:pPr>
      <w:spacing w:line="280" w:lineRule="atLeast"/>
    </w:pPr>
    <w:rPr>
      <w:rFonts w:cs="Times New Roman"/>
      <w:szCs w:val="20"/>
    </w:rPr>
  </w:style>
  <w:style w:type="paragraph" w:customStyle="1" w:styleId="ps-000-normal-indent-1">
    <w:name w:val="ps-000-normal-indent-1"/>
    <w:basedOn w:val="a0"/>
    <w:rsid w:val="00034C31"/>
    <w:pPr>
      <w:overflowPunct/>
      <w:autoSpaceDE/>
      <w:autoSpaceDN/>
      <w:adjustRightInd/>
      <w:spacing w:before="100" w:after="100"/>
      <w:ind w:left="640"/>
      <w:textAlignment w:val="auto"/>
    </w:pPr>
    <w:rPr>
      <w:rFonts w:ascii="Verdana" w:hAnsi="Verdana" w:cs="Times New Roman"/>
      <w:color w:val="000000"/>
      <w:sz w:val="20"/>
      <w:szCs w:val="20"/>
      <w:lang w:val="ru-RU" w:eastAsia="ru-RU"/>
    </w:rPr>
  </w:style>
  <w:style w:type="paragraph" w:customStyle="1" w:styleId="ps-004-normal-center">
    <w:name w:val="ps-004-normal-center"/>
    <w:basedOn w:val="a0"/>
    <w:rsid w:val="00034C31"/>
    <w:pPr>
      <w:overflowPunct/>
      <w:autoSpaceDE/>
      <w:autoSpaceDN/>
      <w:adjustRightInd/>
      <w:spacing w:before="100" w:after="100"/>
      <w:jc w:val="center"/>
      <w:textAlignment w:val="auto"/>
    </w:pPr>
    <w:rPr>
      <w:rFonts w:ascii="Verdana" w:hAnsi="Verdana" w:cs="Times New Roman"/>
      <w:color w:val="000000"/>
      <w:sz w:val="20"/>
      <w:szCs w:val="20"/>
      <w:lang w:val="ru-RU" w:eastAsia="ru-RU"/>
    </w:rPr>
  </w:style>
  <w:style w:type="character" w:customStyle="1" w:styleId="cs-914-background-shading1">
    <w:name w:val="cs-914-background-shading1"/>
    <w:basedOn w:val="a1"/>
    <w:rsid w:val="00034C31"/>
    <w:rPr>
      <w:shd w:val="clear" w:color="auto" w:fill="C0C0C0"/>
    </w:rPr>
  </w:style>
  <w:style w:type="paragraph" w:customStyle="1" w:styleId="body">
    <w:name w:val="body"/>
    <w:basedOn w:val="a0"/>
    <w:link w:val="bodyChar"/>
    <w:rsid w:val="00034C31"/>
    <w:pPr>
      <w:spacing w:after="120" w:line="240" w:lineRule="exact"/>
    </w:pPr>
    <w:rPr>
      <w:rFonts w:ascii="Times New Roman" w:hAnsi="Times New Roman" w:cs="Times New Roman"/>
      <w:color w:val="000000"/>
      <w:sz w:val="20"/>
      <w:szCs w:val="20"/>
    </w:rPr>
  </w:style>
  <w:style w:type="character" w:customStyle="1" w:styleId="bodyChar">
    <w:name w:val="body Char"/>
    <w:basedOn w:val="a1"/>
    <w:link w:val="body"/>
    <w:rsid w:val="00034C31"/>
    <w:rPr>
      <w:rFonts w:ascii="Times New Roman" w:eastAsia="Times New Roman" w:hAnsi="Times New Roman" w:cs="Times New Roman"/>
      <w:color w:val="000000"/>
      <w:sz w:val="20"/>
      <w:szCs w:val="20"/>
      <w:lang w:val="en-GB"/>
    </w:rPr>
  </w:style>
  <w:style w:type="paragraph" w:customStyle="1" w:styleId="font6">
    <w:name w:val="font6"/>
    <w:basedOn w:val="a0"/>
    <w:rsid w:val="00034C31"/>
    <w:pPr>
      <w:overflowPunct/>
      <w:autoSpaceDE/>
      <w:autoSpaceDN/>
      <w:adjustRightInd/>
      <w:spacing w:before="100" w:beforeAutospacing="1" w:after="100" w:afterAutospacing="1"/>
      <w:textAlignment w:val="auto"/>
    </w:pPr>
    <w:rPr>
      <w:rFonts w:ascii="Tahoma" w:eastAsia="Arial Unicode MS" w:hAnsi="Tahoma" w:cs="Tahoma"/>
      <w:b/>
      <w:bCs/>
      <w:color w:val="000000"/>
      <w:sz w:val="16"/>
      <w:szCs w:val="16"/>
      <w:lang w:val="en-US"/>
    </w:rPr>
  </w:style>
  <w:style w:type="paragraph" w:customStyle="1" w:styleId="Indent3">
    <w:name w:val="Indent 3"/>
    <w:basedOn w:val="a0"/>
    <w:rsid w:val="00034C31"/>
    <w:pPr>
      <w:numPr>
        <w:numId w:val="7"/>
      </w:numPr>
      <w:tabs>
        <w:tab w:val="clear" w:pos="425"/>
        <w:tab w:val="left" w:pos="-1440"/>
        <w:tab w:val="num" w:pos="709"/>
      </w:tabs>
      <w:suppressAutoHyphens/>
      <w:ind w:left="709"/>
    </w:pPr>
    <w:rPr>
      <w:rFonts w:ascii="Times New Roman" w:hAnsi="Times New Roman" w:cs="Times New Roman"/>
      <w:sz w:val="20"/>
      <w:szCs w:val="20"/>
    </w:rPr>
  </w:style>
  <w:style w:type="paragraph" w:customStyle="1" w:styleId="StylebodyEYGothicCondDemi">
    <w:name w:val="Style body + EY Gothic Cond Demi"/>
    <w:basedOn w:val="body"/>
    <w:rsid w:val="00034C31"/>
    <w:rPr>
      <w:rFonts w:ascii="EY Gothic Comp Book" w:hAnsi="EY Gothic Comp Book"/>
    </w:rPr>
  </w:style>
  <w:style w:type="paragraph" w:customStyle="1" w:styleId="SingleParaAlt">
    <w:name w:val="Single Para Alt"/>
    <w:aliases w:val="spa"/>
    <w:basedOn w:val="a0"/>
    <w:rsid w:val="00034C31"/>
    <w:pPr>
      <w:overflowPunct/>
      <w:spacing w:before="200" w:after="200"/>
      <w:ind w:firstLine="720"/>
      <w:textAlignment w:val="auto"/>
    </w:pPr>
    <w:rPr>
      <w:rFonts w:ascii="Times New Roman" w:eastAsia="SimSun" w:hAnsi="Times New Roman" w:cs="Times New Roman"/>
      <w:sz w:val="20"/>
      <w:szCs w:val="18"/>
      <w:lang w:val="en-US" w:eastAsia="zh-CN" w:bidi="he-IL"/>
    </w:rPr>
  </w:style>
  <w:style w:type="character" w:customStyle="1" w:styleId="NotesbodytextChar">
    <w:name w:val="Notes body text Char"/>
    <w:basedOn w:val="a1"/>
    <w:link w:val="Notesbodytext"/>
    <w:locked/>
    <w:rsid w:val="00034C31"/>
    <w:rPr>
      <w:rFonts w:ascii="EYInterstate Light" w:hAnsi="EYInterstate Light" w:cs="Arial"/>
      <w:color w:val="000000"/>
      <w:sz w:val="18"/>
      <w:lang w:val="en-GB"/>
    </w:rPr>
  </w:style>
  <w:style w:type="paragraph" w:customStyle="1" w:styleId="Notesbodytext">
    <w:name w:val="Notes body text"/>
    <w:basedOn w:val="a7"/>
    <w:link w:val="NotesbodytextChar"/>
    <w:rsid w:val="00034C31"/>
    <w:pPr>
      <w:spacing w:after="120" w:line="240" w:lineRule="exact"/>
      <w:ind w:right="0"/>
      <w:textAlignment w:val="auto"/>
    </w:pPr>
    <w:rPr>
      <w:rFonts w:ascii="EYInterstate Light" w:eastAsiaTheme="minorHAnsi" w:hAnsi="EYInterstate Light" w:cs="Arial"/>
      <w:color w:val="000000"/>
      <w:szCs w:val="22"/>
    </w:rPr>
  </w:style>
  <w:style w:type="character" w:customStyle="1" w:styleId="NotesbulletpointChar">
    <w:name w:val="Notes bullet point Char"/>
    <w:basedOn w:val="a1"/>
    <w:link w:val="Notesbulletpoint"/>
    <w:locked/>
    <w:rsid w:val="00034C31"/>
    <w:rPr>
      <w:rFonts w:ascii="EYInterstate Light" w:hAnsi="EYInterstate Light"/>
      <w:sz w:val="18"/>
      <w:lang w:val="en-GB"/>
    </w:rPr>
  </w:style>
  <w:style w:type="paragraph" w:customStyle="1" w:styleId="Notesbulletpoint">
    <w:name w:val="Notes bullet point"/>
    <w:link w:val="NotesbulletpointChar"/>
    <w:rsid w:val="00034C31"/>
    <w:pPr>
      <w:tabs>
        <w:tab w:val="num" w:pos="461"/>
      </w:tabs>
      <w:spacing w:after="120" w:line="240" w:lineRule="auto"/>
      <w:ind w:left="459"/>
    </w:pPr>
    <w:rPr>
      <w:rFonts w:ascii="EYInterstate Light" w:hAnsi="EYInterstate Light"/>
      <w:sz w:val="18"/>
      <w:lang w:val="en-GB"/>
    </w:rPr>
  </w:style>
  <w:style w:type="paragraph" w:customStyle="1" w:styleId="tablebullet">
    <w:name w:val="table bullet"/>
    <w:basedOn w:val="a0"/>
    <w:rsid w:val="00034C31"/>
    <w:pPr>
      <w:numPr>
        <w:numId w:val="8"/>
      </w:numPr>
      <w:spacing w:line="220" w:lineRule="exact"/>
      <w:textAlignment w:val="auto"/>
    </w:pPr>
    <w:rPr>
      <w:rFonts w:ascii="EYInterstate Light" w:hAnsi="EYInterstate Light" w:cs="Times New Roman"/>
      <w:szCs w:val="20"/>
    </w:rPr>
  </w:style>
  <w:style w:type="paragraph" w:customStyle="1" w:styleId="Notesitalicheading">
    <w:name w:val="Notes italic heading"/>
    <w:basedOn w:val="Notesbodytext"/>
    <w:link w:val="NotesitalicheadingChar"/>
    <w:rsid w:val="00034C31"/>
    <w:pPr>
      <w:spacing w:after="0"/>
    </w:pPr>
    <w:rPr>
      <w:b/>
      <w:i/>
    </w:rPr>
  </w:style>
  <w:style w:type="character" w:customStyle="1" w:styleId="NotesitalicheadingChar">
    <w:name w:val="Notes italic heading Char"/>
    <w:basedOn w:val="NotesbodytextChar"/>
    <w:link w:val="Notesitalicheading"/>
    <w:locked/>
    <w:rsid w:val="00034C31"/>
    <w:rPr>
      <w:rFonts w:ascii="EYInterstate Light" w:hAnsi="EYInterstate Light" w:cs="Arial"/>
      <w:b/>
      <w:i/>
      <w:color w:val="000000"/>
      <w:sz w:val="18"/>
      <w:lang w:val="en-GB"/>
    </w:rPr>
  </w:style>
  <w:style w:type="character" w:customStyle="1" w:styleId="tabletextChar">
    <w:name w:val="table text Char"/>
    <w:basedOn w:val="a1"/>
    <w:link w:val="tabletext0"/>
    <w:rsid w:val="00034C31"/>
    <w:rPr>
      <w:rFonts w:ascii="EYInterstate Light" w:hAnsi="EYInterstate Light"/>
      <w:sz w:val="18"/>
      <w:lang w:val="en-GB"/>
    </w:rPr>
  </w:style>
  <w:style w:type="paragraph" w:customStyle="1" w:styleId="tabletext0">
    <w:name w:val="table text"/>
    <w:link w:val="tabletextChar"/>
    <w:rsid w:val="00034C31"/>
    <w:pPr>
      <w:spacing w:after="0" w:line="220" w:lineRule="exact"/>
    </w:pPr>
    <w:rPr>
      <w:rFonts w:ascii="EYInterstate Light" w:hAnsi="EYInterstate Light"/>
      <w:sz w:val="18"/>
      <w:lang w:val="en-GB"/>
    </w:rPr>
  </w:style>
  <w:style w:type="paragraph" w:customStyle="1" w:styleId="Tablecolumnheading">
    <w:name w:val="Table column heading"/>
    <w:next w:val="tabletext0"/>
    <w:rsid w:val="00034C31"/>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IAStext">
    <w:name w:val="IAS text"/>
    <w:next w:val="a0"/>
    <w:link w:val="IAStextChar"/>
    <w:rsid w:val="00034C31"/>
    <w:pPr>
      <w:spacing w:after="0" w:line="180" w:lineRule="exact"/>
    </w:pPr>
    <w:rPr>
      <w:rFonts w:ascii="EYInterstate Light" w:eastAsia="Times New Roman" w:hAnsi="EYInterstate Light" w:cs="Times New Roman"/>
      <w:i/>
      <w:sz w:val="13"/>
      <w:szCs w:val="20"/>
      <w:lang w:val="en-GB"/>
    </w:rPr>
  </w:style>
  <w:style w:type="character" w:customStyle="1" w:styleId="IAStextChar">
    <w:name w:val="IAS text Char"/>
    <w:basedOn w:val="tabletextChar"/>
    <w:link w:val="IAStext"/>
    <w:rsid w:val="00034C31"/>
    <w:rPr>
      <w:rFonts w:ascii="EYInterstate Light" w:eastAsia="Times New Roman" w:hAnsi="EYInterstate Light" w:cs="Times New Roman"/>
      <w:i/>
      <w:sz w:val="13"/>
      <w:szCs w:val="20"/>
      <w:lang w:val="en-GB"/>
    </w:rPr>
  </w:style>
  <w:style w:type="paragraph" w:customStyle="1" w:styleId="Commentarybody">
    <w:name w:val="Commentary body"/>
    <w:link w:val="CommentarybodyChar"/>
    <w:rsid w:val="00034C31"/>
    <w:pPr>
      <w:spacing w:after="60" w:line="220" w:lineRule="exact"/>
      <w:ind w:right="454"/>
    </w:pPr>
    <w:rPr>
      <w:rFonts w:ascii="EYInterstate Light" w:eastAsia="Times New Roman" w:hAnsi="EYInterstate Light" w:cs="Arial"/>
      <w:color w:val="000000"/>
      <w:sz w:val="16"/>
      <w:szCs w:val="20"/>
      <w:lang w:val="en-GB"/>
    </w:rPr>
  </w:style>
  <w:style w:type="character" w:customStyle="1" w:styleId="CommentarybodyChar">
    <w:name w:val="Commentary body Char"/>
    <w:basedOn w:val="a1"/>
    <w:link w:val="Commentarybody"/>
    <w:rsid w:val="00034C31"/>
    <w:rPr>
      <w:rFonts w:ascii="EYInterstate Light" w:eastAsia="Times New Roman" w:hAnsi="EYInterstate Light" w:cs="Arial"/>
      <w:color w:val="000000"/>
      <w:sz w:val="16"/>
      <w:szCs w:val="20"/>
      <w:lang w:val="en-GB"/>
    </w:rPr>
  </w:style>
  <w:style w:type="character" w:customStyle="1" w:styleId="tabletxteygChar">
    <w:name w:val="tabletxt eyg Char"/>
    <w:basedOn w:val="a1"/>
    <w:link w:val="tabletxteyg"/>
    <w:semiHidden/>
    <w:rsid w:val="00034C31"/>
    <w:rPr>
      <w:rFonts w:ascii="EY Gothic Comp BookPS" w:hAnsi="EY Gothic Comp BookPS"/>
      <w:color w:val="000000"/>
      <w:lang w:val="en-GB"/>
    </w:rPr>
  </w:style>
  <w:style w:type="paragraph" w:customStyle="1" w:styleId="tabletxteyg">
    <w:name w:val="tabletxt eyg"/>
    <w:basedOn w:val="a0"/>
    <w:link w:val="tabletxteygChar"/>
    <w:semiHidden/>
    <w:rsid w:val="00034C31"/>
    <w:pPr>
      <w:tabs>
        <w:tab w:val="right" w:leader="dot" w:pos="9739"/>
      </w:tabs>
      <w:spacing w:before="20" w:after="40" w:line="240" w:lineRule="exact"/>
    </w:pPr>
    <w:rPr>
      <w:rFonts w:ascii="EY Gothic Comp BookPS" w:eastAsiaTheme="minorHAnsi" w:hAnsi="EY Gothic Comp BookPS" w:cstheme="minorBidi"/>
      <w:color w:val="000000"/>
      <w:sz w:val="22"/>
      <w:szCs w:val="22"/>
    </w:rPr>
  </w:style>
  <w:style w:type="paragraph" w:styleId="24">
    <w:name w:val="List Bullet 2"/>
    <w:basedOn w:val="a0"/>
    <w:rsid w:val="00034C31"/>
    <w:pPr>
      <w:contextualSpacing/>
    </w:pPr>
  </w:style>
  <w:style w:type="paragraph" w:styleId="afb">
    <w:name w:val="annotation subject"/>
    <w:basedOn w:val="af4"/>
    <w:next w:val="af4"/>
    <w:link w:val="afc"/>
    <w:uiPriority w:val="99"/>
    <w:rsid w:val="00034C31"/>
    <w:rPr>
      <w:b/>
      <w:bCs/>
    </w:rPr>
  </w:style>
  <w:style w:type="character" w:customStyle="1" w:styleId="afc">
    <w:name w:val="Тема примечания Знак"/>
    <w:basedOn w:val="af5"/>
    <w:link w:val="afb"/>
    <w:uiPriority w:val="99"/>
    <w:rsid w:val="00034C31"/>
    <w:rPr>
      <w:rFonts w:ascii="Arial" w:eastAsia="Times New Roman" w:hAnsi="Arial" w:cs="Times"/>
      <w:b/>
      <w:bCs/>
      <w:sz w:val="20"/>
      <w:szCs w:val="20"/>
      <w:lang w:val="en-GB"/>
    </w:rPr>
  </w:style>
  <w:style w:type="paragraph" w:customStyle="1" w:styleId="Default">
    <w:name w:val="Default"/>
    <w:rsid w:val="00034C31"/>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G-SingleSp05">
    <w:name w:val="CG-Single Sp 0.5"/>
    <w:aliases w:val="s2"/>
    <w:basedOn w:val="a0"/>
    <w:rsid w:val="00034C31"/>
    <w:pPr>
      <w:overflowPunct/>
      <w:autoSpaceDE/>
      <w:autoSpaceDN/>
      <w:adjustRightInd/>
      <w:spacing w:after="240"/>
      <w:ind w:firstLine="720"/>
      <w:textAlignment w:val="auto"/>
    </w:pPr>
    <w:rPr>
      <w:rFonts w:ascii="Times New Roman" w:eastAsia="MS Mincho" w:hAnsi="Times New Roman" w:cs="Times New Roman"/>
      <w:sz w:val="24"/>
      <w:szCs w:val="20"/>
      <w:lang w:val="en-US"/>
    </w:rPr>
  </w:style>
  <w:style w:type="paragraph" w:styleId="afd">
    <w:name w:val="List Paragraph"/>
    <w:basedOn w:val="a0"/>
    <w:uiPriority w:val="34"/>
    <w:qFormat/>
    <w:rsid w:val="00034C31"/>
    <w:pPr>
      <w:ind w:left="720"/>
      <w:contextualSpacing/>
    </w:pPr>
  </w:style>
  <w:style w:type="paragraph" w:styleId="afe">
    <w:name w:val="Revision"/>
    <w:hidden/>
    <w:uiPriority w:val="99"/>
    <w:semiHidden/>
    <w:rsid w:val="00034C31"/>
    <w:pPr>
      <w:spacing w:after="0" w:line="240" w:lineRule="auto"/>
    </w:pPr>
    <w:rPr>
      <w:rFonts w:ascii="Arial" w:eastAsia="Times New Roman" w:hAnsi="Arial" w:cs="Times"/>
      <w:sz w:val="18"/>
      <w:szCs w:val="24"/>
      <w:lang w:val="en-GB"/>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4C31"/>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customStyle="1" w:styleId="tblHeaderText">
    <w:name w:val="tbl'HeaderText"/>
    <w:basedOn w:val="a0"/>
    <w:rsid w:val="00034C31"/>
    <w:pPr>
      <w:overflowPunct/>
      <w:autoSpaceDE/>
      <w:autoSpaceDN/>
      <w:adjustRightInd/>
      <w:jc w:val="center"/>
      <w:textAlignment w:val="auto"/>
    </w:pPr>
    <w:rPr>
      <w:rFonts w:ascii="Times New Roman" w:eastAsia="Arial Unicode MS" w:hAnsi="Times New Roman" w:cs="Times New Roman"/>
      <w:b/>
      <w:spacing w:val="-2"/>
      <w:sz w:val="20"/>
      <w:szCs w:val="20"/>
      <w:lang w:val="ru-RU" w:eastAsia="ru-RU" w:bidi="ru-RU"/>
    </w:rPr>
  </w:style>
  <w:style w:type="paragraph" w:customStyle="1" w:styleId="tblNumber01">
    <w:name w:val="tbl'Number_01"/>
    <w:basedOn w:val="a0"/>
    <w:link w:val="tblNumber01Char"/>
    <w:rsid w:val="00034C31"/>
    <w:pPr>
      <w:overflowPunct/>
      <w:autoSpaceDE/>
      <w:autoSpaceDN/>
      <w:adjustRightInd/>
      <w:ind w:right="57"/>
      <w:jc w:val="right"/>
      <w:textAlignment w:val="auto"/>
    </w:pPr>
    <w:rPr>
      <w:rFonts w:ascii="Times New Roman" w:eastAsia="Arial Unicode MS" w:hAnsi="Times New Roman" w:cs="Times New Roman"/>
      <w:sz w:val="20"/>
      <w:szCs w:val="20"/>
      <w:lang w:val="ru-RU" w:eastAsia="ru-RU" w:bidi="ru-RU"/>
    </w:rPr>
  </w:style>
  <w:style w:type="paragraph" w:customStyle="1" w:styleId="tblText02">
    <w:name w:val="tbl'Text_02"/>
    <w:basedOn w:val="a0"/>
    <w:link w:val="tblText02Char"/>
    <w:rsid w:val="00034C31"/>
    <w:pPr>
      <w:overflowPunct/>
      <w:autoSpaceDE/>
      <w:autoSpaceDN/>
      <w:adjustRightInd/>
      <w:ind w:left="113" w:hanging="113"/>
      <w:textAlignment w:val="auto"/>
    </w:pPr>
    <w:rPr>
      <w:rFonts w:ascii="Times New Roman" w:eastAsia="Arial Unicode MS" w:hAnsi="Times New Roman" w:cs="Times New Roman"/>
      <w:sz w:val="20"/>
      <w:szCs w:val="20"/>
      <w:lang w:val="ru-RU" w:eastAsia="ru-RU" w:bidi="ru-RU"/>
    </w:rPr>
  </w:style>
  <w:style w:type="character" w:customStyle="1" w:styleId="tblText02Char">
    <w:name w:val="tbl'Text_02 Char"/>
    <w:basedOn w:val="a1"/>
    <w:link w:val="tblText02"/>
    <w:locked/>
    <w:rsid w:val="00034C31"/>
    <w:rPr>
      <w:rFonts w:ascii="Times New Roman" w:eastAsia="Arial Unicode MS" w:hAnsi="Times New Roman" w:cs="Times New Roman"/>
      <w:sz w:val="20"/>
      <w:szCs w:val="20"/>
      <w:lang w:eastAsia="ru-RU" w:bidi="ru-RU"/>
    </w:rPr>
  </w:style>
  <w:style w:type="character" w:customStyle="1" w:styleId="tblNumber01Char">
    <w:name w:val="tbl'Number_01 Char"/>
    <w:basedOn w:val="a1"/>
    <w:link w:val="tblNumber01"/>
    <w:locked/>
    <w:rsid w:val="00034C31"/>
    <w:rPr>
      <w:rFonts w:ascii="Times New Roman" w:eastAsia="Arial Unicode MS" w:hAnsi="Times New Roman" w:cs="Times New Roman"/>
      <w:sz w:val="20"/>
      <w:szCs w:val="20"/>
      <w:lang w:eastAsia="ru-RU" w:bidi="ru-RU"/>
    </w:rPr>
  </w:style>
  <w:style w:type="paragraph" w:customStyle="1" w:styleId="2normal">
    <w:name w:val="2_normal"/>
    <w:basedOn w:val="a0"/>
    <w:qFormat/>
    <w:rsid w:val="00034C31"/>
  </w:style>
  <w:style w:type="paragraph" w:customStyle="1" w:styleId="1continued">
    <w:name w:val="1_continued"/>
    <w:basedOn w:val="9"/>
    <w:qFormat/>
    <w:rsid w:val="00034C31"/>
    <w:rPr>
      <w:szCs w:val="22"/>
    </w:rPr>
  </w:style>
  <w:style w:type="paragraph" w:customStyle="1" w:styleId="rvps2">
    <w:name w:val="rvps2"/>
    <w:basedOn w:val="a0"/>
    <w:rsid w:val="00A56935"/>
    <w:pPr>
      <w:overflowPunct/>
      <w:autoSpaceDE/>
      <w:autoSpaceDN/>
      <w:adjustRightInd/>
      <w:jc w:val="both"/>
      <w:textAlignment w:val="auto"/>
    </w:pPr>
    <w:rPr>
      <w:rFonts w:ascii="Times New Roman" w:hAnsi="Times New Roman" w:cs="Times New Roman"/>
      <w:sz w:val="24"/>
      <w:lang w:val="ru-RU" w:eastAsia="ru-RU"/>
    </w:rPr>
  </w:style>
  <w:style w:type="character" w:customStyle="1" w:styleId="rvts7">
    <w:name w:val="rvts7"/>
    <w:rsid w:val="00A56935"/>
    <w:rPr>
      <w:rFonts w:ascii="Times New Roman" w:hAnsi="Times New Roman" w:cs="Times New Roman" w:hint="default"/>
      <w:sz w:val="24"/>
      <w:szCs w:val="24"/>
    </w:rPr>
  </w:style>
  <w:style w:type="paragraph" w:styleId="25">
    <w:name w:val="Body Text Indent 2"/>
    <w:basedOn w:val="a0"/>
    <w:link w:val="26"/>
    <w:uiPriority w:val="99"/>
    <w:semiHidden/>
    <w:unhideWhenUsed/>
    <w:rsid w:val="00DB6B69"/>
    <w:pPr>
      <w:spacing w:after="120" w:line="480" w:lineRule="auto"/>
      <w:ind w:left="283"/>
    </w:pPr>
  </w:style>
  <w:style w:type="character" w:customStyle="1" w:styleId="26">
    <w:name w:val="Основной текст с отступом 2 Знак"/>
    <w:basedOn w:val="a1"/>
    <w:link w:val="25"/>
    <w:uiPriority w:val="99"/>
    <w:semiHidden/>
    <w:rsid w:val="00DB6B69"/>
    <w:rPr>
      <w:rFonts w:ascii="Arial" w:eastAsia="Times New Roman" w:hAnsi="Arial" w:cs="Times"/>
      <w:sz w:val="18"/>
      <w:szCs w:val="24"/>
      <w:lang w:val="en-GB"/>
    </w:rPr>
  </w:style>
  <w:style w:type="paragraph" w:styleId="HTML">
    <w:name w:val="HTML Preformatted"/>
    <w:basedOn w:val="a0"/>
    <w:link w:val="HTML0"/>
    <w:rsid w:val="00FF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szCs w:val="20"/>
      <w:lang w:val="ru-RU" w:eastAsia="ru-RU"/>
    </w:rPr>
  </w:style>
  <w:style w:type="character" w:customStyle="1" w:styleId="HTML0">
    <w:name w:val="Стандартный HTML Знак"/>
    <w:basedOn w:val="a1"/>
    <w:link w:val="HTML"/>
    <w:rsid w:val="00FF6DAD"/>
    <w:rPr>
      <w:rFonts w:ascii="Courier New" w:eastAsia="Times New Roman" w:hAnsi="Courier New" w:cs="Courier New"/>
      <w:color w:val="000000"/>
      <w:sz w:val="20"/>
      <w:szCs w:val="20"/>
      <w:lang w:eastAsia="ru-RU"/>
    </w:rPr>
  </w:style>
  <w:style w:type="character" w:styleId="aff">
    <w:name w:val="footnote reference"/>
    <w:basedOn w:val="a1"/>
    <w:uiPriority w:val="99"/>
    <w:semiHidden/>
    <w:unhideWhenUsed/>
    <w:rsid w:val="00FF6DAD"/>
    <w:rPr>
      <w:vertAlign w:val="superscript"/>
    </w:rPr>
  </w:style>
  <w:style w:type="paragraph" w:customStyle="1" w:styleId="2normal0">
    <w:name w:val="2normal"/>
    <w:basedOn w:val="a0"/>
    <w:rsid w:val="00372B43"/>
    <w:pPr>
      <w:overflowPunct/>
      <w:autoSpaceDE/>
      <w:autoSpaceDN/>
      <w:adjustRightInd/>
      <w:spacing w:before="100" w:beforeAutospacing="1" w:after="100" w:afterAutospacing="1"/>
      <w:textAlignment w:val="auto"/>
    </w:pPr>
    <w:rPr>
      <w:rFonts w:ascii="Times New Roman" w:hAnsi="Times New Roman" w:cs="Times New Roman"/>
      <w:sz w:val="24"/>
      <w:lang w:val="ru-RU" w:eastAsia="ru-RU"/>
    </w:rPr>
  </w:style>
  <w:style w:type="paragraph" w:styleId="aff0">
    <w:name w:val="Body Text Indent"/>
    <w:basedOn w:val="a0"/>
    <w:link w:val="aff1"/>
    <w:uiPriority w:val="99"/>
    <w:unhideWhenUsed/>
    <w:rsid w:val="00491510"/>
    <w:pPr>
      <w:spacing w:after="120"/>
      <w:ind w:left="283"/>
    </w:pPr>
  </w:style>
  <w:style w:type="character" w:customStyle="1" w:styleId="aff1">
    <w:name w:val="Основной текст с отступом Знак"/>
    <w:basedOn w:val="a1"/>
    <w:link w:val="aff0"/>
    <w:uiPriority w:val="99"/>
    <w:rsid w:val="00491510"/>
    <w:rPr>
      <w:rFonts w:ascii="Arial" w:eastAsia="Times New Roman" w:hAnsi="Arial" w:cs="Times"/>
      <w:sz w:val="18"/>
      <w:szCs w:val="24"/>
      <w:lang w:val="en-GB"/>
    </w:rPr>
  </w:style>
  <w:style w:type="paragraph" w:customStyle="1" w:styleId="em-">
    <w:name w:val="em-абзац"/>
    <w:basedOn w:val="a0"/>
    <w:link w:val="em-0"/>
    <w:rsid w:val="00491510"/>
    <w:pPr>
      <w:overflowPunct/>
      <w:autoSpaceDE/>
      <w:autoSpaceDN/>
      <w:adjustRightInd/>
      <w:ind w:firstLine="567"/>
      <w:jc w:val="both"/>
      <w:textAlignment w:val="auto"/>
    </w:pPr>
    <w:rPr>
      <w:rFonts w:ascii="Times New Roman" w:hAnsi="Times New Roman" w:cs="Times New Roman"/>
      <w:sz w:val="22"/>
      <w:szCs w:val="22"/>
      <w:lang w:val="ru-RU" w:eastAsia="ru-RU"/>
    </w:rPr>
  </w:style>
  <w:style w:type="character" w:customStyle="1" w:styleId="em-0">
    <w:name w:val="em-абзац Знак"/>
    <w:basedOn w:val="a1"/>
    <w:link w:val="em-"/>
    <w:rsid w:val="00491510"/>
    <w:rPr>
      <w:rFonts w:ascii="Times New Roman" w:eastAsia="Times New Roman" w:hAnsi="Times New Roman" w:cs="Times New Roman"/>
      <w:lang w:eastAsia="ru-RU"/>
    </w:rPr>
  </w:style>
  <w:style w:type="paragraph" w:customStyle="1" w:styleId="ConsPlusNonformat">
    <w:name w:val="ConsPlusNonformat"/>
    <w:uiPriority w:val="99"/>
    <w:rsid w:val="00D820F8"/>
    <w:pPr>
      <w:autoSpaceDE w:val="0"/>
      <w:autoSpaceDN w:val="0"/>
      <w:adjustRightInd w:val="0"/>
      <w:spacing w:after="0" w:line="240" w:lineRule="auto"/>
    </w:pPr>
    <w:rPr>
      <w:rFonts w:ascii="Courier New" w:hAnsi="Courier New" w:cs="Courier New"/>
      <w:sz w:val="20"/>
      <w:szCs w:val="20"/>
    </w:rPr>
  </w:style>
  <w:style w:type="paragraph" w:customStyle="1" w:styleId="15">
    <w:name w:val="Знак Знак1"/>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16">
    <w:name w:val="Знак Знак Знак Знак Знак1"/>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2">
    <w:name w:val="Знак Знак Знак Знак Знак Знак Знак Знак 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3">
    <w:name w:val="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4">
    <w:name w:val="Знак Знак Знак Знак Знак Знак Знак Знак Знак Знак"/>
    <w:basedOn w:val="a0"/>
    <w:rsid w:val="00D820F8"/>
    <w:pPr>
      <w:overflowPunct/>
      <w:autoSpaceDE/>
      <w:autoSpaceDN/>
      <w:adjustRightInd/>
      <w:spacing w:after="160" w:line="240" w:lineRule="exact"/>
      <w:textAlignment w:val="auto"/>
    </w:pPr>
    <w:rPr>
      <w:rFonts w:ascii="Verdana" w:hAnsi="Verdana" w:cs="Verdana"/>
      <w:sz w:val="20"/>
      <w:szCs w:val="20"/>
      <w:lang w:val="en-US"/>
    </w:rPr>
  </w:style>
  <w:style w:type="character" w:customStyle="1" w:styleId="notranslate">
    <w:name w:val="notranslate"/>
    <w:basedOn w:val="a1"/>
    <w:uiPriority w:val="99"/>
    <w:rsid w:val="009E7504"/>
    <w:rPr>
      <w:rFonts w:cs="Times New Roman"/>
    </w:rPr>
  </w:style>
  <w:style w:type="character" w:customStyle="1" w:styleId="google-src-text1">
    <w:name w:val="google-src-text1"/>
    <w:basedOn w:val="a1"/>
    <w:uiPriority w:val="99"/>
    <w:rsid w:val="009E7504"/>
    <w:rPr>
      <w:rFonts w:cs="Times New Roman"/>
      <w:vanish/>
    </w:rPr>
  </w:style>
  <w:style w:type="paragraph" w:styleId="aff5">
    <w:name w:val="No Spacing"/>
    <w:basedOn w:val="a0"/>
    <w:link w:val="aff6"/>
    <w:uiPriority w:val="1"/>
    <w:qFormat/>
    <w:rsid w:val="00781B29"/>
    <w:pPr>
      <w:jc w:val="both"/>
    </w:pPr>
    <w:rPr>
      <w:rFonts w:cs="Arial"/>
      <w:b/>
      <w:i/>
      <w:szCs w:val="18"/>
      <w:lang w:val="ru-RU"/>
    </w:rPr>
  </w:style>
  <w:style w:type="character" w:customStyle="1" w:styleId="aff6">
    <w:name w:val="Без интервала Знак"/>
    <w:basedOn w:val="a1"/>
    <w:link w:val="aff5"/>
    <w:uiPriority w:val="1"/>
    <w:rsid w:val="00781B29"/>
    <w:rPr>
      <w:rFonts w:ascii="Arial" w:eastAsia="Times New Roman" w:hAnsi="Arial" w:cs="Arial"/>
      <w:b/>
      <w:i/>
      <w:sz w:val="18"/>
      <w:szCs w:val="18"/>
    </w:rPr>
  </w:style>
  <w:style w:type="paragraph" w:styleId="aff7">
    <w:name w:val="Title"/>
    <w:basedOn w:val="a0"/>
    <w:next w:val="a0"/>
    <w:link w:val="aff8"/>
    <w:uiPriority w:val="10"/>
    <w:qFormat/>
    <w:rsid w:val="00F93FFE"/>
    <w:pPr>
      <w:pBdr>
        <w:bottom w:val="single" w:sz="8" w:space="4" w:color="4F81BD" w:themeColor="accent1"/>
      </w:pBdr>
      <w:overflowPunct/>
      <w:autoSpaceDE/>
      <w:autoSpaceDN/>
      <w:adjustRightInd/>
      <w:spacing w:after="300"/>
      <w:contextualSpacing/>
      <w:textAlignment w:val="auto"/>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ff8">
    <w:name w:val="Название Знак"/>
    <w:basedOn w:val="a1"/>
    <w:link w:val="aff7"/>
    <w:uiPriority w:val="10"/>
    <w:rsid w:val="00F93FFE"/>
    <w:rPr>
      <w:rFonts w:asciiTheme="majorHAnsi" w:eastAsiaTheme="majorEastAsia" w:hAnsiTheme="majorHAnsi" w:cstheme="majorBidi"/>
      <w:color w:val="17365D" w:themeColor="text2" w:themeShade="BF"/>
      <w:spacing w:val="5"/>
      <w:kern w:val="28"/>
      <w:sz w:val="52"/>
      <w:szCs w:val="52"/>
      <w:lang w:eastAsia="ru-RU"/>
    </w:rPr>
  </w:style>
  <w:style w:type="paragraph" w:styleId="aff9">
    <w:name w:val="Subtitle"/>
    <w:basedOn w:val="a0"/>
    <w:next w:val="a0"/>
    <w:link w:val="affa"/>
    <w:uiPriority w:val="11"/>
    <w:qFormat/>
    <w:rsid w:val="00F93FFE"/>
    <w:pPr>
      <w:numPr>
        <w:ilvl w:val="1"/>
      </w:numPr>
      <w:overflowPunct/>
      <w:autoSpaceDE/>
      <w:autoSpaceDN/>
      <w:adjustRightInd/>
      <w:spacing w:after="200" w:line="276" w:lineRule="auto"/>
      <w:textAlignment w:val="auto"/>
    </w:pPr>
    <w:rPr>
      <w:rFonts w:asciiTheme="majorHAnsi" w:eastAsiaTheme="majorEastAsia" w:hAnsiTheme="majorHAnsi" w:cstheme="majorBidi"/>
      <w:i/>
      <w:iCs/>
      <w:color w:val="4F81BD" w:themeColor="accent1"/>
      <w:spacing w:val="15"/>
      <w:sz w:val="24"/>
      <w:lang w:val="ru-RU" w:eastAsia="ru-RU"/>
    </w:rPr>
  </w:style>
  <w:style w:type="character" w:customStyle="1" w:styleId="affa">
    <w:name w:val="Подзаголовок Знак"/>
    <w:basedOn w:val="a1"/>
    <w:link w:val="aff9"/>
    <w:uiPriority w:val="11"/>
    <w:rsid w:val="00F93FFE"/>
    <w:rPr>
      <w:rFonts w:asciiTheme="majorHAnsi" w:eastAsiaTheme="majorEastAsia" w:hAnsiTheme="majorHAnsi" w:cstheme="majorBidi"/>
      <w:i/>
      <w:iCs/>
      <w:color w:val="4F81BD" w:themeColor="accent1"/>
      <w:spacing w:val="15"/>
      <w:sz w:val="24"/>
      <w:szCs w:val="24"/>
      <w:lang w:eastAsia="ru-RU"/>
    </w:rPr>
  </w:style>
  <w:style w:type="paragraph" w:styleId="affb">
    <w:name w:val="Normal (Web)"/>
    <w:basedOn w:val="a0"/>
    <w:uiPriority w:val="99"/>
    <w:rsid w:val="00970300"/>
    <w:pPr>
      <w:overflowPunct/>
      <w:autoSpaceDE/>
      <w:autoSpaceDN/>
      <w:adjustRightInd/>
      <w:textAlignment w:val="auto"/>
    </w:pPr>
    <w:rPr>
      <w:rFonts w:ascii="Times New Roman" w:hAnsi="Times New Roman" w:cs="Times New Roman"/>
      <w:sz w:val="24"/>
      <w:lang w:val="ru-RU" w:eastAsia="ru-RU"/>
    </w:rPr>
  </w:style>
  <w:style w:type="paragraph" w:customStyle="1" w:styleId="ConsPlusNormal">
    <w:name w:val="ConsPlusNormal"/>
    <w:link w:val="ConsPlusNormal0"/>
    <w:rsid w:val="00565E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65EAD"/>
    <w:rPr>
      <w:rFonts w:ascii="Arial" w:eastAsia="Times New Roman" w:hAnsi="Arial" w:cs="Arial"/>
      <w:sz w:val="20"/>
      <w:szCs w:val="20"/>
      <w:lang w:eastAsia="ru-RU"/>
    </w:rPr>
  </w:style>
  <w:style w:type="table" w:styleId="affc">
    <w:name w:val="Table Grid"/>
    <w:basedOn w:val="a2"/>
    <w:uiPriority w:val="59"/>
    <w:rsid w:val="005E6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 светлая1"/>
    <w:basedOn w:val="a2"/>
    <w:uiPriority w:val="40"/>
    <w:rsid w:val="0065442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0">
    <w:name w:val="Таблица простая 21"/>
    <w:basedOn w:val="a2"/>
    <w:uiPriority w:val="42"/>
    <w:rsid w:val="0065442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10">
    <w:name w:val="Таблица простая 11"/>
    <w:basedOn w:val="a2"/>
    <w:uiPriority w:val="41"/>
    <w:rsid w:val="0065442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41">
    <w:name w:val="Таблица простая 41"/>
    <w:basedOn w:val="a2"/>
    <w:uiPriority w:val="44"/>
    <w:rsid w:val="006544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310">
    <w:name w:val="Таблица простая 31"/>
    <w:basedOn w:val="a2"/>
    <w:uiPriority w:val="43"/>
    <w:rsid w:val="0065442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35">
    <w:name w:val="Body Text Indent 3"/>
    <w:basedOn w:val="a0"/>
    <w:link w:val="36"/>
    <w:uiPriority w:val="99"/>
    <w:unhideWhenUsed/>
    <w:rsid w:val="00654421"/>
    <w:pPr>
      <w:spacing w:after="120"/>
      <w:ind w:left="283"/>
    </w:pPr>
    <w:rPr>
      <w:sz w:val="16"/>
      <w:szCs w:val="16"/>
    </w:rPr>
  </w:style>
  <w:style w:type="character" w:customStyle="1" w:styleId="36">
    <w:name w:val="Основной текст с отступом 3 Знак"/>
    <w:basedOn w:val="a1"/>
    <w:link w:val="35"/>
    <w:uiPriority w:val="99"/>
    <w:rsid w:val="00654421"/>
    <w:rPr>
      <w:rFonts w:ascii="Arial" w:eastAsia="Times New Roman" w:hAnsi="Arial" w:cs="Times"/>
      <w:sz w:val="16"/>
      <w:szCs w:val="16"/>
      <w:lang w:val="en-GB"/>
    </w:rPr>
  </w:style>
  <w:style w:type="paragraph" w:customStyle="1" w:styleId="211">
    <w:name w:val="Основной текст 21"/>
    <w:basedOn w:val="a0"/>
    <w:rsid w:val="00FD6EF5"/>
    <w:pPr>
      <w:ind w:firstLine="720"/>
      <w:jc w:val="both"/>
    </w:pPr>
    <w:rPr>
      <w:rFonts w:ascii="Times New Roman" w:hAnsi="Times New Roman" w:cs="Times New Roman"/>
      <w:sz w:val="28"/>
      <w:szCs w:val="20"/>
      <w:lang w:val="ru-RU" w:eastAsia="ru-RU"/>
    </w:rPr>
  </w:style>
  <w:style w:type="paragraph" w:customStyle="1" w:styleId="18">
    <w:name w:val="Стиль1"/>
    <w:basedOn w:val="1continued"/>
    <w:qFormat/>
    <w:rsid w:val="00860CC7"/>
  </w:style>
  <w:style w:type="paragraph" w:customStyle="1" w:styleId="220">
    <w:name w:val="Основной текст 22"/>
    <w:basedOn w:val="a0"/>
    <w:rsid w:val="00400EAB"/>
    <w:pPr>
      <w:tabs>
        <w:tab w:val="left" w:pos="-2127"/>
        <w:tab w:val="left" w:pos="0"/>
      </w:tabs>
      <w:ind w:firstLine="426"/>
      <w:jc w:val="both"/>
    </w:pPr>
    <w:rPr>
      <w:rFonts w:ascii="Times New Roman" w:hAnsi="Times New Roman" w:cs="Times New Roman"/>
      <w:sz w:val="24"/>
      <w:szCs w:val="20"/>
      <w:lang w:val="ru-RU" w:eastAsia="ru-RU"/>
    </w:rPr>
  </w:style>
  <w:style w:type="paragraph" w:customStyle="1" w:styleId="19">
    <w:name w:val="Текст1"/>
    <w:basedOn w:val="a0"/>
    <w:rsid w:val="00400EAB"/>
    <w:rPr>
      <w:rFonts w:ascii="Courier New" w:hAnsi="Courier New" w:cs="Times New Roman"/>
      <w:color w:val="FF0000"/>
      <w:sz w:val="20"/>
      <w:szCs w:val="20"/>
      <w:lang w:val="ru-RU" w:eastAsia="ru-RU"/>
    </w:rPr>
  </w:style>
  <w:style w:type="paragraph" w:customStyle="1" w:styleId="1a">
    <w:name w:val="Заголовки 1"/>
    <w:basedOn w:val="a"/>
    <w:link w:val="1b"/>
    <w:qFormat/>
    <w:rsid w:val="00A5473B"/>
    <w:pPr>
      <w:numPr>
        <w:numId w:val="0"/>
      </w:numPr>
      <w:ind w:left="360" w:hanging="360"/>
    </w:pPr>
  </w:style>
  <w:style w:type="character" w:customStyle="1" w:styleId="1b">
    <w:name w:val="Заголовки 1 Знак"/>
    <w:basedOn w:val="a1"/>
    <w:link w:val="1a"/>
    <w:rsid w:val="00A5473B"/>
    <w:rPr>
      <w:rFonts w:ascii="Arial" w:eastAsia="Times New Roman" w:hAnsi="Arial" w:cs="Arial"/>
      <w:b/>
    </w:rPr>
  </w:style>
  <w:style w:type="character" w:customStyle="1" w:styleId="1c">
    <w:name w:val="Текст выноски Знак1"/>
    <w:basedOn w:val="a1"/>
    <w:uiPriority w:val="99"/>
    <w:semiHidden/>
    <w:rsid w:val="003D5AC4"/>
    <w:rPr>
      <w:rFonts w:ascii="Tahoma" w:eastAsia="Times New Roman" w:hAnsi="Tahoma" w:cs="Tahoma"/>
      <w:sz w:val="16"/>
      <w:szCs w:val="16"/>
      <w:lang w:val="en-GB"/>
    </w:rPr>
  </w:style>
  <w:style w:type="character" w:customStyle="1" w:styleId="212">
    <w:name w:val="Основной текст с отступом 2 Знак1"/>
    <w:basedOn w:val="a1"/>
    <w:uiPriority w:val="99"/>
    <w:semiHidden/>
    <w:rsid w:val="003D5AC4"/>
    <w:rPr>
      <w:rFonts w:ascii="Arial" w:eastAsia="Times New Roman" w:hAnsi="Arial" w:cs="Times"/>
      <w:sz w:val="18"/>
      <w:szCs w:val="24"/>
      <w:lang w:val="en-GB"/>
    </w:rPr>
  </w:style>
  <w:style w:type="paragraph" w:customStyle="1" w:styleId="ConsPlusTitle">
    <w:name w:val="ConsPlusTitle"/>
    <w:rsid w:val="003D5AC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7670">
      <w:bodyDiv w:val="1"/>
      <w:marLeft w:val="0"/>
      <w:marRight w:val="0"/>
      <w:marTop w:val="0"/>
      <w:marBottom w:val="0"/>
      <w:divBdr>
        <w:top w:val="none" w:sz="0" w:space="0" w:color="auto"/>
        <w:left w:val="none" w:sz="0" w:space="0" w:color="auto"/>
        <w:bottom w:val="none" w:sz="0" w:space="0" w:color="auto"/>
        <w:right w:val="none" w:sz="0" w:space="0" w:color="auto"/>
      </w:divBdr>
    </w:div>
    <w:div w:id="20711519">
      <w:bodyDiv w:val="1"/>
      <w:marLeft w:val="0"/>
      <w:marRight w:val="0"/>
      <w:marTop w:val="0"/>
      <w:marBottom w:val="0"/>
      <w:divBdr>
        <w:top w:val="none" w:sz="0" w:space="0" w:color="auto"/>
        <w:left w:val="none" w:sz="0" w:space="0" w:color="auto"/>
        <w:bottom w:val="none" w:sz="0" w:space="0" w:color="auto"/>
        <w:right w:val="none" w:sz="0" w:space="0" w:color="auto"/>
      </w:divBdr>
    </w:div>
    <w:div w:id="29959529">
      <w:bodyDiv w:val="1"/>
      <w:marLeft w:val="0"/>
      <w:marRight w:val="0"/>
      <w:marTop w:val="0"/>
      <w:marBottom w:val="0"/>
      <w:divBdr>
        <w:top w:val="none" w:sz="0" w:space="0" w:color="auto"/>
        <w:left w:val="none" w:sz="0" w:space="0" w:color="auto"/>
        <w:bottom w:val="none" w:sz="0" w:space="0" w:color="auto"/>
        <w:right w:val="none" w:sz="0" w:space="0" w:color="auto"/>
      </w:divBdr>
    </w:div>
    <w:div w:id="47532442">
      <w:bodyDiv w:val="1"/>
      <w:marLeft w:val="0"/>
      <w:marRight w:val="0"/>
      <w:marTop w:val="0"/>
      <w:marBottom w:val="0"/>
      <w:divBdr>
        <w:top w:val="none" w:sz="0" w:space="0" w:color="auto"/>
        <w:left w:val="none" w:sz="0" w:space="0" w:color="auto"/>
        <w:bottom w:val="none" w:sz="0" w:space="0" w:color="auto"/>
        <w:right w:val="none" w:sz="0" w:space="0" w:color="auto"/>
      </w:divBdr>
    </w:div>
    <w:div w:id="50425427">
      <w:bodyDiv w:val="1"/>
      <w:marLeft w:val="0"/>
      <w:marRight w:val="0"/>
      <w:marTop w:val="0"/>
      <w:marBottom w:val="0"/>
      <w:divBdr>
        <w:top w:val="none" w:sz="0" w:space="0" w:color="auto"/>
        <w:left w:val="none" w:sz="0" w:space="0" w:color="auto"/>
        <w:bottom w:val="none" w:sz="0" w:space="0" w:color="auto"/>
        <w:right w:val="none" w:sz="0" w:space="0" w:color="auto"/>
      </w:divBdr>
    </w:div>
    <w:div w:id="52781983">
      <w:bodyDiv w:val="1"/>
      <w:marLeft w:val="0"/>
      <w:marRight w:val="0"/>
      <w:marTop w:val="0"/>
      <w:marBottom w:val="0"/>
      <w:divBdr>
        <w:top w:val="none" w:sz="0" w:space="0" w:color="auto"/>
        <w:left w:val="none" w:sz="0" w:space="0" w:color="auto"/>
        <w:bottom w:val="none" w:sz="0" w:space="0" w:color="auto"/>
        <w:right w:val="none" w:sz="0" w:space="0" w:color="auto"/>
      </w:divBdr>
    </w:div>
    <w:div w:id="58210430">
      <w:bodyDiv w:val="1"/>
      <w:marLeft w:val="0"/>
      <w:marRight w:val="0"/>
      <w:marTop w:val="0"/>
      <w:marBottom w:val="0"/>
      <w:divBdr>
        <w:top w:val="none" w:sz="0" w:space="0" w:color="auto"/>
        <w:left w:val="none" w:sz="0" w:space="0" w:color="auto"/>
        <w:bottom w:val="none" w:sz="0" w:space="0" w:color="auto"/>
        <w:right w:val="none" w:sz="0" w:space="0" w:color="auto"/>
      </w:divBdr>
    </w:div>
    <w:div w:id="74399924">
      <w:bodyDiv w:val="1"/>
      <w:marLeft w:val="0"/>
      <w:marRight w:val="0"/>
      <w:marTop w:val="0"/>
      <w:marBottom w:val="0"/>
      <w:divBdr>
        <w:top w:val="none" w:sz="0" w:space="0" w:color="auto"/>
        <w:left w:val="none" w:sz="0" w:space="0" w:color="auto"/>
        <w:bottom w:val="none" w:sz="0" w:space="0" w:color="auto"/>
        <w:right w:val="none" w:sz="0" w:space="0" w:color="auto"/>
      </w:divBdr>
    </w:div>
    <w:div w:id="85000986">
      <w:bodyDiv w:val="1"/>
      <w:marLeft w:val="0"/>
      <w:marRight w:val="0"/>
      <w:marTop w:val="0"/>
      <w:marBottom w:val="0"/>
      <w:divBdr>
        <w:top w:val="none" w:sz="0" w:space="0" w:color="auto"/>
        <w:left w:val="none" w:sz="0" w:space="0" w:color="auto"/>
        <w:bottom w:val="none" w:sz="0" w:space="0" w:color="auto"/>
        <w:right w:val="none" w:sz="0" w:space="0" w:color="auto"/>
      </w:divBdr>
    </w:div>
    <w:div w:id="85662714">
      <w:bodyDiv w:val="1"/>
      <w:marLeft w:val="0"/>
      <w:marRight w:val="0"/>
      <w:marTop w:val="0"/>
      <w:marBottom w:val="0"/>
      <w:divBdr>
        <w:top w:val="none" w:sz="0" w:space="0" w:color="auto"/>
        <w:left w:val="none" w:sz="0" w:space="0" w:color="auto"/>
        <w:bottom w:val="none" w:sz="0" w:space="0" w:color="auto"/>
        <w:right w:val="none" w:sz="0" w:space="0" w:color="auto"/>
      </w:divBdr>
    </w:div>
    <w:div w:id="114064778">
      <w:bodyDiv w:val="1"/>
      <w:marLeft w:val="0"/>
      <w:marRight w:val="0"/>
      <w:marTop w:val="0"/>
      <w:marBottom w:val="0"/>
      <w:divBdr>
        <w:top w:val="none" w:sz="0" w:space="0" w:color="auto"/>
        <w:left w:val="none" w:sz="0" w:space="0" w:color="auto"/>
        <w:bottom w:val="none" w:sz="0" w:space="0" w:color="auto"/>
        <w:right w:val="none" w:sz="0" w:space="0" w:color="auto"/>
      </w:divBdr>
    </w:div>
    <w:div w:id="116414485">
      <w:bodyDiv w:val="1"/>
      <w:marLeft w:val="0"/>
      <w:marRight w:val="0"/>
      <w:marTop w:val="0"/>
      <w:marBottom w:val="0"/>
      <w:divBdr>
        <w:top w:val="none" w:sz="0" w:space="0" w:color="auto"/>
        <w:left w:val="none" w:sz="0" w:space="0" w:color="auto"/>
        <w:bottom w:val="none" w:sz="0" w:space="0" w:color="auto"/>
        <w:right w:val="none" w:sz="0" w:space="0" w:color="auto"/>
      </w:divBdr>
    </w:div>
    <w:div w:id="121580060">
      <w:bodyDiv w:val="1"/>
      <w:marLeft w:val="0"/>
      <w:marRight w:val="0"/>
      <w:marTop w:val="0"/>
      <w:marBottom w:val="0"/>
      <w:divBdr>
        <w:top w:val="none" w:sz="0" w:space="0" w:color="auto"/>
        <w:left w:val="none" w:sz="0" w:space="0" w:color="auto"/>
        <w:bottom w:val="none" w:sz="0" w:space="0" w:color="auto"/>
        <w:right w:val="none" w:sz="0" w:space="0" w:color="auto"/>
      </w:divBdr>
    </w:div>
    <w:div w:id="133718329">
      <w:bodyDiv w:val="1"/>
      <w:marLeft w:val="0"/>
      <w:marRight w:val="0"/>
      <w:marTop w:val="0"/>
      <w:marBottom w:val="0"/>
      <w:divBdr>
        <w:top w:val="none" w:sz="0" w:space="0" w:color="auto"/>
        <w:left w:val="none" w:sz="0" w:space="0" w:color="auto"/>
        <w:bottom w:val="none" w:sz="0" w:space="0" w:color="auto"/>
        <w:right w:val="none" w:sz="0" w:space="0" w:color="auto"/>
      </w:divBdr>
    </w:div>
    <w:div w:id="147092038">
      <w:bodyDiv w:val="1"/>
      <w:marLeft w:val="0"/>
      <w:marRight w:val="0"/>
      <w:marTop w:val="0"/>
      <w:marBottom w:val="0"/>
      <w:divBdr>
        <w:top w:val="none" w:sz="0" w:space="0" w:color="auto"/>
        <w:left w:val="none" w:sz="0" w:space="0" w:color="auto"/>
        <w:bottom w:val="none" w:sz="0" w:space="0" w:color="auto"/>
        <w:right w:val="none" w:sz="0" w:space="0" w:color="auto"/>
      </w:divBdr>
    </w:div>
    <w:div w:id="152841748">
      <w:bodyDiv w:val="1"/>
      <w:marLeft w:val="0"/>
      <w:marRight w:val="0"/>
      <w:marTop w:val="0"/>
      <w:marBottom w:val="0"/>
      <w:divBdr>
        <w:top w:val="none" w:sz="0" w:space="0" w:color="auto"/>
        <w:left w:val="none" w:sz="0" w:space="0" w:color="auto"/>
        <w:bottom w:val="none" w:sz="0" w:space="0" w:color="auto"/>
        <w:right w:val="none" w:sz="0" w:space="0" w:color="auto"/>
      </w:divBdr>
    </w:div>
    <w:div w:id="164782058">
      <w:bodyDiv w:val="1"/>
      <w:marLeft w:val="0"/>
      <w:marRight w:val="0"/>
      <w:marTop w:val="0"/>
      <w:marBottom w:val="0"/>
      <w:divBdr>
        <w:top w:val="none" w:sz="0" w:space="0" w:color="auto"/>
        <w:left w:val="none" w:sz="0" w:space="0" w:color="auto"/>
        <w:bottom w:val="none" w:sz="0" w:space="0" w:color="auto"/>
        <w:right w:val="none" w:sz="0" w:space="0" w:color="auto"/>
      </w:divBdr>
    </w:div>
    <w:div w:id="177743404">
      <w:bodyDiv w:val="1"/>
      <w:marLeft w:val="0"/>
      <w:marRight w:val="0"/>
      <w:marTop w:val="0"/>
      <w:marBottom w:val="0"/>
      <w:divBdr>
        <w:top w:val="none" w:sz="0" w:space="0" w:color="auto"/>
        <w:left w:val="none" w:sz="0" w:space="0" w:color="auto"/>
        <w:bottom w:val="none" w:sz="0" w:space="0" w:color="auto"/>
        <w:right w:val="none" w:sz="0" w:space="0" w:color="auto"/>
      </w:divBdr>
    </w:div>
    <w:div w:id="181360960">
      <w:bodyDiv w:val="1"/>
      <w:marLeft w:val="0"/>
      <w:marRight w:val="0"/>
      <w:marTop w:val="0"/>
      <w:marBottom w:val="0"/>
      <w:divBdr>
        <w:top w:val="none" w:sz="0" w:space="0" w:color="auto"/>
        <w:left w:val="none" w:sz="0" w:space="0" w:color="auto"/>
        <w:bottom w:val="none" w:sz="0" w:space="0" w:color="auto"/>
        <w:right w:val="none" w:sz="0" w:space="0" w:color="auto"/>
      </w:divBdr>
    </w:div>
    <w:div w:id="182210757">
      <w:bodyDiv w:val="1"/>
      <w:marLeft w:val="0"/>
      <w:marRight w:val="0"/>
      <w:marTop w:val="0"/>
      <w:marBottom w:val="0"/>
      <w:divBdr>
        <w:top w:val="none" w:sz="0" w:space="0" w:color="auto"/>
        <w:left w:val="none" w:sz="0" w:space="0" w:color="auto"/>
        <w:bottom w:val="none" w:sz="0" w:space="0" w:color="auto"/>
        <w:right w:val="none" w:sz="0" w:space="0" w:color="auto"/>
      </w:divBdr>
    </w:div>
    <w:div w:id="187259901">
      <w:bodyDiv w:val="1"/>
      <w:marLeft w:val="0"/>
      <w:marRight w:val="0"/>
      <w:marTop w:val="0"/>
      <w:marBottom w:val="0"/>
      <w:divBdr>
        <w:top w:val="none" w:sz="0" w:space="0" w:color="auto"/>
        <w:left w:val="none" w:sz="0" w:space="0" w:color="auto"/>
        <w:bottom w:val="none" w:sz="0" w:space="0" w:color="auto"/>
        <w:right w:val="none" w:sz="0" w:space="0" w:color="auto"/>
      </w:divBdr>
    </w:div>
    <w:div w:id="188688840">
      <w:bodyDiv w:val="1"/>
      <w:marLeft w:val="0"/>
      <w:marRight w:val="0"/>
      <w:marTop w:val="0"/>
      <w:marBottom w:val="0"/>
      <w:divBdr>
        <w:top w:val="none" w:sz="0" w:space="0" w:color="auto"/>
        <w:left w:val="none" w:sz="0" w:space="0" w:color="auto"/>
        <w:bottom w:val="none" w:sz="0" w:space="0" w:color="auto"/>
        <w:right w:val="none" w:sz="0" w:space="0" w:color="auto"/>
      </w:divBdr>
    </w:div>
    <w:div w:id="189294615">
      <w:bodyDiv w:val="1"/>
      <w:marLeft w:val="0"/>
      <w:marRight w:val="0"/>
      <w:marTop w:val="0"/>
      <w:marBottom w:val="0"/>
      <w:divBdr>
        <w:top w:val="none" w:sz="0" w:space="0" w:color="auto"/>
        <w:left w:val="none" w:sz="0" w:space="0" w:color="auto"/>
        <w:bottom w:val="none" w:sz="0" w:space="0" w:color="auto"/>
        <w:right w:val="none" w:sz="0" w:space="0" w:color="auto"/>
      </w:divBdr>
    </w:div>
    <w:div w:id="206113983">
      <w:bodyDiv w:val="1"/>
      <w:marLeft w:val="0"/>
      <w:marRight w:val="0"/>
      <w:marTop w:val="0"/>
      <w:marBottom w:val="0"/>
      <w:divBdr>
        <w:top w:val="none" w:sz="0" w:space="0" w:color="auto"/>
        <w:left w:val="none" w:sz="0" w:space="0" w:color="auto"/>
        <w:bottom w:val="none" w:sz="0" w:space="0" w:color="auto"/>
        <w:right w:val="none" w:sz="0" w:space="0" w:color="auto"/>
      </w:divBdr>
    </w:div>
    <w:div w:id="210777256">
      <w:bodyDiv w:val="1"/>
      <w:marLeft w:val="0"/>
      <w:marRight w:val="0"/>
      <w:marTop w:val="0"/>
      <w:marBottom w:val="0"/>
      <w:divBdr>
        <w:top w:val="none" w:sz="0" w:space="0" w:color="auto"/>
        <w:left w:val="none" w:sz="0" w:space="0" w:color="auto"/>
        <w:bottom w:val="none" w:sz="0" w:space="0" w:color="auto"/>
        <w:right w:val="none" w:sz="0" w:space="0" w:color="auto"/>
      </w:divBdr>
    </w:div>
    <w:div w:id="228851930">
      <w:bodyDiv w:val="1"/>
      <w:marLeft w:val="0"/>
      <w:marRight w:val="0"/>
      <w:marTop w:val="0"/>
      <w:marBottom w:val="0"/>
      <w:divBdr>
        <w:top w:val="none" w:sz="0" w:space="0" w:color="auto"/>
        <w:left w:val="none" w:sz="0" w:space="0" w:color="auto"/>
        <w:bottom w:val="none" w:sz="0" w:space="0" w:color="auto"/>
        <w:right w:val="none" w:sz="0" w:space="0" w:color="auto"/>
      </w:divBdr>
    </w:div>
    <w:div w:id="230969862">
      <w:bodyDiv w:val="1"/>
      <w:marLeft w:val="0"/>
      <w:marRight w:val="0"/>
      <w:marTop w:val="0"/>
      <w:marBottom w:val="0"/>
      <w:divBdr>
        <w:top w:val="none" w:sz="0" w:space="0" w:color="auto"/>
        <w:left w:val="none" w:sz="0" w:space="0" w:color="auto"/>
        <w:bottom w:val="none" w:sz="0" w:space="0" w:color="auto"/>
        <w:right w:val="none" w:sz="0" w:space="0" w:color="auto"/>
      </w:divBdr>
    </w:div>
    <w:div w:id="235436210">
      <w:bodyDiv w:val="1"/>
      <w:marLeft w:val="0"/>
      <w:marRight w:val="0"/>
      <w:marTop w:val="0"/>
      <w:marBottom w:val="0"/>
      <w:divBdr>
        <w:top w:val="none" w:sz="0" w:space="0" w:color="auto"/>
        <w:left w:val="none" w:sz="0" w:space="0" w:color="auto"/>
        <w:bottom w:val="none" w:sz="0" w:space="0" w:color="auto"/>
        <w:right w:val="none" w:sz="0" w:space="0" w:color="auto"/>
      </w:divBdr>
    </w:div>
    <w:div w:id="235864169">
      <w:bodyDiv w:val="1"/>
      <w:marLeft w:val="0"/>
      <w:marRight w:val="0"/>
      <w:marTop w:val="0"/>
      <w:marBottom w:val="0"/>
      <w:divBdr>
        <w:top w:val="none" w:sz="0" w:space="0" w:color="auto"/>
        <w:left w:val="none" w:sz="0" w:space="0" w:color="auto"/>
        <w:bottom w:val="none" w:sz="0" w:space="0" w:color="auto"/>
        <w:right w:val="none" w:sz="0" w:space="0" w:color="auto"/>
      </w:divBdr>
    </w:div>
    <w:div w:id="240215822">
      <w:bodyDiv w:val="1"/>
      <w:marLeft w:val="0"/>
      <w:marRight w:val="0"/>
      <w:marTop w:val="0"/>
      <w:marBottom w:val="0"/>
      <w:divBdr>
        <w:top w:val="none" w:sz="0" w:space="0" w:color="auto"/>
        <w:left w:val="none" w:sz="0" w:space="0" w:color="auto"/>
        <w:bottom w:val="none" w:sz="0" w:space="0" w:color="auto"/>
        <w:right w:val="none" w:sz="0" w:space="0" w:color="auto"/>
      </w:divBdr>
    </w:div>
    <w:div w:id="241066249">
      <w:bodyDiv w:val="1"/>
      <w:marLeft w:val="0"/>
      <w:marRight w:val="0"/>
      <w:marTop w:val="0"/>
      <w:marBottom w:val="0"/>
      <w:divBdr>
        <w:top w:val="none" w:sz="0" w:space="0" w:color="auto"/>
        <w:left w:val="none" w:sz="0" w:space="0" w:color="auto"/>
        <w:bottom w:val="none" w:sz="0" w:space="0" w:color="auto"/>
        <w:right w:val="none" w:sz="0" w:space="0" w:color="auto"/>
      </w:divBdr>
    </w:div>
    <w:div w:id="241531843">
      <w:bodyDiv w:val="1"/>
      <w:marLeft w:val="0"/>
      <w:marRight w:val="0"/>
      <w:marTop w:val="0"/>
      <w:marBottom w:val="0"/>
      <w:divBdr>
        <w:top w:val="none" w:sz="0" w:space="0" w:color="auto"/>
        <w:left w:val="none" w:sz="0" w:space="0" w:color="auto"/>
        <w:bottom w:val="none" w:sz="0" w:space="0" w:color="auto"/>
        <w:right w:val="none" w:sz="0" w:space="0" w:color="auto"/>
      </w:divBdr>
    </w:div>
    <w:div w:id="247227640">
      <w:bodyDiv w:val="1"/>
      <w:marLeft w:val="0"/>
      <w:marRight w:val="0"/>
      <w:marTop w:val="0"/>
      <w:marBottom w:val="0"/>
      <w:divBdr>
        <w:top w:val="none" w:sz="0" w:space="0" w:color="auto"/>
        <w:left w:val="none" w:sz="0" w:space="0" w:color="auto"/>
        <w:bottom w:val="none" w:sz="0" w:space="0" w:color="auto"/>
        <w:right w:val="none" w:sz="0" w:space="0" w:color="auto"/>
      </w:divBdr>
    </w:div>
    <w:div w:id="265887409">
      <w:bodyDiv w:val="1"/>
      <w:marLeft w:val="0"/>
      <w:marRight w:val="0"/>
      <w:marTop w:val="0"/>
      <w:marBottom w:val="0"/>
      <w:divBdr>
        <w:top w:val="none" w:sz="0" w:space="0" w:color="auto"/>
        <w:left w:val="none" w:sz="0" w:space="0" w:color="auto"/>
        <w:bottom w:val="none" w:sz="0" w:space="0" w:color="auto"/>
        <w:right w:val="none" w:sz="0" w:space="0" w:color="auto"/>
      </w:divBdr>
    </w:div>
    <w:div w:id="271864351">
      <w:bodyDiv w:val="1"/>
      <w:marLeft w:val="0"/>
      <w:marRight w:val="0"/>
      <w:marTop w:val="0"/>
      <w:marBottom w:val="0"/>
      <w:divBdr>
        <w:top w:val="none" w:sz="0" w:space="0" w:color="auto"/>
        <w:left w:val="none" w:sz="0" w:space="0" w:color="auto"/>
        <w:bottom w:val="none" w:sz="0" w:space="0" w:color="auto"/>
        <w:right w:val="none" w:sz="0" w:space="0" w:color="auto"/>
      </w:divBdr>
    </w:div>
    <w:div w:id="276832979">
      <w:bodyDiv w:val="1"/>
      <w:marLeft w:val="0"/>
      <w:marRight w:val="0"/>
      <w:marTop w:val="0"/>
      <w:marBottom w:val="0"/>
      <w:divBdr>
        <w:top w:val="none" w:sz="0" w:space="0" w:color="auto"/>
        <w:left w:val="none" w:sz="0" w:space="0" w:color="auto"/>
        <w:bottom w:val="none" w:sz="0" w:space="0" w:color="auto"/>
        <w:right w:val="none" w:sz="0" w:space="0" w:color="auto"/>
      </w:divBdr>
    </w:div>
    <w:div w:id="277950742">
      <w:bodyDiv w:val="1"/>
      <w:marLeft w:val="0"/>
      <w:marRight w:val="0"/>
      <w:marTop w:val="0"/>
      <w:marBottom w:val="0"/>
      <w:divBdr>
        <w:top w:val="none" w:sz="0" w:space="0" w:color="auto"/>
        <w:left w:val="none" w:sz="0" w:space="0" w:color="auto"/>
        <w:bottom w:val="none" w:sz="0" w:space="0" w:color="auto"/>
        <w:right w:val="none" w:sz="0" w:space="0" w:color="auto"/>
      </w:divBdr>
    </w:div>
    <w:div w:id="289357498">
      <w:bodyDiv w:val="1"/>
      <w:marLeft w:val="0"/>
      <w:marRight w:val="0"/>
      <w:marTop w:val="0"/>
      <w:marBottom w:val="0"/>
      <w:divBdr>
        <w:top w:val="none" w:sz="0" w:space="0" w:color="auto"/>
        <w:left w:val="none" w:sz="0" w:space="0" w:color="auto"/>
        <w:bottom w:val="none" w:sz="0" w:space="0" w:color="auto"/>
        <w:right w:val="none" w:sz="0" w:space="0" w:color="auto"/>
      </w:divBdr>
    </w:div>
    <w:div w:id="307707593">
      <w:bodyDiv w:val="1"/>
      <w:marLeft w:val="0"/>
      <w:marRight w:val="0"/>
      <w:marTop w:val="0"/>
      <w:marBottom w:val="0"/>
      <w:divBdr>
        <w:top w:val="none" w:sz="0" w:space="0" w:color="auto"/>
        <w:left w:val="none" w:sz="0" w:space="0" w:color="auto"/>
        <w:bottom w:val="none" w:sz="0" w:space="0" w:color="auto"/>
        <w:right w:val="none" w:sz="0" w:space="0" w:color="auto"/>
      </w:divBdr>
    </w:div>
    <w:div w:id="309793677">
      <w:bodyDiv w:val="1"/>
      <w:marLeft w:val="0"/>
      <w:marRight w:val="0"/>
      <w:marTop w:val="0"/>
      <w:marBottom w:val="0"/>
      <w:divBdr>
        <w:top w:val="none" w:sz="0" w:space="0" w:color="auto"/>
        <w:left w:val="none" w:sz="0" w:space="0" w:color="auto"/>
        <w:bottom w:val="none" w:sz="0" w:space="0" w:color="auto"/>
        <w:right w:val="none" w:sz="0" w:space="0" w:color="auto"/>
      </w:divBdr>
    </w:div>
    <w:div w:id="317224178">
      <w:bodyDiv w:val="1"/>
      <w:marLeft w:val="0"/>
      <w:marRight w:val="0"/>
      <w:marTop w:val="0"/>
      <w:marBottom w:val="0"/>
      <w:divBdr>
        <w:top w:val="none" w:sz="0" w:space="0" w:color="auto"/>
        <w:left w:val="none" w:sz="0" w:space="0" w:color="auto"/>
        <w:bottom w:val="none" w:sz="0" w:space="0" w:color="auto"/>
        <w:right w:val="none" w:sz="0" w:space="0" w:color="auto"/>
      </w:divBdr>
    </w:div>
    <w:div w:id="322045495">
      <w:bodyDiv w:val="1"/>
      <w:marLeft w:val="0"/>
      <w:marRight w:val="0"/>
      <w:marTop w:val="0"/>
      <w:marBottom w:val="0"/>
      <w:divBdr>
        <w:top w:val="none" w:sz="0" w:space="0" w:color="auto"/>
        <w:left w:val="none" w:sz="0" w:space="0" w:color="auto"/>
        <w:bottom w:val="none" w:sz="0" w:space="0" w:color="auto"/>
        <w:right w:val="none" w:sz="0" w:space="0" w:color="auto"/>
      </w:divBdr>
    </w:div>
    <w:div w:id="332531521">
      <w:bodyDiv w:val="1"/>
      <w:marLeft w:val="0"/>
      <w:marRight w:val="0"/>
      <w:marTop w:val="0"/>
      <w:marBottom w:val="0"/>
      <w:divBdr>
        <w:top w:val="none" w:sz="0" w:space="0" w:color="auto"/>
        <w:left w:val="none" w:sz="0" w:space="0" w:color="auto"/>
        <w:bottom w:val="none" w:sz="0" w:space="0" w:color="auto"/>
        <w:right w:val="none" w:sz="0" w:space="0" w:color="auto"/>
      </w:divBdr>
    </w:div>
    <w:div w:id="335621182">
      <w:bodyDiv w:val="1"/>
      <w:marLeft w:val="0"/>
      <w:marRight w:val="0"/>
      <w:marTop w:val="0"/>
      <w:marBottom w:val="0"/>
      <w:divBdr>
        <w:top w:val="none" w:sz="0" w:space="0" w:color="auto"/>
        <w:left w:val="none" w:sz="0" w:space="0" w:color="auto"/>
        <w:bottom w:val="none" w:sz="0" w:space="0" w:color="auto"/>
        <w:right w:val="none" w:sz="0" w:space="0" w:color="auto"/>
      </w:divBdr>
    </w:div>
    <w:div w:id="354158459">
      <w:bodyDiv w:val="1"/>
      <w:marLeft w:val="0"/>
      <w:marRight w:val="0"/>
      <w:marTop w:val="0"/>
      <w:marBottom w:val="0"/>
      <w:divBdr>
        <w:top w:val="none" w:sz="0" w:space="0" w:color="auto"/>
        <w:left w:val="none" w:sz="0" w:space="0" w:color="auto"/>
        <w:bottom w:val="none" w:sz="0" w:space="0" w:color="auto"/>
        <w:right w:val="none" w:sz="0" w:space="0" w:color="auto"/>
      </w:divBdr>
    </w:div>
    <w:div w:id="366225678">
      <w:bodyDiv w:val="1"/>
      <w:marLeft w:val="0"/>
      <w:marRight w:val="0"/>
      <w:marTop w:val="0"/>
      <w:marBottom w:val="0"/>
      <w:divBdr>
        <w:top w:val="none" w:sz="0" w:space="0" w:color="auto"/>
        <w:left w:val="none" w:sz="0" w:space="0" w:color="auto"/>
        <w:bottom w:val="none" w:sz="0" w:space="0" w:color="auto"/>
        <w:right w:val="none" w:sz="0" w:space="0" w:color="auto"/>
      </w:divBdr>
    </w:div>
    <w:div w:id="368258802">
      <w:bodyDiv w:val="1"/>
      <w:marLeft w:val="0"/>
      <w:marRight w:val="0"/>
      <w:marTop w:val="0"/>
      <w:marBottom w:val="0"/>
      <w:divBdr>
        <w:top w:val="none" w:sz="0" w:space="0" w:color="auto"/>
        <w:left w:val="none" w:sz="0" w:space="0" w:color="auto"/>
        <w:bottom w:val="none" w:sz="0" w:space="0" w:color="auto"/>
        <w:right w:val="none" w:sz="0" w:space="0" w:color="auto"/>
      </w:divBdr>
    </w:div>
    <w:div w:id="369307391">
      <w:bodyDiv w:val="1"/>
      <w:marLeft w:val="0"/>
      <w:marRight w:val="0"/>
      <w:marTop w:val="0"/>
      <w:marBottom w:val="0"/>
      <w:divBdr>
        <w:top w:val="none" w:sz="0" w:space="0" w:color="auto"/>
        <w:left w:val="none" w:sz="0" w:space="0" w:color="auto"/>
        <w:bottom w:val="none" w:sz="0" w:space="0" w:color="auto"/>
        <w:right w:val="none" w:sz="0" w:space="0" w:color="auto"/>
      </w:divBdr>
    </w:div>
    <w:div w:id="371459724">
      <w:bodyDiv w:val="1"/>
      <w:marLeft w:val="0"/>
      <w:marRight w:val="0"/>
      <w:marTop w:val="0"/>
      <w:marBottom w:val="0"/>
      <w:divBdr>
        <w:top w:val="none" w:sz="0" w:space="0" w:color="auto"/>
        <w:left w:val="none" w:sz="0" w:space="0" w:color="auto"/>
        <w:bottom w:val="none" w:sz="0" w:space="0" w:color="auto"/>
        <w:right w:val="none" w:sz="0" w:space="0" w:color="auto"/>
      </w:divBdr>
    </w:div>
    <w:div w:id="380977070">
      <w:bodyDiv w:val="1"/>
      <w:marLeft w:val="0"/>
      <w:marRight w:val="0"/>
      <w:marTop w:val="0"/>
      <w:marBottom w:val="0"/>
      <w:divBdr>
        <w:top w:val="none" w:sz="0" w:space="0" w:color="auto"/>
        <w:left w:val="none" w:sz="0" w:space="0" w:color="auto"/>
        <w:bottom w:val="none" w:sz="0" w:space="0" w:color="auto"/>
        <w:right w:val="none" w:sz="0" w:space="0" w:color="auto"/>
      </w:divBdr>
    </w:div>
    <w:div w:id="389112835">
      <w:bodyDiv w:val="1"/>
      <w:marLeft w:val="0"/>
      <w:marRight w:val="0"/>
      <w:marTop w:val="0"/>
      <w:marBottom w:val="0"/>
      <w:divBdr>
        <w:top w:val="none" w:sz="0" w:space="0" w:color="auto"/>
        <w:left w:val="none" w:sz="0" w:space="0" w:color="auto"/>
        <w:bottom w:val="none" w:sz="0" w:space="0" w:color="auto"/>
        <w:right w:val="none" w:sz="0" w:space="0" w:color="auto"/>
      </w:divBdr>
    </w:div>
    <w:div w:id="391734904">
      <w:bodyDiv w:val="1"/>
      <w:marLeft w:val="0"/>
      <w:marRight w:val="0"/>
      <w:marTop w:val="0"/>
      <w:marBottom w:val="0"/>
      <w:divBdr>
        <w:top w:val="none" w:sz="0" w:space="0" w:color="auto"/>
        <w:left w:val="none" w:sz="0" w:space="0" w:color="auto"/>
        <w:bottom w:val="none" w:sz="0" w:space="0" w:color="auto"/>
        <w:right w:val="none" w:sz="0" w:space="0" w:color="auto"/>
      </w:divBdr>
    </w:div>
    <w:div w:id="397480558">
      <w:bodyDiv w:val="1"/>
      <w:marLeft w:val="0"/>
      <w:marRight w:val="0"/>
      <w:marTop w:val="0"/>
      <w:marBottom w:val="0"/>
      <w:divBdr>
        <w:top w:val="none" w:sz="0" w:space="0" w:color="auto"/>
        <w:left w:val="none" w:sz="0" w:space="0" w:color="auto"/>
        <w:bottom w:val="none" w:sz="0" w:space="0" w:color="auto"/>
        <w:right w:val="none" w:sz="0" w:space="0" w:color="auto"/>
      </w:divBdr>
    </w:div>
    <w:div w:id="401221861">
      <w:bodyDiv w:val="1"/>
      <w:marLeft w:val="0"/>
      <w:marRight w:val="0"/>
      <w:marTop w:val="0"/>
      <w:marBottom w:val="0"/>
      <w:divBdr>
        <w:top w:val="none" w:sz="0" w:space="0" w:color="auto"/>
        <w:left w:val="none" w:sz="0" w:space="0" w:color="auto"/>
        <w:bottom w:val="none" w:sz="0" w:space="0" w:color="auto"/>
        <w:right w:val="none" w:sz="0" w:space="0" w:color="auto"/>
      </w:divBdr>
    </w:div>
    <w:div w:id="403183250">
      <w:bodyDiv w:val="1"/>
      <w:marLeft w:val="0"/>
      <w:marRight w:val="0"/>
      <w:marTop w:val="0"/>
      <w:marBottom w:val="0"/>
      <w:divBdr>
        <w:top w:val="none" w:sz="0" w:space="0" w:color="auto"/>
        <w:left w:val="none" w:sz="0" w:space="0" w:color="auto"/>
        <w:bottom w:val="none" w:sz="0" w:space="0" w:color="auto"/>
        <w:right w:val="none" w:sz="0" w:space="0" w:color="auto"/>
      </w:divBdr>
    </w:div>
    <w:div w:id="413237233">
      <w:bodyDiv w:val="1"/>
      <w:marLeft w:val="0"/>
      <w:marRight w:val="0"/>
      <w:marTop w:val="0"/>
      <w:marBottom w:val="0"/>
      <w:divBdr>
        <w:top w:val="none" w:sz="0" w:space="0" w:color="auto"/>
        <w:left w:val="none" w:sz="0" w:space="0" w:color="auto"/>
        <w:bottom w:val="none" w:sz="0" w:space="0" w:color="auto"/>
        <w:right w:val="none" w:sz="0" w:space="0" w:color="auto"/>
      </w:divBdr>
    </w:div>
    <w:div w:id="420105510">
      <w:bodyDiv w:val="1"/>
      <w:marLeft w:val="0"/>
      <w:marRight w:val="0"/>
      <w:marTop w:val="0"/>
      <w:marBottom w:val="0"/>
      <w:divBdr>
        <w:top w:val="none" w:sz="0" w:space="0" w:color="auto"/>
        <w:left w:val="none" w:sz="0" w:space="0" w:color="auto"/>
        <w:bottom w:val="none" w:sz="0" w:space="0" w:color="auto"/>
        <w:right w:val="none" w:sz="0" w:space="0" w:color="auto"/>
      </w:divBdr>
    </w:div>
    <w:div w:id="427046344">
      <w:bodyDiv w:val="1"/>
      <w:marLeft w:val="0"/>
      <w:marRight w:val="0"/>
      <w:marTop w:val="0"/>
      <w:marBottom w:val="0"/>
      <w:divBdr>
        <w:top w:val="none" w:sz="0" w:space="0" w:color="auto"/>
        <w:left w:val="none" w:sz="0" w:space="0" w:color="auto"/>
        <w:bottom w:val="none" w:sz="0" w:space="0" w:color="auto"/>
        <w:right w:val="none" w:sz="0" w:space="0" w:color="auto"/>
      </w:divBdr>
    </w:div>
    <w:div w:id="436408441">
      <w:bodyDiv w:val="1"/>
      <w:marLeft w:val="0"/>
      <w:marRight w:val="0"/>
      <w:marTop w:val="0"/>
      <w:marBottom w:val="0"/>
      <w:divBdr>
        <w:top w:val="none" w:sz="0" w:space="0" w:color="auto"/>
        <w:left w:val="none" w:sz="0" w:space="0" w:color="auto"/>
        <w:bottom w:val="none" w:sz="0" w:space="0" w:color="auto"/>
        <w:right w:val="none" w:sz="0" w:space="0" w:color="auto"/>
      </w:divBdr>
    </w:div>
    <w:div w:id="461459749">
      <w:bodyDiv w:val="1"/>
      <w:marLeft w:val="0"/>
      <w:marRight w:val="0"/>
      <w:marTop w:val="0"/>
      <w:marBottom w:val="0"/>
      <w:divBdr>
        <w:top w:val="none" w:sz="0" w:space="0" w:color="auto"/>
        <w:left w:val="none" w:sz="0" w:space="0" w:color="auto"/>
        <w:bottom w:val="none" w:sz="0" w:space="0" w:color="auto"/>
        <w:right w:val="none" w:sz="0" w:space="0" w:color="auto"/>
      </w:divBdr>
    </w:div>
    <w:div w:id="464734398">
      <w:bodyDiv w:val="1"/>
      <w:marLeft w:val="0"/>
      <w:marRight w:val="0"/>
      <w:marTop w:val="0"/>
      <w:marBottom w:val="0"/>
      <w:divBdr>
        <w:top w:val="none" w:sz="0" w:space="0" w:color="auto"/>
        <w:left w:val="none" w:sz="0" w:space="0" w:color="auto"/>
        <w:bottom w:val="none" w:sz="0" w:space="0" w:color="auto"/>
        <w:right w:val="none" w:sz="0" w:space="0" w:color="auto"/>
      </w:divBdr>
    </w:div>
    <w:div w:id="469129419">
      <w:bodyDiv w:val="1"/>
      <w:marLeft w:val="0"/>
      <w:marRight w:val="0"/>
      <w:marTop w:val="0"/>
      <w:marBottom w:val="0"/>
      <w:divBdr>
        <w:top w:val="none" w:sz="0" w:space="0" w:color="auto"/>
        <w:left w:val="none" w:sz="0" w:space="0" w:color="auto"/>
        <w:bottom w:val="none" w:sz="0" w:space="0" w:color="auto"/>
        <w:right w:val="none" w:sz="0" w:space="0" w:color="auto"/>
      </w:divBdr>
    </w:div>
    <w:div w:id="491335926">
      <w:bodyDiv w:val="1"/>
      <w:marLeft w:val="0"/>
      <w:marRight w:val="0"/>
      <w:marTop w:val="0"/>
      <w:marBottom w:val="0"/>
      <w:divBdr>
        <w:top w:val="none" w:sz="0" w:space="0" w:color="auto"/>
        <w:left w:val="none" w:sz="0" w:space="0" w:color="auto"/>
        <w:bottom w:val="none" w:sz="0" w:space="0" w:color="auto"/>
        <w:right w:val="none" w:sz="0" w:space="0" w:color="auto"/>
      </w:divBdr>
    </w:div>
    <w:div w:id="492795151">
      <w:bodyDiv w:val="1"/>
      <w:marLeft w:val="0"/>
      <w:marRight w:val="0"/>
      <w:marTop w:val="0"/>
      <w:marBottom w:val="0"/>
      <w:divBdr>
        <w:top w:val="none" w:sz="0" w:space="0" w:color="auto"/>
        <w:left w:val="none" w:sz="0" w:space="0" w:color="auto"/>
        <w:bottom w:val="none" w:sz="0" w:space="0" w:color="auto"/>
        <w:right w:val="none" w:sz="0" w:space="0" w:color="auto"/>
      </w:divBdr>
    </w:div>
    <w:div w:id="496580074">
      <w:bodyDiv w:val="1"/>
      <w:marLeft w:val="0"/>
      <w:marRight w:val="0"/>
      <w:marTop w:val="0"/>
      <w:marBottom w:val="0"/>
      <w:divBdr>
        <w:top w:val="none" w:sz="0" w:space="0" w:color="auto"/>
        <w:left w:val="none" w:sz="0" w:space="0" w:color="auto"/>
        <w:bottom w:val="none" w:sz="0" w:space="0" w:color="auto"/>
        <w:right w:val="none" w:sz="0" w:space="0" w:color="auto"/>
      </w:divBdr>
    </w:div>
    <w:div w:id="504518497">
      <w:bodyDiv w:val="1"/>
      <w:marLeft w:val="0"/>
      <w:marRight w:val="0"/>
      <w:marTop w:val="0"/>
      <w:marBottom w:val="0"/>
      <w:divBdr>
        <w:top w:val="none" w:sz="0" w:space="0" w:color="auto"/>
        <w:left w:val="none" w:sz="0" w:space="0" w:color="auto"/>
        <w:bottom w:val="none" w:sz="0" w:space="0" w:color="auto"/>
        <w:right w:val="none" w:sz="0" w:space="0" w:color="auto"/>
      </w:divBdr>
    </w:div>
    <w:div w:id="510416433">
      <w:bodyDiv w:val="1"/>
      <w:marLeft w:val="0"/>
      <w:marRight w:val="0"/>
      <w:marTop w:val="0"/>
      <w:marBottom w:val="0"/>
      <w:divBdr>
        <w:top w:val="none" w:sz="0" w:space="0" w:color="auto"/>
        <w:left w:val="none" w:sz="0" w:space="0" w:color="auto"/>
        <w:bottom w:val="none" w:sz="0" w:space="0" w:color="auto"/>
        <w:right w:val="none" w:sz="0" w:space="0" w:color="auto"/>
      </w:divBdr>
    </w:div>
    <w:div w:id="540554462">
      <w:bodyDiv w:val="1"/>
      <w:marLeft w:val="0"/>
      <w:marRight w:val="0"/>
      <w:marTop w:val="0"/>
      <w:marBottom w:val="0"/>
      <w:divBdr>
        <w:top w:val="none" w:sz="0" w:space="0" w:color="auto"/>
        <w:left w:val="none" w:sz="0" w:space="0" w:color="auto"/>
        <w:bottom w:val="none" w:sz="0" w:space="0" w:color="auto"/>
        <w:right w:val="none" w:sz="0" w:space="0" w:color="auto"/>
      </w:divBdr>
    </w:div>
    <w:div w:id="545335732">
      <w:bodyDiv w:val="1"/>
      <w:marLeft w:val="0"/>
      <w:marRight w:val="0"/>
      <w:marTop w:val="0"/>
      <w:marBottom w:val="0"/>
      <w:divBdr>
        <w:top w:val="none" w:sz="0" w:space="0" w:color="auto"/>
        <w:left w:val="none" w:sz="0" w:space="0" w:color="auto"/>
        <w:bottom w:val="none" w:sz="0" w:space="0" w:color="auto"/>
        <w:right w:val="none" w:sz="0" w:space="0" w:color="auto"/>
      </w:divBdr>
    </w:div>
    <w:div w:id="545607581">
      <w:bodyDiv w:val="1"/>
      <w:marLeft w:val="0"/>
      <w:marRight w:val="0"/>
      <w:marTop w:val="0"/>
      <w:marBottom w:val="0"/>
      <w:divBdr>
        <w:top w:val="none" w:sz="0" w:space="0" w:color="auto"/>
        <w:left w:val="none" w:sz="0" w:space="0" w:color="auto"/>
        <w:bottom w:val="none" w:sz="0" w:space="0" w:color="auto"/>
        <w:right w:val="none" w:sz="0" w:space="0" w:color="auto"/>
      </w:divBdr>
    </w:div>
    <w:div w:id="546990272">
      <w:bodyDiv w:val="1"/>
      <w:marLeft w:val="0"/>
      <w:marRight w:val="0"/>
      <w:marTop w:val="0"/>
      <w:marBottom w:val="0"/>
      <w:divBdr>
        <w:top w:val="none" w:sz="0" w:space="0" w:color="auto"/>
        <w:left w:val="none" w:sz="0" w:space="0" w:color="auto"/>
        <w:bottom w:val="none" w:sz="0" w:space="0" w:color="auto"/>
        <w:right w:val="none" w:sz="0" w:space="0" w:color="auto"/>
      </w:divBdr>
    </w:div>
    <w:div w:id="568617538">
      <w:bodyDiv w:val="1"/>
      <w:marLeft w:val="0"/>
      <w:marRight w:val="0"/>
      <w:marTop w:val="0"/>
      <w:marBottom w:val="0"/>
      <w:divBdr>
        <w:top w:val="none" w:sz="0" w:space="0" w:color="auto"/>
        <w:left w:val="none" w:sz="0" w:space="0" w:color="auto"/>
        <w:bottom w:val="none" w:sz="0" w:space="0" w:color="auto"/>
        <w:right w:val="none" w:sz="0" w:space="0" w:color="auto"/>
      </w:divBdr>
    </w:div>
    <w:div w:id="586156387">
      <w:bodyDiv w:val="1"/>
      <w:marLeft w:val="0"/>
      <w:marRight w:val="0"/>
      <w:marTop w:val="0"/>
      <w:marBottom w:val="0"/>
      <w:divBdr>
        <w:top w:val="none" w:sz="0" w:space="0" w:color="auto"/>
        <w:left w:val="none" w:sz="0" w:space="0" w:color="auto"/>
        <w:bottom w:val="none" w:sz="0" w:space="0" w:color="auto"/>
        <w:right w:val="none" w:sz="0" w:space="0" w:color="auto"/>
      </w:divBdr>
    </w:div>
    <w:div w:id="591202331">
      <w:bodyDiv w:val="1"/>
      <w:marLeft w:val="0"/>
      <w:marRight w:val="0"/>
      <w:marTop w:val="0"/>
      <w:marBottom w:val="0"/>
      <w:divBdr>
        <w:top w:val="none" w:sz="0" w:space="0" w:color="auto"/>
        <w:left w:val="none" w:sz="0" w:space="0" w:color="auto"/>
        <w:bottom w:val="none" w:sz="0" w:space="0" w:color="auto"/>
        <w:right w:val="none" w:sz="0" w:space="0" w:color="auto"/>
      </w:divBdr>
    </w:div>
    <w:div w:id="595600904">
      <w:bodyDiv w:val="1"/>
      <w:marLeft w:val="0"/>
      <w:marRight w:val="0"/>
      <w:marTop w:val="0"/>
      <w:marBottom w:val="0"/>
      <w:divBdr>
        <w:top w:val="none" w:sz="0" w:space="0" w:color="auto"/>
        <w:left w:val="none" w:sz="0" w:space="0" w:color="auto"/>
        <w:bottom w:val="none" w:sz="0" w:space="0" w:color="auto"/>
        <w:right w:val="none" w:sz="0" w:space="0" w:color="auto"/>
      </w:divBdr>
    </w:div>
    <w:div w:id="617223453">
      <w:bodyDiv w:val="1"/>
      <w:marLeft w:val="0"/>
      <w:marRight w:val="0"/>
      <w:marTop w:val="0"/>
      <w:marBottom w:val="0"/>
      <w:divBdr>
        <w:top w:val="none" w:sz="0" w:space="0" w:color="auto"/>
        <w:left w:val="none" w:sz="0" w:space="0" w:color="auto"/>
        <w:bottom w:val="none" w:sz="0" w:space="0" w:color="auto"/>
        <w:right w:val="none" w:sz="0" w:space="0" w:color="auto"/>
      </w:divBdr>
    </w:div>
    <w:div w:id="625157865">
      <w:bodyDiv w:val="1"/>
      <w:marLeft w:val="0"/>
      <w:marRight w:val="0"/>
      <w:marTop w:val="0"/>
      <w:marBottom w:val="0"/>
      <w:divBdr>
        <w:top w:val="none" w:sz="0" w:space="0" w:color="auto"/>
        <w:left w:val="none" w:sz="0" w:space="0" w:color="auto"/>
        <w:bottom w:val="none" w:sz="0" w:space="0" w:color="auto"/>
        <w:right w:val="none" w:sz="0" w:space="0" w:color="auto"/>
      </w:divBdr>
    </w:div>
    <w:div w:id="646400869">
      <w:bodyDiv w:val="1"/>
      <w:marLeft w:val="0"/>
      <w:marRight w:val="0"/>
      <w:marTop w:val="0"/>
      <w:marBottom w:val="0"/>
      <w:divBdr>
        <w:top w:val="none" w:sz="0" w:space="0" w:color="auto"/>
        <w:left w:val="none" w:sz="0" w:space="0" w:color="auto"/>
        <w:bottom w:val="none" w:sz="0" w:space="0" w:color="auto"/>
        <w:right w:val="none" w:sz="0" w:space="0" w:color="auto"/>
      </w:divBdr>
    </w:div>
    <w:div w:id="646470428">
      <w:bodyDiv w:val="1"/>
      <w:marLeft w:val="0"/>
      <w:marRight w:val="0"/>
      <w:marTop w:val="0"/>
      <w:marBottom w:val="0"/>
      <w:divBdr>
        <w:top w:val="none" w:sz="0" w:space="0" w:color="auto"/>
        <w:left w:val="none" w:sz="0" w:space="0" w:color="auto"/>
        <w:bottom w:val="none" w:sz="0" w:space="0" w:color="auto"/>
        <w:right w:val="none" w:sz="0" w:space="0" w:color="auto"/>
      </w:divBdr>
    </w:div>
    <w:div w:id="675184341">
      <w:bodyDiv w:val="1"/>
      <w:marLeft w:val="0"/>
      <w:marRight w:val="0"/>
      <w:marTop w:val="0"/>
      <w:marBottom w:val="0"/>
      <w:divBdr>
        <w:top w:val="none" w:sz="0" w:space="0" w:color="auto"/>
        <w:left w:val="none" w:sz="0" w:space="0" w:color="auto"/>
        <w:bottom w:val="none" w:sz="0" w:space="0" w:color="auto"/>
        <w:right w:val="none" w:sz="0" w:space="0" w:color="auto"/>
      </w:divBdr>
    </w:div>
    <w:div w:id="679504685">
      <w:bodyDiv w:val="1"/>
      <w:marLeft w:val="0"/>
      <w:marRight w:val="0"/>
      <w:marTop w:val="0"/>
      <w:marBottom w:val="0"/>
      <w:divBdr>
        <w:top w:val="none" w:sz="0" w:space="0" w:color="auto"/>
        <w:left w:val="none" w:sz="0" w:space="0" w:color="auto"/>
        <w:bottom w:val="none" w:sz="0" w:space="0" w:color="auto"/>
        <w:right w:val="none" w:sz="0" w:space="0" w:color="auto"/>
      </w:divBdr>
    </w:div>
    <w:div w:id="680667542">
      <w:bodyDiv w:val="1"/>
      <w:marLeft w:val="0"/>
      <w:marRight w:val="0"/>
      <w:marTop w:val="0"/>
      <w:marBottom w:val="0"/>
      <w:divBdr>
        <w:top w:val="none" w:sz="0" w:space="0" w:color="auto"/>
        <w:left w:val="none" w:sz="0" w:space="0" w:color="auto"/>
        <w:bottom w:val="none" w:sz="0" w:space="0" w:color="auto"/>
        <w:right w:val="none" w:sz="0" w:space="0" w:color="auto"/>
      </w:divBdr>
    </w:div>
    <w:div w:id="681010499">
      <w:bodyDiv w:val="1"/>
      <w:marLeft w:val="0"/>
      <w:marRight w:val="0"/>
      <w:marTop w:val="0"/>
      <w:marBottom w:val="0"/>
      <w:divBdr>
        <w:top w:val="none" w:sz="0" w:space="0" w:color="auto"/>
        <w:left w:val="none" w:sz="0" w:space="0" w:color="auto"/>
        <w:bottom w:val="none" w:sz="0" w:space="0" w:color="auto"/>
        <w:right w:val="none" w:sz="0" w:space="0" w:color="auto"/>
      </w:divBdr>
    </w:div>
    <w:div w:id="683821649">
      <w:bodyDiv w:val="1"/>
      <w:marLeft w:val="0"/>
      <w:marRight w:val="0"/>
      <w:marTop w:val="0"/>
      <w:marBottom w:val="0"/>
      <w:divBdr>
        <w:top w:val="none" w:sz="0" w:space="0" w:color="auto"/>
        <w:left w:val="none" w:sz="0" w:space="0" w:color="auto"/>
        <w:bottom w:val="none" w:sz="0" w:space="0" w:color="auto"/>
        <w:right w:val="none" w:sz="0" w:space="0" w:color="auto"/>
      </w:divBdr>
    </w:div>
    <w:div w:id="685406103">
      <w:bodyDiv w:val="1"/>
      <w:marLeft w:val="0"/>
      <w:marRight w:val="0"/>
      <w:marTop w:val="0"/>
      <w:marBottom w:val="0"/>
      <w:divBdr>
        <w:top w:val="none" w:sz="0" w:space="0" w:color="auto"/>
        <w:left w:val="none" w:sz="0" w:space="0" w:color="auto"/>
        <w:bottom w:val="none" w:sz="0" w:space="0" w:color="auto"/>
        <w:right w:val="none" w:sz="0" w:space="0" w:color="auto"/>
      </w:divBdr>
    </w:div>
    <w:div w:id="692682715">
      <w:bodyDiv w:val="1"/>
      <w:marLeft w:val="0"/>
      <w:marRight w:val="0"/>
      <w:marTop w:val="0"/>
      <w:marBottom w:val="0"/>
      <w:divBdr>
        <w:top w:val="none" w:sz="0" w:space="0" w:color="auto"/>
        <w:left w:val="none" w:sz="0" w:space="0" w:color="auto"/>
        <w:bottom w:val="none" w:sz="0" w:space="0" w:color="auto"/>
        <w:right w:val="none" w:sz="0" w:space="0" w:color="auto"/>
      </w:divBdr>
    </w:div>
    <w:div w:id="700276639">
      <w:bodyDiv w:val="1"/>
      <w:marLeft w:val="0"/>
      <w:marRight w:val="0"/>
      <w:marTop w:val="0"/>
      <w:marBottom w:val="0"/>
      <w:divBdr>
        <w:top w:val="none" w:sz="0" w:space="0" w:color="auto"/>
        <w:left w:val="none" w:sz="0" w:space="0" w:color="auto"/>
        <w:bottom w:val="none" w:sz="0" w:space="0" w:color="auto"/>
        <w:right w:val="none" w:sz="0" w:space="0" w:color="auto"/>
      </w:divBdr>
    </w:div>
    <w:div w:id="700590101">
      <w:bodyDiv w:val="1"/>
      <w:marLeft w:val="0"/>
      <w:marRight w:val="0"/>
      <w:marTop w:val="0"/>
      <w:marBottom w:val="0"/>
      <w:divBdr>
        <w:top w:val="none" w:sz="0" w:space="0" w:color="auto"/>
        <w:left w:val="none" w:sz="0" w:space="0" w:color="auto"/>
        <w:bottom w:val="none" w:sz="0" w:space="0" w:color="auto"/>
        <w:right w:val="none" w:sz="0" w:space="0" w:color="auto"/>
      </w:divBdr>
    </w:div>
    <w:div w:id="705300968">
      <w:bodyDiv w:val="1"/>
      <w:marLeft w:val="0"/>
      <w:marRight w:val="0"/>
      <w:marTop w:val="0"/>
      <w:marBottom w:val="0"/>
      <w:divBdr>
        <w:top w:val="none" w:sz="0" w:space="0" w:color="auto"/>
        <w:left w:val="none" w:sz="0" w:space="0" w:color="auto"/>
        <w:bottom w:val="none" w:sz="0" w:space="0" w:color="auto"/>
        <w:right w:val="none" w:sz="0" w:space="0" w:color="auto"/>
      </w:divBdr>
    </w:div>
    <w:div w:id="721831632">
      <w:bodyDiv w:val="1"/>
      <w:marLeft w:val="0"/>
      <w:marRight w:val="0"/>
      <w:marTop w:val="0"/>
      <w:marBottom w:val="0"/>
      <w:divBdr>
        <w:top w:val="none" w:sz="0" w:space="0" w:color="auto"/>
        <w:left w:val="none" w:sz="0" w:space="0" w:color="auto"/>
        <w:bottom w:val="none" w:sz="0" w:space="0" w:color="auto"/>
        <w:right w:val="none" w:sz="0" w:space="0" w:color="auto"/>
      </w:divBdr>
    </w:div>
    <w:div w:id="728380110">
      <w:bodyDiv w:val="1"/>
      <w:marLeft w:val="0"/>
      <w:marRight w:val="0"/>
      <w:marTop w:val="0"/>
      <w:marBottom w:val="0"/>
      <w:divBdr>
        <w:top w:val="none" w:sz="0" w:space="0" w:color="auto"/>
        <w:left w:val="none" w:sz="0" w:space="0" w:color="auto"/>
        <w:bottom w:val="none" w:sz="0" w:space="0" w:color="auto"/>
        <w:right w:val="none" w:sz="0" w:space="0" w:color="auto"/>
      </w:divBdr>
    </w:div>
    <w:div w:id="729310185">
      <w:bodyDiv w:val="1"/>
      <w:marLeft w:val="0"/>
      <w:marRight w:val="0"/>
      <w:marTop w:val="0"/>
      <w:marBottom w:val="0"/>
      <w:divBdr>
        <w:top w:val="none" w:sz="0" w:space="0" w:color="auto"/>
        <w:left w:val="none" w:sz="0" w:space="0" w:color="auto"/>
        <w:bottom w:val="none" w:sz="0" w:space="0" w:color="auto"/>
        <w:right w:val="none" w:sz="0" w:space="0" w:color="auto"/>
      </w:divBdr>
    </w:div>
    <w:div w:id="733773240">
      <w:bodyDiv w:val="1"/>
      <w:marLeft w:val="0"/>
      <w:marRight w:val="0"/>
      <w:marTop w:val="0"/>
      <w:marBottom w:val="0"/>
      <w:divBdr>
        <w:top w:val="none" w:sz="0" w:space="0" w:color="auto"/>
        <w:left w:val="none" w:sz="0" w:space="0" w:color="auto"/>
        <w:bottom w:val="none" w:sz="0" w:space="0" w:color="auto"/>
        <w:right w:val="none" w:sz="0" w:space="0" w:color="auto"/>
      </w:divBdr>
    </w:div>
    <w:div w:id="737896318">
      <w:bodyDiv w:val="1"/>
      <w:marLeft w:val="0"/>
      <w:marRight w:val="0"/>
      <w:marTop w:val="0"/>
      <w:marBottom w:val="0"/>
      <w:divBdr>
        <w:top w:val="none" w:sz="0" w:space="0" w:color="auto"/>
        <w:left w:val="none" w:sz="0" w:space="0" w:color="auto"/>
        <w:bottom w:val="none" w:sz="0" w:space="0" w:color="auto"/>
        <w:right w:val="none" w:sz="0" w:space="0" w:color="auto"/>
      </w:divBdr>
    </w:div>
    <w:div w:id="741023542">
      <w:bodyDiv w:val="1"/>
      <w:marLeft w:val="0"/>
      <w:marRight w:val="0"/>
      <w:marTop w:val="0"/>
      <w:marBottom w:val="0"/>
      <w:divBdr>
        <w:top w:val="none" w:sz="0" w:space="0" w:color="auto"/>
        <w:left w:val="none" w:sz="0" w:space="0" w:color="auto"/>
        <w:bottom w:val="none" w:sz="0" w:space="0" w:color="auto"/>
        <w:right w:val="none" w:sz="0" w:space="0" w:color="auto"/>
      </w:divBdr>
    </w:div>
    <w:div w:id="765425953">
      <w:bodyDiv w:val="1"/>
      <w:marLeft w:val="0"/>
      <w:marRight w:val="0"/>
      <w:marTop w:val="0"/>
      <w:marBottom w:val="0"/>
      <w:divBdr>
        <w:top w:val="none" w:sz="0" w:space="0" w:color="auto"/>
        <w:left w:val="none" w:sz="0" w:space="0" w:color="auto"/>
        <w:bottom w:val="none" w:sz="0" w:space="0" w:color="auto"/>
        <w:right w:val="none" w:sz="0" w:space="0" w:color="auto"/>
      </w:divBdr>
    </w:div>
    <w:div w:id="783697385">
      <w:bodyDiv w:val="1"/>
      <w:marLeft w:val="0"/>
      <w:marRight w:val="0"/>
      <w:marTop w:val="0"/>
      <w:marBottom w:val="0"/>
      <w:divBdr>
        <w:top w:val="none" w:sz="0" w:space="0" w:color="auto"/>
        <w:left w:val="none" w:sz="0" w:space="0" w:color="auto"/>
        <w:bottom w:val="none" w:sz="0" w:space="0" w:color="auto"/>
        <w:right w:val="none" w:sz="0" w:space="0" w:color="auto"/>
      </w:divBdr>
    </w:div>
    <w:div w:id="788625797">
      <w:bodyDiv w:val="1"/>
      <w:marLeft w:val="0"/>
      <w:marRight w:val="0"/>
      <w:marTop w:val="0"/>
      <w:marBottom w:val="0"/>
      <w:divBdr>
        <w:top w:val="none" w:sz="0" w:space="0" w:color="auto"/>
        <w:left w:val="none" w:sz="0" w:space="0" w:color="auto"/>
        <w:bottom w:val="none" w:sz="0" w:space="0" w:color="auto"/>
        <w:right w:val="none" w:sz="0" w:space="0" w:color="auto"/>
      </w:divBdr>
    </w:div>
    <w:div w:id="799417045">
      <w:bodyDiv w:val="1"/>
      <w:marLeft w:val="0"/>
      <w:marRight w:val="0"/>
      <w:marTop w:val="0"/>
      <w:marBottom w:val="0"/>
      <w:divBdr>
        <w:top w:val="none" w:sz="0" w:space="0" w:color="auto"/>
        <w:left w:val="none" w:sz="0" w:space="0" w:color="auto"/>
        <w:bottom w:val="none" w:sz="0" w:space="0" w:color="auto"/>
        <w:right w:val="none" w:sz="0" w:space="0" w:color="auto"/>
      </w:divBdr>
    </w:div>
    <w:div w:id="808280659">
      <w:bodyDiv w:val="1"/>
      <w:marLeft w:val="0"/>
      <w:marRight w:val="0"/>
      <w:marTop w:val="0"/>
      <w:marBottom w:val="0"/>
      <w:divBdr>
        <w:top w:val="none" w:sz="0" w:space="0" w:color="auto"/>
        <w:left w:val="none" w:sz="0" w:space="0" w:color="auto"/>
        <w:bottom w:val="none" w:sz="0" w:space="0" w:color="auto"/>
        <w:right w:val="none" w:sz="0" w:space="0" w:color="auto"/>
      </w:divBdr>
    </w:div>
    <w:div w:id="832069896">
      <w:bodyDiv w:val="1"/>
      <w:marLeft w:val="0"/>
      <w:marRight w:val="0"/>
      <w:marTop w:val="0"/>
      <w:marBottom w:val="0"/>
      <w:divBdr>
        <w:top w:val="none" w:sz="0" w:space="0" w:color="auto"/>
        <w:left w:val="none" w:sz="0" w:space="0" w:color="auto"/>
        <w:bottom w:val="none" w:sz="0" w:space="0" w:color="auto"/>
        <w:right w:val="none" w:sz="0" w:space="0" w:color="auto"/>
      </w:divBdr>
    </w:div>
    <w:div w:id="832836495">
      <w:bodyDiv w:val="1"/>
      <w:marLeft w:val="0"/>
      <w:marRight w:val="0"/>
      <w:marTop w:val="0"/>
      <w:marBottom w:val="0"/>
      <w:divBdr>
        <w:top w:val="none" w:sz="0" w:space="0" w:color="auto"/>
        <w:left w:val="none" w:sz="0" w:space="0" w:color="auto"/>
        <w:bottom w:val="none" w:sz="0" w:space="0" w:color="auto"/>
        <w:right w:val="none" w:sz="0" w:space="0" w:color="auto"/>
      </w:divBdr>
    </w:div>
    <w:div w:id="835268778">
      <w:bodyDiv w:val="1"/>
      <w:marLeft w:val="0"/>
      <w:marRight w:val="0"/>
      <w:marTop w:val="0"/>
      <w:marBottom w:val="0"/>
      <w:divBdr>
        <w:top w:val="none" w:sz="0" w:space="0" w:color="auto"/>
        <w:left w:val="none" w:sz="0" w:space="0" w:color="auto"/>
        <w:bottom w:val="none" w:sz="0" w:space="0" w:color="auto"/>
        <w:right w:val="none" w:sz="0" w:space="0" w:color="auto"/>
      </w:divBdr>
    </w:div>
    <w:div w:id="840312630">
      <w:bodyDiv w:val="1"/>
      <w:marLeft w:val="0"/>
      <w:marRight w:val="0"/>
      <w:marTop w:val="0"/>
      <w:marBottom w:val="0"/>
      <w:divBdr>
        <w:top w:val="none" w:sz="0" w:space="0" w:color="auto"/>
        <w:left w:val="none" w:sz="0" w:space="0" w:color="auto"/>
        <w:bottom w:val="none" w:sz="0" w:space="0" w:color="auto"/>
        <w:right w:val="none" w:sz="0" w:space="0" w:color="auto"/>
      </w:divBdr>
    </w:div>
    <w:div w:id="840892957">
      <w:bodyDiv w:val="1"/>
      <w:marLeft w:val="0"/>
      <w:marRight w:val="0"/>
      <w:marTop w:val="0"/>
      <w:marBottom w:val="0"/>
      <w:divBdr>
        <w:top w:val="none" w:sz="0" w:space="0" w:color="auto"/>
        <w:left w:val="none" w:sz="0" w:space="0" w:color="auto"/>
        <w:bottom w:val="none" w:sz="0" w:space="0" w:color="auto"/>
        <w:right w:val="none" w:sz="0" w:space="0" w:color="auto"/>
      </w:divBdr>
    </w:div>
    <w:div w:id="844630521">
      <w:bodyDiv w:val="1"/>
      <w:marLeft w:val="0"/>
      <w:marRight w:val="0"/>
      <w:marTop w:val="0"/>
      <w:marBottom w:val="0"/>
      <w:divBdr>
        <w:top w:val="none" w:sz="0" w:space="0" w:color="auto"/>
        <w:left w:val="none" w:sz="0" w:space="0" w:color="auto"/>
        <w:bottom w:val="none" w:sz="0" w:space="0" w:color="auto"/>
        <w:right w:val="none" w:sz="0" w:space="0" w:color="auto"/>
      </w:divBdr>
    </w:div>
    <w:div w:id="854462225">
      <w:bodyDiv w:val="1"/>
      <w:marLeft w:val="0"/>
      <w:marRight w:val="0"/>
      <w:marTop w:val="0"/>
      <w:marBottom w:val="0"/>
      <w:divBdr>
        <w:top w:val="none" w:sz="0" w:space="0" w:color="auto"/>
        <w:left w:val="none" w:sz="0" w:space="0" w:color="auto"/>
        <w:bottom w:val="none" w:sz="0" w:space="0" w:color="auto"/>
        <w:right w:val="none" w:sz="0" w:space="0" w:color="auto"/>
      </w:divBdr>
    </w:div>
    <w:div w:id="866917548">
      <w:bodyDiv w:val="1"/>
      <w:marLeft w:val="0"/>
      <w:marRight w:val="0"/>
      <w:marTop w:val="0"/>
      <w:marBottom w:val="0"/>
      <w:divBdr>
        <w:top w:val="none" w:sz="0" w:space="0" w:color="auto"/>
        <w:left w:val="none" w:sz="0" w:space="0" w:color="auto"/>
        <w:bottom w:val="none" w:sz="0" w:space="0" w:color="auto"/>
        <w:right w:val="none" w:sz="0" w:space="0" w:color="auto"/>
      </w:divBdr>
    </w:div>
    <w:div w:id="890575175">
      <w:bodyDiv w:val="1"/>
      <w:marLeft w:val="0"/>
      <w:marRight w:val="0"/>
      <w:marTop w:val="0"/>
      <w:marBottom w:val="0"/>
      <w:divBdr>
        <w:top w:val="none" w:sz="0" w:space="0" w:color="auto"/>
        <w:left w:val="none" w:sz="0" w:space="0" w:color="auto"/>
        <w:bottom w:val="none" w:sz="0" w:space="0" w:color="auto"/>
        <w:right w:val="none" w:sz="0" w:space="0" w:color="auto"/>
      </w:divBdr>
    </w:div>
    <w:div w:id="917902623">
      <w:bodyDiv w:val="1"/>
      <w:marLeft w:val="0"/>
      <w:marRight w:val="0"/>
      <w:marTop w:val="0"/>
      <w:marBottom w:val="0"/>
      <w:divBdr>
        <w:top w:val="none" w:sz="0" w:space="0" w:color="auto"/>
        <w:left w:val="none" w:sz="0" w:space="0" w:color="auto"/>
        <w:bottom w:val="none" w:sz="0" w:space="0" w:color="auto"/>
        <w:right w:val="none" w:sz="0" w:space="0" w:color="auto"/>
      </w:divBdr>
    </w:div>
    <w:div w:id="962426145">
      <w:bodyDiv w:val="1"/>
      <w:marLeft w:val="0"/>
      <w:marRight w:val="0"/>
      <w:marTop w:val="0"/>
      <w:marBottom w:val="0"/>
      <w:divBdr>
        <w:top w:val="none" w:sz="0" w:space="0" w:color="auto"/>
        <w:left w:val="none" w:sz="0" w:space="0" w:color="auto"/>
        <w:bottom w:val="none" w:sz="0" w:space="0" w:color="auto"/>
        <w:right w:val="none" w:sz="0" w:space="0" w:color="auto"/>
      </w:divBdr>
    </w:div>
    <w:div w:id="979575562">
      <w:bodyDiv w:val="1"/>
      <w:marLeft w:val="0"/>
      <w:marRight w:val="0"/>
      <w:marTop w:val="0"/>
      <w:marBottom w:val="0"/>
      <w:divBdr>
        <w:top w:val="none" w:sz="0" w:space="0" w:color="auto"/>
        <w:left w:val="none" w:sz="0" w:space="0" w:color="auto"/>
        <w:bottom w:val="none" w:sz="0" w:space="0" w:color="auto"/>
        <w:right w:val="none" w:sz="0" w:space="0" w:color="auto"/>
      </w:divBdr>
    </w:div>
    <w:div w:id="980114086">
      <w:bodyDiv w:val="1"/>
      <w:marLeft w:val="0"/>
      <w:marRight w:val="0"/>
      <w:marTop w:val="0"/>
      <w:marBottom w:val="0"/>
      <w:divBdr>
        <w:top w:val="none" w:sz="0" w:space="0" w:color="auto"/>
        <w:left w:val="none" w:sz="0" w:space="0" w:color="auto"/>
        <w:bottom w:val="none" w:sz="0" w:space="0" w:color="auto"/>
        <w:right w:val="none" w:sz="0" w:space="0" w:color="auto"/>
      </w:divBdr>
    </w:div>
    <w:div w:id="1021782304">
      <w:bodyDiv w:val="1"/>
      <w:marLeft w:val="0"/>
      <w:marRight w:val="0"/>
      <w:marTop w:val="0"/>
      <w:marBottom w:val="0"/>
      <w:divBdr>
        <w:top w:val="none" w:sz="0" w:space="0" w:color="auto"/>
        <w:left w:val="none" w:sz="0" w:space="0" w:color="auto"/>
        <w:bottom w:val="none" w:sz="0" w:space="0" w:color="auto"/>
        <w:right w:val="none" w:sz="0" w:space="0" w:color="auto"/>
      </w:divBdr>
    </w:div>
    <w:div w:id="1047341957">
      <w:bodyDiv w:val="1"/>
      <w:marLeft w:val="0"/>
      <w:marRight w:val="0"/>
      <w:marTop w:val="0"/>
      <w:marBottom w:val="0"/>
      <w:divBdr>
        <w:top w:val="none" w:sz="0" w:space="0" w:color="auto"/>
        <w:left w:val="none" w:sz="0" w:space="0" w:color="auto"/>
        <w:bottom w:val="none" w:sz="0" w:space="0" w:color="auto"/>
        <w:right w:val="none" w:sz="0" w:space="0" w:color="auto"/>
      </w:divBdr>
    </w:div>
    <w:div w:id="1047604483">
      <w:bodyDiv w:val="1"/>
      <w:marLeft w:val="0"/>
      <w:marRight w:val="0"/>
      <w:marTop w:val="0"/>
      <w:marBottom w:val="0"/>
      <w:divBdr>
        <w:top w:val="none" w:sz="0" w:space="0" w:color="auto"/>
        <w:left w:val="none" w:sz="0" w:space="0" w:color="auto"/>
        <w:bottom w:val="none" w:sz="0" w:space="0" w:color="auto"/>
        <w:right w:val="none" w:sz="0" w:space="0" w:color="auto"/>
      </w:divBdr>
    </w:div>
    <w:div w:id="1062564190">
      <w:bodyDiv w:val="1"/>
      <w:marLeft w:val="0"/>
      <w:marRight w:val="0"/>
      <w:marTop w:val="0"/>
      <w:marBottom w:val="0"/>
      <w:divBdr>
        <w:top w:val="none" w:sz="0" w:space="0" w:color="auto"/>
        <w:left w:val="none" w:sz="0" w:space="0" w:color="auto"/>
        <w:bottom w:val="none" w:sz="0" w:space="0" w:color="auto"/>
        <w:right w:val="none" w:sz="0" w:space="0" w:color="auto"/>
      </w:divBdr>
    </w:div>
    <w:div w:id="1071195340">
      <w:bodyDiv w:val="1"/>
      <w:marLeft w:val="0"/>
      <w:marRight w:val="0"/>
      <w:marTop w:val="0"/>
      <w:marBottom w:val="0"/>
      <w:divBdr>
        <w:top w:val="none" w:sz="0" w:space="0" w:color="auto"/>
        <w:left w:val="none" w:sz="0" w:space="0" w:color="auto"/>
        <w:bottom w:val="none" w:sz="0" w:space="0" w:color="auto"/>
        <w:right w:val="none" w:sz="0" w:space="0" w:color="auto"/>
      </w:divBdr>
    </w:div>
    <w:div w:id="1079444696">
      <w:bodyDiv w:val="1"/>
      <w:marLeft w:val="0"/>
      <w:marRight w:val="0"/>
      <w:marTop w:val="0"/>
      <w:marBottom w:val="0"/>
      <w:divBdr>
        <w:top w:val="none" w:sz="0" w:space="0" w:color="auto"/>
        <w:left w:val="none" w:sz="0" w:space="0" w:color="auto"/>
        <w:bottom w:val="none" w:sz="0" w:space="0" w:color="auto"/>
        <w:right w:val="none" w:sz="0" w:space="0" w:color="auto"/>
      </w:divBdr>
    </w:div>
    <w:div w:id="1081365101">
      <w:bodyDiv w:val="1"/>
      <w:marLeft w:val="0"/>
      <w:marRight w:val="0"/>
      <w:marTop w:val="0"/>
      <w:marBottom w:val="0"/>
      <w:divBdr>
        <w:top w:val="none" w:sz="0" w:space="0" w:color="auto"/>
        <w:left w:val="none" w:sz="0" w:space="0" w:color="auto"/>
        <w:bottom w:val="none" w:sz="0" w:space="0" w:color="auto"/>
        <w:right w:val="none" w:sz="0" w:space="0" w:color="auto"/>
      </w:divBdr>
    </w:div>
    <w:div w:id="1094326862">
      <w:bodyDiv w:val="1"/>
      <w:marLeft w:val="0"/>
      <w:marRight w:val="0"/>
      <w:marTop w:val="0"/>
      <w:marBottom w:val="0"/>
      <w:divBdr>
        <w:top w:val="none" w:sz="0" w:space="0" w:color="auto"/>
        <w:left w:val="none" w:sz="0" w:space="0" w:color="auto"/>
        <w:bottom w:val="none" w:sz="0" w:space="0" w:color="auto"/>
        <w:right w:val="none" w:sz="0" w:space="0" w:color="auto"/>
      </w:divBdr>
    </w:div>
    <w:div w:id="1100639253">
      <w:bodyDiv w:val="1"/>
      <w:marLeft w:val="0"/>
      <w:marRight w:val="0"/>
      <w:marTop w:val="0"/>
      <w:marBottom w:val="0"/>
      <w:divBdr>
        <w:top w:val="none" w:sz="0" w:space="0" w:color="auto"/>
        <w:left w:val="none" w:sz="0" w:space="0" w:color="auto"/>
        <w:bottom w:val="none" w:sz="0" w:space="0" w:color="auto"/>
        <w:right w:val="none" w:sz="0" w:space="0" w:color="auto"/>
      </w:divBdr>
    </w:div>
    <w:div w:id="1103962199">
      <w:bodyDiv w:val="1"/>
      <w:marLeft w:val="0"/>
      <w:marRight w:val="0"/>
      <w:marTop w:val="0"/>
      <w:marBottom w:val="0"/>
      <w:divBdr>
        <w:top w:val="none" w:sz="0" w:space="0" w:color="auto"/>
        <w:left w:val="none" w:sz="0" w:space="0" w:color="auto"/>
        <w:bottom w:val="none" w:sz="0" w:space="0" w:color="auto"/>
        <w:right w:val="none" w:sz="0" w:space="0" w:color="auto"/>
      </w:divBdr>
    </w:div>
    <w:div w:id="1120488679">
      <w:bodyDiv w:val="1"/>
      <w:marLeft w:val="0"/>
      <w:marRight w:val="0"/>
      <w:marTop w:val="0"/>
      <w:marBottom w:val="0"/>
      <w:divBdr>
        <w:top w:val="none" w:sz="0" w:space="0" w:color="auto"/>
        <w:left w:val="none" w:sz="0" w:space="0" w:color="auto"/>
        <w:bottom w:val="none" w:sz="0" w:space="0" w:color="auto"/>
        <w:right w:val="none" w:sz="0" w:space="0" w:color="auto"/>
      </w:divBdr>
    </w:div>
    <w:div w:id="1123184871">
      <w:bodyDiv w:val="1"/>
      <w:marLeft w:val="0"/>
      <w:marRight w:val="0"/>
      <w:marTop w:val="0"/>
      <w:marBottom w:val="0"/>
      <w:divBdr>
        <w:top w:val="none" w:sz="0" w:space="0" w:color="auto"/>
        <w:left w:val="none" w:sz="0" w:space="0" w:color="auto"/>
        <w:bottom w:val="none" w:sz="0" w:space="0" w:color="auto"/>
        <w:right w:val="none" w:sz="0" w:space="0" w:color="auto"/>
      </w:divBdr>
    </w:div>
    <w:div w:id="1195193362">
      <w:bodyDiv w:val="1"/>
      <w:marLeft w:val="0"/>
      <w:marRight w:val="0"/>
      <w:marTop w:val="0"/>
      <w:marBottom w:val="0"/>
      <w:divBdr>
        <w:top w:val="none" w:sz="0" w:space="0" w:color="auto"/>
        <w:left w:val="none" w:sz="0" w:space="0" w:color="auto"/>
        <w:bottom w:val="none" w:sz="0" w:space="0" w:color="auto"/>
        <w:right w:val="none" w:sz="0" w:space="0" w:color="auto"/>
      </w:divBdr>
    </w:div>
    <w:div w:id="1211263472">
      <w:bodyDiv w:val="1"/>
      <w:marLeft w:val="0"/>
      <w:marRight w:val="0"/>
      <w:marTop w:val="0"/>
      <w:marBottom w:val="0"/>
      <w:divBdr>
        <w:top w:val="none" w:sz="0" w:space="0" w:color="auto"/>
        <w:left w:val="none" w:sz="0" w:space="0" w:color="auto"/>
        <w:bottom w:val="none" w:sz="0" w:space="0" w:color="auto"/>
        <w:right w:val="none" w:sz="0" w:space="0" w:color="auto"/>
      </w:divBdr>
    </w:div>
    <w:div w:id="1216703150">
      <w:bodyDiv w:val="1"/>
      <w:marLeft w:val="0"/>
      <w:marRight w:val="0"/>
      <w:marTop w:val="0"/>
      <w:marBottom w:val="0"/>
      <w:divBdr>
        <w:top w:val="none" w:sz="0" w:space="0" w:color="auto"/>
        <w:left w:val="none" w:sz="0" w:space="0" w:color="auto"/>
        <w:bottom w:val="none" w:sz="0" w:space="0" w:color="auto"/>
        <w:right w:val="none" w:sz="0" w:space="0" w:color="auto"/>
      </w:divBdr>
    </w:div>
    <w:div w:id="1229725858">
      <w:bodyDiv w:val="1"/>
      <w:marLeft w:val="0"/>
      <w:marRight w:val="0"/>
      <w:marTop w:val="0"/>
      <w:marBottom w:val="0"/>
      <w:divBdr>
        <w:top w:val="none" w:sz="0" w:space="0" w:color="auto"/>
        <w:left w:val="none" w:sz="0" w:space="0" w:color="auto"/>
        <w:bottom w:val="none" w:sz="0" w:space="0" w:color="auto"/>
        <w:right w:val="none" w:sz="0" w:space="0" w:color="auto"/>
      </w:divBdr>
    </w:div>
    <w:div w:id="1238130845">
      <w:bodyDiv w:val="1"/>
      <w:marLeft w:val="0"/>
      <w:marRight w:val="0"/>
      <w:marTop w:val="0"/>
      <w:marBottom w:val="0"/>
      <w:divBdr>
        <w:top w:val="none" w:sz="0" w:space="0" w:color="auto"/>
        <w:left w:val="none" w:sz="0" w:space="0" w:color="auto"/>
        <w:bottom w:val="none" w:sz="0" w:space="0" w:color="auto"/>
        <w:right w:val="none" w:sz="0" w:space="0" w:color="auto"/>
      </w:divBdr>
    </w:div>
    <w:div w:id="1255280781">
      <w:bodyDiv w:val="1"/>
      <w:marLeft w:val="0"/>
      <w:marRight w:val="0"/>
      <w:marTop w:val="0"/>
      <w:marBottom w:val="0"/>
      <w:divBdr>
        <w:top w:val="none" w:sz="0" w:space="0" w:color="auto"/>
        <w:left w:val="none" w:sz="0" w:space="0" w:color="auto"/>
        <w:bottom w:val="none" w:sz="0" w:space="0" w:color="auto"/>
        <w:right w:val="none" w:sz="0" w:space="0" w:color="auto"/>
      </w:divBdr>
    </w:div>
    <w:div w:id="1265573083">
      <w:bodyDiv w:val="1"/>
      <w:marLeft w:val="0"/>
      <w:marRight w:val="0"/>
      <w:marTop w:val="0"/>
      <w:marBottom w:val="0"/>
      <w:divBdr>
        <w:top w:val="none" w:sz="0" w:space="0" w:color="auto"/>
        <w:left w:val="none" w:sz="0" w:space="0" w:color="auto"/>
        <w:bottom w:val="none" w:sz="0" w:space="0" w:color="auto"/>
        <w:right w:val="none" w:sz="0" w:space="0" w:color="auto"/>
      </w:divBdr>
    </w:div>
    <w:div w:id="1271744197">
      <w:bodyDiv w:val="1"/>
      <w:marLeft w:val="0"/>
      <w:marRight w:val="0"/>
      <w:marTop w:val="0"/>
      <w:marBottom w:val="0"/>
      <w:divBdr>
        <w:top w:val="none" w:sz="0" w:space="0" w:color="auto"/>
        <w:left w:val="none" w:sz="0" w:space="0" w:color="auto"/>
        <w:bottom w:val="none" w:sz="0" w:space="0" w:color="auto"/>
        <w:right w:val="none" w:sz="0" w:space="0" w:color="auto"/>
      </w:divBdr>
    </w:div>
    <w:div w:id="1280142944">
      <w:bodyDiv w:val="1"/>
      <w:marLeft w:val="0"/>
      <w:marRight w:val="0"/>
      <w:marTop w:val="0"/>
      <w:marBottom w:val="0"/>
      <w:divBdr>
        <w:top w:val="none" w:sz="0" w:space="0" w:color="auto"/>
        <w:left w:val="none" w:sz="0" w:space="0" w:color="auto"/>
        <w:bottom w:val="none" w:sz="0" w:space="0" w:color="auto"/>
        <w:right w:val="none" w:sz="0" w:space="0" w:color="auto"/>
      </w:divBdr>
    </w:div>
    <w:div w:id="1289972013">
      <w:bodyDiv w:val="1"/>
      <w:marLeft w:val="0"/>
      <w:marRight w:val="0"/>
      <w:marTop w:val="0"/>
      <w:marBottom w:val="0"/>
      <w:divBdr>
        <w:top w:val="none" w:sz="0" w:space="0" w:color="auto"/>
        <w:left w:val="none" w:sz="0" w:space="0" w:color="auto"/>
        <w:bottom w:val="none" w:sz="0" w:space="0" w:color="auto"/>
        <w:right w:val="none" w:sz="0" w:space="0" w:color="auto"/>
      </w:divBdr>
    </w:div>
    <w:div w:id="1312634412">
      <w:bodyDiv w:val="1"/>
      <w:marLeft w:val="0"/>
      <w:marRight w:val="0"/>
      <w:marTop w:val="0"/>
      <w:marBottom w:val="0"/>
      <w:divBdr>
        <w:top w:val="none" w:sz="0" w:space="0" w:color="auto"/>
        <w:left w:val="none" w:sz="0" w:space="0" w:color="auto"/>
        <w:bottom w:val="none" w:sz="0" w:space="0" w:color="auto"/>
        <w:right w:val="none" w:sz="0" w:space="0" w:color="auto"/>
      </w:divBdr>
    </w:div>
    <w:div w:id="1377660083">
      <w:bodyDiv w:val="1"/>
      <w:marLeft w:val="0"/>
      <w:marRight w:val="0"/>
      <w:marTop w:val="0"/>
      <w:marBottom w:val="0"/>
      <w:divBdr>
        <w:top w:val="none" w:sz="0" w:space="0" w:color="auto"/>
        <w:left w:val="none" w:sz="0" w:space="0" w:color="auto"/>
        <w:bottom w:val="none" w:sz="0" w:space="0" w:color="auto"/>
        <w:right w:val="none" w:sz="0" w:space="0" w:color="auto"/>
      </w:divBdr>
    </w:div>
    <w:div w:id="1383674000">
      <w:bodyDiv w:val="1"/>
      <w:marLeft w:val="0"/>
      <w:marRight w:val="0"/>
      <w:marTop w:val="0"/>
      <w:marBottom w:val="0"/>
      <w:divBdr>
        <w:top w:val="none" w:sz="0" w:space="0" w:color="auto"/>
        <w:left w:val="none" w:sz="0" w:space="0" w:color="auto"/>
        <w:bottom w:val="none" w:sz="0" w:space="0" w:color="auto"/>
        <w:right w:val="none" w:sz="0" w:space="0" w:color="auto"/>
      </w:divBdr>
    </w:div>
    <w:div w:id="1386218422">
      <w:bodyDiv w:val="1"/>
      <w:marLeft w:val="0"/>
      <w:marRight w:val="0"/>
      <w:marTop w:val="0"/>
      <w:marBottom w:val="0"/>
      <w:divBdr>
        <w:top w:val="none" w:sz="0" w:space="0" w:color="auto"/>
        <w:left w:val="none" w:sz="0" w:space="0" w:color="auto"/>
        <w:bottom w:val="none" w:sz="0" w:space="0" w:color="auto"/>
        <w:right w:val="none" w:sz="0" w:space="0" w:color="auto"/>
      </w:divBdr>
    </w:div>
    <w:div w:id="1388649611">
      <w:bodyDiv w:val="1"/>
      <w:marLeft w:val="0"/>
      <w:marRight w:val="0"/>
      <w:marTop w:val="0"/>
      <w:marBottom w:val="0"/>
      <w:divBdr>
        <w:top w:val="none" w:sz="0" w:space="0" w:color="auto"/>
        <w:left w:val="none" w:sz="0" w:space="0" w:color="auto"/>
        <w:bottom w:val="none" w:sz="0" w:space="0" w:color="auto"/>
        <w:right w:val="none" w:sz="0" w:space="0" w:color="auto"/>
      </w:divBdr>
    </w:div>
    <w:div w:id="1388719382">
      <w:bodyDiv w:val="1"/>
      <w:marLeft w:val="0"/>
      <w:marRight w:val="0"/>
      <w:marTop w:val="0"/>
      <w:marBottom w:val="0"/>
      <w:divBdr>
        <w:top w:val="none" w:sz="0" w:space="0" w:color="auto"/>
        <w:left w:val="none" w:sz="0" w:space="0" w:color="auto"/>
        <w:bottom w:val="none" w:sz="0" w:space="0" w:color="auto"/>
        <w:right w:val="none" w:sz="0" w:space="0" w:color="auto"/>
      </w:divBdr>
    </w:div>
    <w:div w:id="1389308203">
      <w:bodyDiv w:val="1"/>
      <w:marLeft w:val="0"/>
      <w:marRight w:val="0"/>
      <w:marTop w:val="0"/>
      <w:marBottom w:val="0"/>
      <w:divBdr>
        <w:top w:val="none" w:sz="0" w:space="0" w:color="auto"/>
        <w:left w:val="none" w:sz="0" w:space="0" w:color="auto"/>
        <w:bottom w:val="none" w:sz="0" w:space="0" w:color="auto"/>
        <w:right w:val="none" w:sz="0" w:space="0" w:color="auto"/>
      </w:divBdr>
    </w:div>
    <w:div w:id="1391542383">
      <w:bodyDiv w:val="1"/>
      <w:marLeft w:val="0"/>
      <w:marRight w:val="0"/>
      <w:marTop w:val="0"/>
      <w:marBottom w:val="0"/>
      <w:divBdr>
        <w:top w:val="none" w:sz="0" w:space="0" w:color="auto"/>
        <w:left w:val="none" w:sz="0" w:space="0" w:color="auto"/>
        <w:bottom w:val="none" w:sz="0" w:space="0" w:color="auto"/>
        <w:right w:val="none" w:sz="0" w:space="0" w:color="auto"/>
      </w:divBdr>
    </w:div>
    <w:div w:id="1412658382">
      <w:bodyDiv w:val="1"/>
      <w:marLeft w:val="0"/>
      <w:marRight w:val="0"/>
      <w:marTop w:val="0"/>
      <w:marBottom w:val="0"/>
      <w:divBdr>
        <w:top w:val="none" w:sz="0" w:space="0" w:color="auto"/>
        <w:left w:val="none" w:sz="0" w:space="0" w:color="auto"/>
        <w:bottom w:val="none" w:sz="0" w:space="0" w:color="auto"/>
        <w:right w:val="none" w:sz="0" w:space="0" w:color="auto"/>
      </w:divBdr>
    </w:div>
    <w:div w:id="1430201265">
      <w:bodyDiv w:val="1"/>
      <w:marLeft w:val="0"/>
      <w:marRight w:val="0"/>
      <w:marTop w:val="0"/>
      <w:marBottom w:val="0"/>
      <w:divBdr>
        <w:top w:val="none" w:sz="0" w:space="0" w:color="auto"/>
        <w:left w:val="none" w:sz="0" w:space="0" w:color="auto"/>
        <w:bottom w:val="none" w:sz="0" w:space="0" w:color="auto"/>
        <w:right w:val="none" w:sz="0" w:space="0" w:color="auto"/>
      </w:divBdr>
    </w:div>
    <w:div w:id="1439301999">
      <w:bodyDiv w:val="1"/>
      <w:marLeft w:val="0"/>
      <w:marRight w:val="0"/>
      <w:marTop w:val="0"/>
      <w:marBottom w:val="0"/>
      <w:divBdr>
        <w:top w:val="none" w:sz="0" w:space="0" w:color="auto"/>
        <w:left w:val="none" w:sz="0" w:space="0" w:color="auto"/>
        <w:bottom w:val="none" w:sz="0" w:space="0" w:color="auto"/>
        <w:right w:val="none" w:sz="0" w:space="0" w:color="auto"/>
      </w:divBdr>
    </w:div>
    <w:div w:id="1463113502">
      <w:bodyDiv w:val="1"/>
      <w:marLeft w:val="0"/>
      <w:marRight w:val="0"/>
      <w:marTop w:val="0"/>
      <w:marBottom w:val="0"/>
      <w:divBdr>
        <w:top w:val="none" w:sz="0" w:space="0" w:color="auto"/>
        <w:left w:val="none" w:sz="0" w:space="0" w:color="auto"/>
        <w:bottom w:val="none" w:sz="0" w:space="0" w:color="auto"/>
        <w:right w:val="none" w:sz="0" w:space="0" w:color="auto"/>
      </w:divBdr>
    </w:div>
    <w:div w:id="1477182386">
      <w:bodyDiv w:val="1"/>
      <w:marLeft w:val="0"/>
      <w:marRight w:val="0"/>
      <w:marTop w:val="0"/>
      <w:marBottom w:val="0"/>
      <w:divBdr>
        <w:top w:val="none" w:sz="0" w:space="0" w:color="auto"/>
        <w:left w:val="none" w:sz="0" w:space="0" w:color="auto"/>
        <w:bottom w:val="none" w:sz="0" w:space="0" w:color="auto"/>
        <w:right w:val="none" w:sz="0" w:space="0" w:color="auto"/>
      </w:divBdr>
    </w:div>
    <w:div w:id="1477212831">
      <w:bodyDiv w:val="1"/>
      <w:marLeft w:val="0"/>
      <w:marRight w:val="0"/>
      <w:marTop w:val="0"/>
      <w:marBottom w:val="0"/>
      <w:divBdr>
        <w:top w:val="none" w:sz="0" w:space="0" w:color="auto"/>
        <w:left w:val="none" w:sz="0" w:space="0" w:color="auto"/>
        <w:bottom w:val="none" w:sz="0" w:space="0" w:color="auto"/>
        <w:right w:val="none" w:sz="0" w:space="0" w:color="auto"/>
      </w:divBdr>
    </w:div>
    <w:div w:id="1480224169">
      <w:bodyDiv w:val="1"/>
      <w:marLeft w:val="0"/>
      <w:marRight w:val="0"/>
      <w:marTop w:val="0"/>
      <w:marBottom w:val="0"/>
      <w:divBdr>
        <w:top w:val="none" w:sz="0" w:space="0" w:color="auto"/>
        <w:left w:val="none" w:sz="0" w:space="0" w:color="auto"/>
        <w:bottom w:val="none" w:sz="0" w:space="0" w:color="auto"/>
        <w:right w:val="none" w:sz="0" w:space="0" w:color="auto"/>
      </w:divBdr>
    </w:div>
    <w:div w:id="1481581965">
      <w:bodyDiv w:val="1"/>
      <w:marLeft w:val="0"/>
      <w:marRight w:val="0"/>
      <w:marTop w:val="0"/>
      <w:marBottom w:val="0"/>
      <w:divBdr>
        <w:top w:val="none" w:sz="0" w:space="0" w:color="auto"/>
        <w:left w:val="none" w:sz="0" w:space="0" w:color="auto"/>
        <w:bottom w:val="none" w:sz="0" w:space="0" w:color="auto"/>
        <w:right w:val="none" w:sz="0" w:space="0" w:color="auto"/>
      </w:divBdr>
    </w:div>
    <w:div w:id="1492788587">
      <w:bodyDiv w:val="1"/>
      <w:marLeft w:val="0"/>
      <w:marRight w:val="0"/>
      <w:marTop w:val="0"/>
      <w:marBottom w:val="0"/>
      <w:divBdr>
        <w:top w:val="none" w:sz="0" w:space="0" w:color="auto"/>
        <w:left w:val="none" w:sz="0" w:space="0" w:color="auto"/>
        <w:bottom w:val="none" w:sz="0" w:space="0" w:color="auto"/>
        <w:right w:val="none" w:sz="0" w:space="0" w:color="auto"/>
      </w:divBdr>
    </w:div>
    <w:div w:id="1503426230">
      <w:bodyDiv w:val="1"/>
      <w:marLeft w:val="0"/>
      <w:marRight w:val="0"/>
      <w:marTop w:val="0"/>
      <w:marBottom w:val="0"/>
      <w:divBdr>
        <w:top w:val="none" w:sz="0" w:space="0" w:color="auto"/>
        <w:left w:val="none" w:sz="0" w:space="0" w:color="auto"/>
        <w:bottom w:val="none" w:sz="0" w:space="0" w:color="auto"/>
        <w:right w:val="none" w:sz="0" w:space="0" w:color="auto"/>
      </w:divBdr>
    </w:div>
    <w:div w:id="1507282006">
      <w:bodyDiv w:val="1"/>
      <w:marLeft w:val="0"/>
      <w:marRight w:val="0"/>
      <w:marTop w:val="0"/>
      <w:marBottom w:val="0"/>
      <w:divBdr>
        <w:top w:val="none" w:sz="0" w:space="0" w:color="auto"/>
        <w:left w:val="none" w:sz="0" w:space="0" w:color="auto"/>
        <w:bottom w:val="none" w:sz="0" w:space="0" w:color="auto"/>
        <w:right w:val="none" w:sz="0" w:space="0" w:color="auto"/>
      </w:divBdr>
      <w:divsChild>
        <w:div w:id="289476735">
          <w:marLeft w:val="0"/>
          <w:marRight w:val="0"/>
          <w:marTop w:val="0"/>
          <w:marBottom w:val="0"/>
          <w:divBdr>
            <w:top w:val="none" w:sz="0" w:space="0" w:color="auto"/>
            <w:left w:val="none" w:sz="0" w:space="0" w:color="auto"/>
            <w:bottom w:val="none" w:sz="0" w:space="0" w:color="auto"/>
            <w:right w:val="none" w:sz="0" w:space="0" w:color="auto"/>
          </w:divBdr>
        </w:div>
      </w:divsChild>
    </w:div>
    <w:div w:id="1512722520">
      <w:bodyDiv w:val="1"/>
      <w:marLeft w:val="0"/>
      <w:marRight w:val="0"/>
      <w:marTop w:val="0"/>
      <w:marBottom w:val="0"/>
      <w:divBdr>
        <w:top w:val="none" w:sz="0" w:space="0" w:color="auto"/>
        <w:left w:val="none" w:sz="0" w:space="0" w:color="auto"/>
        <w:bottom w:val="none" w:sz="0" w:space="0" w:color="auto"/>
        <w:right w:val="none" w:sz="0" w:space="0" w:color="auto"/>
      </w:divBdr>
    </w:div>
    <w:div w:id="1512917787">
      <w:bodyDiv w:val="1"/>
      <w:marLeft w:val="0"/>
      <w:marRight w:val="0"/>
      <w:marTop w:val="0"/>
      <w:marBottom w:val="0"/>
      <w:divBdr>
        <w:top w:val="none" w:sz="0" w:space="0" w:color="auto"/>
        <w:left w:val="none" w:sz="0" w:space="0" w:color="auto"/>
        <w:bottom w:val="none" w:sz="0" w:space="0" w:color="auto"/>
        <w:right w:val="none" w:sz="0" w:space="0" w:color="auto"/>
      </w:divBdr>
    </w:div>
    <w:div w:id="1516769148">
      <w:bodyDiv w:val="1"/>
      <w:marLeft w:val="0"/>
      <w:marRight w:val="0"/>
      <w:marTop w:val="0"/>
      <w:marBottom w:val="0"/>
      <w:divBdr>
        <w:top w:val="none" w:sz="0" w:space="0" w:color="auto"/>
        <w:left w:val="none" w:sz="0" w:space="0" w:color="auto"/>
        <w:bottom w:val="none" w:sz="0" w:space="0" w:color="auto"/>
        <w:right w:val="none" w:sz="0" w:space="0" w:color="auto"/>
      </w:divBdr>
    </w:div>
    <w:div w:id="1533687812">
      <w:bodyDiv w:val="1"/>
      <w:marLeft w:val="0"/>
      <w:marRight w:val="0"/>
      <w:marTop w:val="0"/>
      <w:marBottom w:val="0"/>
      <w:divBdr>
        <w:top w:val="none" w:sz="0" w:space="0" w:color="auto"/>
        <w:left w:val="none" w:sz="0" w:space="0" w:color="auto"/>
        <w:bottom w:val="none" w:sz="0" w:space="0" w:color="auto"/>
        <w:right w:val="none" w:sz="0" w:space="0" w:color="auto"/>
      </w:divBdr>
    </w:div>
    <w:div w:id="1539855518">
      <w:bodyDiv w:val="1"/>
      <w:marLeft w:val="0"/>
      <w:marRight w:val="0"/>
      <w:marTop w:val="0"/>
      <w:marBottom w:val="0"/>
      <w:divBdr>
        <w:top w:val="none" w:sz="0" w:space="0" w:color="auto"/>
        <w:left w:val="none" w:sz="0" w:space="0" w:color="auto"/>
        <w:bottom w:val="none" w:sz="0" w:space="0" w:color="auto"/>
        <w:right w:val="none" w:sz="0" w:space="0" w:color="auto"/>
      </w:divBdr>
    </w:div>
    <w:div w:id="1543134548">
      <w:bodyDiv w:val="1"/>
      <w:marLeft w:val="0"/>
      <w:marRight w:val="0"/>
      <w:marTop w:val="0"/>
      <w:marBottom w:val="0"/>
      <w:divBdr>
        <w:top w:val="none" w:sz="0" w:space="0" w:color="auto"/>
        <w:left w:val="none" w:sz="0" w:space="0" w:color="auto"/>
        <w:bottom w:val="none" w:sz="0" w:space="0" w:color="auto"/>
        <w:right w:val="none" w:sz="0" w:space="0" w:color="auto"/>
      </w:divBdr>
    </w:div>
    <w:div w:id="1543592952">
      <w:bodyDiv w:val="1"/>
      <w:marLeft w:val="0"/>
      <w:marRight w:val="0"/>
      <w:marTop w:val="0"/>
      <w:marBottom w:val="0"/>
      <w:divBdr>
        <w:top w:val="none" w:sz="0" w:space="0" w:color="auto"/>
        <w:left w:val="none" w:sz="0" w:space="0" w:color="auto"/>
        <w:bottom w:val="none" w:sz="0" w:space="0" w:color="auto"/>
        <w:right w:val="none" w:sz="0" w:space="0" w:color="auto"/>
      </w:divBdr>
    </w:div>
    <w:div w:id="1562594340">
      <w:bodyDiv w:val="1"/>
      <w:marLeft w:val="0"/>
      <w:marRight w:val="0"/>
      <w:marTop w:val="0"/>
      <w:marBottom w:val="0"/>
      <w:divBdr>
        <w:top w:val="none" w:sz="0" w:space="0" w:color="auto"/>
        <w:left w:val="none" w:sz="0" w:space="0" w:color="auto"/>
        <w:bottom w:val="none" w:sz="0" w:space="0" w:color="auto"/>
        <w:right w:val="none" w:sz="0" w:space="0" w:color="auto"/>
      </w:divBdr>
    </w:div>
    <w:div w:id="1564634236">
      <w:bodyDiv w:val="1"/>
      <w:marLeft w:val="0"/>
      <w:marRight w:val="0"/>
      <w:marTop w:val="0"/>
      <w:marBottom w:val="0"/>
      <w:divBdr>
        <w:top w:val="none" w:sz="0" w:space="0" w:color="auto"/>
        <w:left w:val="none" w:sz="0" w:space="0" w:color="auto"/>
        <w:bottom w:val="none" w:sz="0" w:space="0" w:color="auto"/>
        <w:right w:val="none" w:sz="0" w:space="0" w:color="auto"/>
      </w:divBdr>
    </w:div>
    <w:div w:id="1568570310">
      <w:bodyDiv w:val="1"/>
      <w:marLeft w:val="0"/>
      <w:marRight w:val="0"/>
      <w:marTop w:val="0"/>
      <w:marBottom w:val="0"/>
      <w:divBdr>
        <w:top w:val="none" w:sz="0" w:space="0" w:color="auto"/>
        <w:left w:val="none" w:sz="0" w:space="0" w:color="auto"/>
        <w:bottom w:val="none" w:sz="0" w:space="0" w:color="auto"/>
        <w:right w:val="none" w:sz="0" w:space="0" w:color="auto"/>
      </w:divBdr>
    </w:div>
    <w:div w:id="1571185651">
      <w:bodyDiv w:val="1"/>
      <w:marLeft w:val="0"/>
      <w:marRight w:val="0"/>
      <w:marTop w:val="0"/>
      <w:marBottom w:val="0"/>
      <w:divBdr>
        <w:top w:val="none" w:sz="0" w:space="0" w:color="auto"/>
        <w:left w:val="none" w:sz="0" w:space="0" w:color="auto"/>
        <w:bottom w:val="none" w:sz="0" w:space="0" w:color="auto"/>
        <w:right w:val="none" w:sz="0" w:space="0" w:color="auto"/>
      </w:divBdr>
    </w:div>
    <w:div w:id="1575313174">
      <w:bodyDiv w:val="1"/>
      <w:marLeft w:val="0"/>
      <w:marRight w:val="0"/>
      <w:marTop w:val="0"/>
      <w:marBottom w:val="0"/>
      <w:divBdr>
        <w:top w:val="none" w:sz="0" w:space="0" w:color="auto"/>
        <w:left w:val="none" w:sz="0" w:space="0" w:color="auto"/>
        <w:bottom w:val="none" w:sz="0" w:space="0" w:color="auto"/>
        <w:right w:val="none" w:sz="0" w:space="0" w:color="auto"/>
      </w:divBdr>
    </w:div>
    <w:div w:id="1584485119">
      <w:bodyDiv w:val="1"/>
      <w:marLeft w:val="0"/>
      <w:marRight w:val="0"/>
      <w:marTop w:val="0"/>
      <w:marBottom w:val="0"/>
      <w:divBdr>
        <w:top w:val="none" w:sz="0" w:space="0" w:color="auto"/>
        <w:left w:val="none" w:sz="0" w:space="0" w:color="auto"/>
        <w:bottom w:val="none" w:sz="0" w:space="0" w:color="auto"/>
        <w:right w:val="none" w:sz="0" w:space="0" w:color="auto"/>
      </w:divBdr>
    </w:div>
    <w:div w:id="1596592379">
      <w:bodyDiv w:val="1"/>
      <w:marLeft w:val="0"/>
      <w:marRight w:val="0"/>
      <w:marTop w:val="0"/>
      <w:marBottom w:val="0"/>
      <w:divBdr>
        <w:top w:val="none" w:sz="0" w:space="0" w:color="auto"/>
        <w:left w:val="none" w:sz="0" w:space="0" w:color="auto"/>
        <w:bottom w:val="none" w:sz="0" w:space="0" w:color="auto"/>
        <w:right w:val="none" w:sz="0" w:space="0" w:color="auto"/>
      </w:divBdr>
    </w:div>
    <w:div w:id="1613710078">
      <w:bodyDiv w:val="1"/>
      <w:marLeft w:val="0"/>
      <w:marRight w:val="0"/>
      <w:marTop w:val="0"/>
      <w:marBottom w:val="0"/>
      <w:divBdr>
        <w:top w:val="none" w:sz="0" w:space="0" w:color="auto"/>
        <w:left w:val="none" w:sz="0" w:space="0" w:color="auto"/>
        <w:bottom w:val="none" w:sz="0" w:space="0" w:color="auto"/>
        <w:right w:val="none" w:sz="0" w:space="0" w:color="auto"/>
      </w:divBdr>
    </w:div>
    <w:div w:id="1614970725">
      <w:bodyDiv w:val="1"/>
      <w:marLeft w:val="0"/>
      <w:marRight w:val="0"/>
      <w:marTop w:val="0"/>
      <w:marBottom w:val="0"/>
      <w:divBdr>
        <w:top w:val="none" w:sz="0" w:space="0" w:color="auto"/>
        <w:left w:val="none" w:sz="0" w:space="0" w:color="auto"/>
        <w:bottom w:val="none" w:sz="0" w:space="0" w:color="auto"/>
        <w:right w:val="none" w:sz="0" w:space="0" w:color="auto"/>
      </w:divBdr>
    </w:div>
    <w:div w:id="1659456667">
      <w:bodyDiv w:val="1"/>
      <w:marLeft w:val="0"/>
      <w:marRight w:val="0"/>
      <w:marTop w:val="0"/>
      <w:marBottom w:val="0"/>
      <w:divBdr>
        <w:top w:val="none" w:sz="0" w:space="0" w:color="auto"/>
        <w:left w:val="none" w:sz="0" w:space="0" w:color="auto"/>
        <w:bottom w:val="none" w:sz="0" w:space="0" w:color="auto"/>
        <w:right w:val="none" w:sz="0" w:space="0" w:color="auto"/>
      </w:divBdr>
    </w:div>
    <w:div w:id="1673989508">
      <w:bodyDiv w:val="1"/>
      <w:marLeft w:val="0"/>
      <w:marRight w:val="0"/>
      <w:marTop w:val="0"/>
      <w:marBottom w:val="0"/>
      <w:divBdr>
        <w:top w:val="none" w:sz="0" w:space="0" w:color="auto"/>
        <w:left w:val="none" w:sz="0" w:space="0" w:color="auto"/>
        <w:bottom w:val="none" w:sz="0" w:space="0" w:color="auto"/>
        <w:right w:val="none" w:sz="0" w:space="0" w:color="auto"/>
      </w:divBdr>
    </w:div>
    <w:div w:id="1680043427">
      <w:bodyDiv w:val="1"/>
      <w:marLeft w:val="0"/>
      <w:marRight w:val="0"/>
      <w:marTop w:val="0"/>
      <w:marBottom w:val="0"/>
      <w:divBdr>
        <w:top w:val="none" w:sz="0" w:space="0" w:color="auto"/>
        <w:left w:val="none" w:sz="0" w:space="0" w:color="auto"/>
        <w:bottom w:val="none" w:sz="0" w:space="0" w:color="auto"/>
        <w:right w:val="none" w:sz="0" w:space="0" w:color="auto"/>
      </w:divBdr>
    </w:div>
    <w:div w:id="1699771474">
      <w:bodyDiv w:val="1"/>
      <w:marLeft w:val="0"/>
      <w:marRight w:val="0"/>
      <w:marTop w:val="0"/>
      <w:marBottom w:val="0"/>
      <w:divBdr>
        <w:top w:val="none" w:sz="0" w:space="0" w:color="auto"/>
        <w:left w:val="none" w:sz="0" w:space="0" w:color="auto"/>
        <w:bottom w:val="none" w:sz="0" w:space="0" w:color="auto"/>
        <w:right w:val="none" w:sz="0" w:space="0" w:color="auto"/>
      </w:divBdr>
    </w:div>
    <w:div w:id="1699966890">
      <w:bodyDiv w:val="1"/>
      <w:marLeft w:val="0"/>
      <w:marRight w:val="0"/>
      <w:marTop w:val="0"/>
      <w:marBottom w:val="0"/>
      <w:divBdr>
        <w:top w:val="none" w:sz="0" w:space="0" w:color="auto"/>
        <w:left w:val="none" w:sz="0" w:space="0" w:color="auto"/>
        <w:bottom w:val="none" w:sz="0" w:space="0" w:color="auto"/>
        <w:right w:val="none" w:sz="0" w:space="0" w:color="auto"/>
      </w:divBdr>
    </w:div>
    <w:div w:id="1700542198">
      <w:bodyDiv w:val="1"/>
      <w:marLeft w:val="0"/>
      <w:marRight w:val="0"/>
      <w:marTop w:val="0"/>
      <w:marBottom w:val="0"/>
      <w:divBdr>
        <w:top w:val="none" w:sz="0" w:space="0" w:color="auto"/>
        <w:left w:val="none" w:sz="0" w:space="0" w:color="auto"/>
        <w:bottom w:val="none" w:sz="0" w:space="0" w:color="auto"/>
        <w:right w:val="none" w:sz="0" w:space="0" w:color="auto"/>
      </w:divBdr>
    </w:div>
    <w:div w:id="1700936869">
      <w:bodyDiv w:val="1"/>
      <w:marLeft w:val="0"/>
      <w:marRight w:val="0"/>
      <w:marTop w:val="0"/>
      <w:marBottom w:val="0"/>
      <w:divBdr>
        <w:top w:val="none" w:sz="0" w:space="0" w:color="auto"/>
        <w:left w:val="none" w:sz="0" w:space="0" w:color="auto"/>
        <w:bottom w:val="none" w:sz="0" w:space="0" w:color="auto"/>
        <w:right w:val="none" w:sz="0" w:space="0" w:color="auto"/>
      </w:divBdr>
    </w:div>
    <w:div w:id="1701397632">
      <w:bodyDiv w:val="1"/>
      <w:marLeft w:val="0"/>
      <w:marRight w:val="0"/>
      <w:marTop w:val="0"/>
      <w:marBottom w:val="0"/>
      <w:divBdr>
        <w:top w:val="none" w:sz="0" w:space="0" w:color="auto"/>
        <w:left w:val="none" w:sz="0" w:space="0" w:color="auto"/>
        <w:bottom w:val="none" w:sz="0" w:space="0" w:color="auto"/>
        <w:right w:val="none" w:sz="0" w:space="0" w:color="auto"/>
      </w:divBdr>
    </w:div>
    <w:div w:id="1756583612">
      <w:bodyDiv w:val="1"/>
      <w:marLeft w:val="0"/>
      <w:marRight w:val="0"/>
      <w:marTop w:val="0"/>
      <w:marBottom w:val="0"/>
      <w:divBdr>
        <w:top w:val="none" w:sz="0" w:space="0" w:color="auto"/>
        <w:left w:val="none" w:sz="0" w:space="0" w:color="auto"/>
        <w:bottom w:val="none" w:sz="0" w:space="0" w:color="auto"/>
        <w:right w:val="none" w:sz="0" w:space="0" w:color="auto"/>
      </w:divBdr>
      <w:divsChild>
        <w:div w:id="2074160360">
          <w:marLeft w:val="0"/>
          <w:marRight w:val="0"/>
          <w:marTop w:val="0"/>
          <w:marBottom w:val="0"/>
          <w:divBdr>
            <w:top w:val="none" w:sz="0" w:space="0" w:color="auto"/>
            <w:left w:val="none" w:sz="0" w:space="0" w:color="auto"/>
            <w:bottom w:val="none" w:sz="0" w:space="0" w:color="auto"/>
            <w:right w:val="none" w:sz="0" w:space="0" w:color="auto"/>
          </w:divBdr>
        </w:div>
      </w:divsChild>
    </w:div>
    <w:div w:id="1756970623">
      <w:bodyDiv w:val="1"/>
      <w:marLeft w:val="0"/>
      <w:marRight w:val="0"/>
      <w:marTop w:val="0"/>
      <w:marBottom w:val="0"/>
      <w:divBdr>
        <w:top w:val="none" w:sz="0" w:space="0" w:color="auto"/>
        <w:left w:val="none" w:sz="0" w:space="0" w:color="auto"/>
        <w:bottom w:val="none" w:sz="0" w:space="0" w:color="auto"/>
        <w:right w:val="none" w:sz="0" w:space="0" w:color="auto"/>
      </w:divBdr>
    </w:div>
    <w:div w:id="1761172591">
      <w:bodyDiv w:val="1"/>
      <w:marLeft w:val="0"/>
      <w:marRight w:val="0"/>
      <w:marTop w:val="0"/>
      <w:marBottom w:val="0"/>
      <w:divBdr>
        <w:top w:val="none" w:sz="0" w:space="0" w:color="auto"/>
        <w:left w:val="none" w:sz="0" w:space="0" w:color="auto"/>
        <w:bottom w:val="none" w:sz="0" w:space="0" w:color="auto"/>
        <w:right w:val="none" w:sz="0" w:space="0" w:color="auto"/>
      </w:divBdr>
    </w:div>
    <w:div w:id="1762145376">
      <w:bodyDiv w:val="1"/>
      <w:marLeft w:val="0"/>
      <w:marRight w:val="0"/>
      <w:marTop w:val="0"/>
      <w:marBottom w:val="0"/>
      <w:divBdr>
        <w:top w:val="none" w:sz="0" w:space="0" w:color="auto"/>
        <w:left w:val="none" w:sz="0" w:space="0" w:color="auto"/>
        <w:bottom w:val="none" w:sz="0" w:space="0" w:color="auto"/>
        <w:right w:val="none" w:sz="0" w:space="0" w:color="auto"/>
      </w:divBdr>
    </w:div>
    <w:div w:id="1763725241">
      <w:bodyDiv w:val="1"/>
      <w:marLeft w:val="0"/>
      <w:marRight w:val="0"/>
      <w:marTop w:val="0"/>
      <w:marBottom w:val="0"/>
      <w:divBdr>
        <w:top w:val="none" w:sz="0" w:space="0" w:color="auto"/>
        <w:left w:val="none" w:sz="0" w:space="0" w:color="auto"/>
        <w:bottom w:val="none" w:sz="0" w:space="0" w:color="auto"/>
        <w:right w:val="none" w:sz="0" w:space="0" w:color="auto"/>
      </w:divBdr>
    </w:div>
    <w:div w:id="1774010814">
      <w:bodyDiv w:val="1"/>
      <w:marLeft w:val="0"/>
      <w:marRight w:val="0"/>
      <w:marTop w:val="0"/>
      <w:marBottom w:val="0"/>
      <w:divBdr>
        <w:top w:val="none" w:sz="0" w:space="0" w:color="auto"/>
        <w:left w:val="none" w:sz="0" w:space="0" w:color="auto"/>
        <w:bottom w:val="none" w:sz="0" w:space="0" w:color="auto"/>
        <w:right w:val="none" w:sz="0" w:space="0" w:color="auto"/>
      </w:divBdr>
    </w:div>
    <w:div w:id="1776822260">
      <w:bodyDiv w:val="1"/>
      <w:marLeft w:val="0"/>
      <w:marRight w:val="0"/>
      <w:marTop w:val="0"/>
      <w:marBottom w:val="0"/>
      <w:divBdr>
        <w:top w:val="none" w:sz="0" w:space="0" w:color="auto"/>
        <w:left w:val="none" w:sz="0" w:space="0" w:color="auto"/>
        <w:bottom w:val="none" w:sz="0" w:space="0" w:color="auto"/>
        <w:right w:val="none" w:sz="0" w:space="0" w:color="auto"/>
      </w:divBdr>
    </w:div>
    <w:div w:id="1779056649">
      <w:bodyDiv w:val="1"/>
      <w:marLeft w:val="0"/>
      <w:marRight w:val="0"/>
      <w:marTop w:val="0"/>
      <w:marBottom w:val="0"/>
      <w:divBdr>
        <w:top w:val="none" w:sz="0" w:space="0" w:color="auto"/>
        <w:left w:val="none" w:sz="0" w:space="0" w:color="auto"/>
        <w:bottom w:val="none" w:sz="0" w:space="0" w:color="auto"/>
        <w:right w:val="none" w:sz="0" w:space="0" w:color="auto"/>
      </w:divBdr>
    </w:div>
    <w:div w:id="1790780641">
      <w:bodyDiv w:val="1"/>
      <w:marLeft w:val="0"/>
      <w:marRight w:val="0"/>
      <w:marTop w:val="0"/>
      <w:marBottom w:val="0"/>
      <w:divBdr>
        <w:top w:val="none" w:sz="0" w:space="0" w:color="auto"/>
        <w:left w:val="none" w:sz="0" w:space="0" w:color="auto"/>
        <w:bottom w:val="none" w:sz="0" w:space="0" w:color="auto"/>
        <w:right w:val="none" w:sz="0" w:space="0" w:color="auto"/>
      </w:divBdr>
    </w:div>
    <w:div w:id="1795560456">
      <w:bodyDiv w:val="1"/>
      <w:marLeft w:val="0"/>
      <w:marRight w:val="0"/>
      <w:marTop w:val="0"/>
      <w:marBottom w:val="0"/>
      <w:divBdr>
        <w:top w:val="none" w:sz="0" w:space="0" w:color="auto"/>
        <w:left w:val="none" w:sz="0" w:space="0" w:color="auto"/>
        <w:bottom w:val="none" w:sz="0" w:space="0" w:color="auto"/>
        <w:right w:val="none" w:sz="0" w:space="0" w:color="auto"/>
      </w:divBdr>
    </w:div>
    <w:div w:id="1809664054">
      <w:bodyDiv w:val="1"/>
      <w:marLeft w:val="0"/>
      <w:marRight w:val="0"/>
      <w:marTop w:val="0"/>
      <w:marBottom w:val="0"/>
      <w:divBdr>
        <w:top w:val="none" w:sz="0" w:space="0" w:color="auto"/>
        <w:left w:val="none" w:sz="0" w:space="0" w:color="auto"/>
        <w:bottom w:val="none" w:sz="0" w:space="0" w:color="auto"/>
        <w:right w:val="none" w:sz="0" w:space="0" w:color="auto"/>
      </w:divBdr>
    </w:div>
    <w:div w:id="1848906165">
      <w:bodyDiv w:val="1"/>
      <w:marLeft w:val="0"/>
      <w:marRight w:val="0"/>
      <w:marTop w:val="0"/>
      <w:marBottom w:val="0"/>
      <w:divBdr>
        <w:top w:val="none" w:sz="0" w:space="0" w:color="auto"/>
        <w:left w:val="none" w:sz="0" w:space="0" w:color="auto"/>
        <w:bottom w:val="none" w:sz="0" w:space="0" w:color="auto"/>
        <w:right w:val="none" w:sz="0" w:space="0" w:color="auto"/>
      </w:divBdr>
    </w:div>
    <w:div w:id="1856840992">
      <w:bodyDiv w:val="1"/>
      <w:marLeft w:val="0"/>
      <w:marRight w:val="0"/>
      <w:marTop w:val="0"/>
      <w:marBottom w:val="0"/>
      <w:divBdr>
        <w:top w:val="none" w:sz="0" w:space="0" w:color="auto"/>
        <w:left w:val="none" w:sz="0" w:space="0" w:color="auto"/>
        <w:bottom w:val="none" w:sz="0" w:space="0" w:color="auto"/>
        <w:right w:val="none" w:sz="0" w:space="0" w:color="auto"/>
      </w:divBdr>
    </w:div>
    <w:div w:id="1872186631">
      <w:bodyDiv w:val="1"/>
      <w:marLeft w:val="0"/>
      <w:marRight w:val="0"/>
      <w:marTop w:val="0"/>
      <w:marBottom w:val="0"/>
      <w:divBdr>
        <w:top w:val="none" w:sz="0" w:space="0" w:color="auto"/>
        <w:left w:val="none" w:sz="0" w:space="0" w:color="auto"/>
        <w:bottom w:val="none" w:sz="0" w:space="0" w:color="auto"/>
        <w:right w:val="none" w:sz="0" w:space="0" w:color="auto"/>
      </w:divBdr>
    </w:div>
    <w:div w:id="1873227811">
      <w:bodyDiv w:val="1"/>
      <w:marLeft w:val="0"/>
      <w:marRight w:val="0"/>
      <w:marTop w:val="0"/>
      <w:marBottom w:val="0"/>
      <w:divBdr>
        <w:top w:val="none" w:sz="0" w:space="0" w:color="auto"/>
        <w:left w:val="none" w:sz="0" w:space="0" w:color="auto"/>
        <w:bottom w:val="none" w:sz="0" w:space="0" w:color="auto"/>
        <w:right w:val="none" w:sz="0" w:space="0" w:color="auto"/>
      </w:divBdr>
    </w:div>
    <w:div w:id="1874340822">
      <w:bodyDiv w:val="1"/>
      <w:marLeft w:val="0"/>
      <w:marRight w:val="0"/>
      <w:marTop w:val="0"/>
      <w:marBottom w:val="0"/>
      <w:divBdr>
        <w:top w:val="none" w:sz="0" w:space="0" w:color="auto"/>
        <w:left w:val="none" w:sz="0" w:space="0" w:color="auto"/>
        <w:bottom w:val="none" w:sz="0" w:space="0" w:color="auto"/>
        <w:right w:val="none" w:sz="0" w:space="0" w:color="auto"/>
      </w:divBdr>
    </w:div>
    <w:div w:id="1890149591">
      <w:bodyDiv w:val="1"/>
      <w:marLeft w:val="0"/>
      <w:marRight w:val="0"/>
      <w:marTop w:val="0"/>
      <w:marBottom w:val="0"/>
      <w:divBdr>
        <w:top w:val="none" w:sz="0" w:space="0" w:color="auto"/>
        <w:left w:val="none" w:sz="0" w:space="0" w:color="auto"/>
        <w:bottom w:val="none" w:sz="0" w:space="0" w:color="auto"/>
        <w:right w:val="none" w:sz="0" w:space="0" w:color="auto"/>
      </w:divBdr>
    </w:div>
    <w:div w:id="1892106666">
      <w:bodyDiv w:val="1"/>
      <w:marLeft w:val="0"/>
      <w:marRight w:val="0"/>
      <w:marTop w:val="0"/>
      <w:marBottom w:val="0"/>
      <w:divBdr>
        <w:top w:val="none" w:sz="0" w:space="0" w:color="auto"/>
        <w:left w:val="none" w:sz="0" w:space="0" w:color="auto"/>
        <w:bottom w:val="none" w:sz="0" w:space="0" w:color="auto"/>
        <w:right w:val="none" w:sz="0" w:space="0" w:color="auto"/>
      </w:divBdr>
    </w:div>
    <w:div w:id="1900440796">
      <w:bodyDiv w:val="1"/>
      <w:marLeft w:val="0"/>
      <w:marRight w:val="0"/>
      <w:marTop w:val="0"/>
      <w:marBottom w:val="0"/>
      <w:divBdr>
        <w:top w:val="none" w:sz="0" w:space="0" w:color="auto"/>
        <w:left w:val="none" w:sz="0" w:space="0" w:color="auto"/>
        <w:bottom w:val="none" w:sz="0" w:space="0" w:color="auto"/>
        <w:right w:val="none" w:sz="0" w:space="0" w:color="auto"/>
      </w:divBdr>
    </w:div>
    <w:div w:id="1901209531">
      <w:bodyDiv w:val="1"/>
      <w:marLeft w:val="0"/>
      <w:marRight w:val="0"/>
      <w:marTop w:val="0"/>
      <w:marBottom w:val="0"/>
      <w:divBdr>
        <w:top w:val="none" w:sz="0" w:space="0" w:color="auto"/>
        <w:left w:val="none" w:sz="0" w:space="0" w:color="auto"/>
        <w:bottom w:val="none" w:sz="0" w:space="0" w:color="auto"/>
        <w:right w:val="none" w:sz="0" w:space="0" w:color="auto"/>
      </w:divBdr>
    </w:div>
    <w:div w:id="1907641129">
      <w:bodyDiv w:val="1"/>
      <w:marLeft w:val="0"/>
      <w:marRight w:val="0"/>
      <w:marTop w:val="0"/>
      <w:marBottom w:val="0"/>
      <w:divBdr>
        <w:top w:val="none" w:sz="0" w:space="0" w:color="auto"/>
        <w:left w:val="none" w:sz="0" w:space="0" w:color="auto"/>
        <w:bottom w:val="none" w:sz="0" w:space="0" w:color="auto"/>
        <w:right w:val="none" w:sz="0" w:space="0" w:color="auto"/>
      </w:divBdr>
    </w:div>
    <w:div w:id="1907839235">
      <w:bodyDiv w:val="1"/>
      <w:marLeft w:val="0"/>
      <w:marRight w:val="0"/>
      <w:marTop w:val="0"/>
      <w:marBottom w:val="0"/>
      <w:divBdr>
        <w:top w:val="none" w:sz="0" w:space="0" w:color="auto"/>
        <w:left w:val="none" w:sz="0" w:space="0" w:color="auto"/>
        <w:bottom w:val="none" w:sz="0" w:space="0" w:color="auto"/>
        <w:right w:val="none" w:sz="0" w:space="0" w:color="auto"/>
      </w:divBdr>
    </w:div>
    <w:div w:id="1908301546">
      <w:bodyDiv w:val="1"/>
      <w:marLeft w:val="0"/>
      <w:marRight w:val="0"/>
      <w:marTop w:val="0"/>
      <w:marBottom w:val="0"/>
      <w:divBdr>
        <w:top w:val="none" w:sz="0" w:space="0" w:color="auto"/>
        <w:left w:val="none" w:sz="0" w:space="0" w:color="auto"/>
        <w:bottom w:val="none" w:sz="0" w:space="0" w:color="auto"/>
        <w:right w:val="none" w:sz="0" w:space="0" w:color="auto"/>
      </w:divBdr>
    </w:div>
    <w:div w:id="1912808891">
      <w:bodyDiv w:val="1"/>
      <w:marLeft w:val="0"/>
      <w:marRight w:val="0"/>
      <w:marTop w:val="0"/>
      <w:marBottom w:val="0"/>
      <w:divBdr>
        <w:top w:val="none" w:sz="0" w:space="0" w:color="auto"/>
        <w:left w:val="none" w:sz="0" w:space="0" w:color="auto"/>
        <w:bottom w:val="none" w:sz="0" w:space="0" w:color="auto"/>
        <w:right w:val="none" w:sz="0" w:space="0" w:color="auto"/>
      </w:divBdr>
    </w:div>
    <w:div w:id="1918788015">
      <w:bodyDiv w:val="1"/>
      <w:marLeft w:val="0"/>
      <w:marRight w:val="0"/>
      <w:marTop w:val="0"/>
      <w:marBottom w:val="0"/>
      <w:divBdr>
        <w:top w:val="none" w:sz="0" w:space="0" w:color="auto"/>
        <w:left w:val="none" w:sz="0" w:space="0" w:color="auto"/>
        <w:bottom w:val="none" w:sz="0" w:space="0" w:color="auto"/>
        <w:right w:val="none" w:sz="0" w:space="0" w:color="auto"/>
      </w:divBdr>
    </w:div>
    <w:div w:id="1920018944">
      <w:bodyDiv w:val="1"/>
      <w:marLeft w:val="0"/>
      <w:marRight w:val="0"/>
      <w:marTop w:val="0"/>
      <w:marBottom w:val="0"/>
      <w:divBdr>
        <w:top w:val="none" w:sz="0" w:space="0" w:color="auto"/>
        <w:left w:val="none" w:sz="0" w:space="0" w:color="auto"/>
        <w:bottom w:val="none" w:sz="0" w:space="0" w:color="auto"/>
        <w:right w:val="none" w:sz="0" w:space="0" w:color="auto"/>
      </w:divBdr>
    </w:div>
    <w:div w:id="1927498862">
      <w:bodyDiv w:val="1"/>
      <w:marLeft w:val="0"/>
      <w:marRight w:val="0"/>
      <w:marTop w:val="0"/>
      <w:marBottom w:val="0"/>
      <w:divBdr>
        <w:top w:val="none" w:sz="0" w:space="0" w:color="auto"/>
        <w:left w:val="none" w:sz="0" w:space="0" w:color="auto"/>
        <w:bottom w:val="none" w:sz="0" w:space="0" w:color="auto"/>
        <w:right w:val="none" w:sz="0" w:space="0" w:color="auto"/>
      </w:divBdr>
    </w:div>
    <w:div w:id="1942645516">
      <w:bodyDiv w:val="1"/>
      <w:marLeft w:val="0"/>
      <w:marRight w:val="0"/>
      <w:marTop w:val="0"/>
      <w:marBottom w:val="0"/>
      <w:divBdr>
        <w:top w:val="none" w:sz="0" w:space="0" w:color="auto"/>
        <w:left w:val="none" w:sz="0" w:space="0" w:color="auto"/>
        <w:bottom w:val="none" w:sz="0" w:space="0" w:color="auto"/>
        <w:right w:val="none" w:sz="0" w:space="0" w:color="auto"/>
      </w:divBdr>
    </w:div>
    <w:div w:id="1943223723">
      <w:bodyDiv w:val="1"/>
      <w:marLeft w:val="0"/>
      <w:marRight w:val="0"/>
      <w:marTop w:val="0"/>
      <w:marBottom w:val="0"/>
      <w:divBdr>
        <w:top w:val="none" w:sz="0" w:space="0" w:color="auto"/>
        <w:left w:val="none" w:sz="0" w:space="0" w:color="auto"/>
        <w:bottom w:val="none" w:sz="0" w:space="0" w:color="auto"/>
        <w:right w:val="none" w:sz="0" w:space="0" w:color="auto"/>
      </w:divBdr>
    </w:div>
    <w:div w:id="1943300915">
      <w:bodyDiv w:val="1"/>
      <w:marLeft w:val="0"/>
      <w:marRight w:val="0"/>
      <w:marTop w:val="0"/>
      <w:marBottom w:val="0"/>
      <w:divBdr>
        <w:top w:val="none" w:sz="0" w:space="0" w:color="auto"/>
        <w:left w:val="none" w:sz="0" w:space="0" w:color="auto"/>
        <w:bottom w:val="none" w:sz="0" w:space="0" w:color="auto"/>
        <w:right w:val="none" w:sz="0" w:space="0" w:color="auto"/>
      </w:divBdr>
    </w:div>
    <w:div w:id="1943688605">
      <w:bodyDiv w:val="1"/>
      <w:marLeft w:val="0"/>
      <w:marRight w:val="0"/>
      <w:marTop w:val="0"/>
      <w:marBottom w:val="0"/>
      <w:divBdr>
        <w:top w:val="none" w:sz="0" w:space="0" w:color="auto"/>
        <w:left w:val="none" w:sz="0" w:space="0" w:color="auto"/>
        <w:bottom w:val="none" w:sz="0" w:space="0" w:color="auto"/>
        <w:right w:val="none" w:sz="0" w:space="0" w:color="auto"/>
      </w:divBdr>
    </w:div>
    <w:div w:id="1950963067">
      <w:bodyDiv w:val="1"/>
      <w:marLeft w:val="0"/>
      <w:marRight w:val="0"/>
      <w:marTop w:val="0"/>
      <w:marBottom w:val="0"/>
      <w:divBdr>
        <w:top w:val="none" w:sz="0" w:space="0" w:color="auto"/>
        <w:left w:val="none" w:sz="0" w:space="0" w:color="auto"/>
        <w:bottom w:val="none" w:sz="0" w:space="0" w:color="auto"/>
        <w:right w:val="none" w:sz="0" w:space="0" w:color="auto"/>
      </w:divBdr>
    </w:div>
    <w:div w:id="1952665461">
      <w:bodyDiv w:val="1"/>
      <w:marLeft w:val="0"/>
      <w:marRight w:val="0"/>
      <w:marTop w:val="0"/>
      <w:marBottom w:val="0"/>
      <w:divBdr>
        <w:top w:val="none" w:sz="0" w:space="0" w:color="auto"/>
        <w:left w:val="none" w:sz="0" w:space="0" w:color="auto"/>
        <w:bottom w:val="none" w:sz="0" w:space="0" w:color="auto"/>
        <w:right w:val="none" w:sz="0" w:space="0" w:color="auto"/>
      </w:divBdr>
    </w:div>
    <w:div w:id="1957983155">
      <w:bodyDiv w:val="1"/>
      <w:marLeft w:val="0"/>
      <w:marRight w:val="0"/>
      <w:marTop w:val="0"/>
      <w:marBottom w:val="0"/>
      <w:divBdr>
        <w:top w:val="none" w:sz="0" w:space="0" w:color="auto"/>
        <w:left w:val="none" w:sz="0" w:space="0" w:color="auto"/>
        <w:bottom w:val="none" w:sz="0" w:space="0" w:color="auto"/>
        <w:right w:val="none" w:sz="0" w:space="0" w:color="auto"/>
      </w:divBdr>
    </w:div>
    <w:div w:id="1968464731">
      <w:bodyDiv w:val="1"/>
      <w:marLeft w:val="0"/>
      <w:marRight w:val="0"/>
      <w:marTop w:val="0"/>
      <w:marBottom w:val="0"/>
      <w:divBdr>
        <w:top w:val="none" w:sz="0" w:space="0" w:color="auto"/>
        <w:left w:val="none" w:sz="0" w:space="0" w:color="auto"/>
        <w:bottom w:val="none" w:sz="0" w:space="0" w:color="auto"/>
        <w:right w:val="none" w:sz="0" w:space="0" w:color="auto"/>
      </w:divBdr>
    </w:div>
    <w:div w:id="1973243078">
      <w:bodyDiv w:val="1"/>
      <w:marLeft w:val="0"/>
      <w:marRight w:val="0"/>
      <w:marTop w:val="0"/>
      <w:marBottom w:val="0"/>
      <w:divBdr>
        <w:top w:val="none" w:sz="0" w:space="0" w:color="auto"/>
        <w:left w:val="none" w:sz="0" w:space="0" w:color="auto"/>
        <w:bottom w:val="none" w:sz="0" w:space="0" w:color="auto"/>
        <w:right w:val="none" w:sz="0" w:space="0" w:color="auto"/>
      </w:divBdr>
    </w:div>
    <w:div w:id="1980450994">
      <w:bodyDiv w:val="1"/>
      <w:marLeft w:val="0"/>
      <w:marRight w:val="0"/>
      <w:marTop w:val="0"/>
      <w:marBottom w:val="0"/>
      <w:divBdr>
        <w:top w:val="none" w:sz="0" w:space="0" w:color="auto"/>
        <w:left w:val="none" w:sz="0" w:space="0" w:color="auto"/>
        <w:bottom w:val="none" w:sz="0" w:space="0" w:color="auto"/>
        <w:right w:val="none" w:sz="0" w:space="0" w:color="auto"/>
      </w:divBdr>
    </w:div>
    <w:div w:id="1980525732">
      <w:bodyDiv w:val="1"/>
      <w:marLeft w:val="0"/>
      <w:marRight w:val="0"/>
      <w:marTop w:val="0"/>
      <w:marBottom w:val="0"/>
      <w:divBdr>
        <w:top w:val="none" w:sz="0" w:space="0" w:color="auto"/>
        <w:left w:val="none" w:sz="0" w:space="0" w:color="auto"/>
        <w:bottom w:val="none" w:sz="0" w:space="0" w:color="auto"/>
        <w:right w:val="none" w:sz="0" w:space="0" w:color="auto"/>
      </w:divBdr>
    </w:div>
    <w:div w:id="1989938196">
      <w:bodyDiv w:val="1"/>
      <w:marLeft w:val="0"/>
      <w:marRight w:val="0"/>
      <w:marTop w:val="0"/>
      <w:marBottom w:val="0"/>
      <w:divBdr>
        <w:top w:val="none" w:sz="0" w:space="0" w:color="auto"/>
        <w:left w:val="none" w:sz="0" w:space="0" w:color="auto"/>
        <w:bottom w:val="none" w:sz="0" w:space="0" w:color="auto"/>
        <w:right w:val="none" w:sz="0" w:space="0" w:color="auto"/>
      </w:divBdr>
    </w:div>
    <w:div w:id="1997147536">
      <w:bodyDiv w:val="1"/>
      <w:marLeft w:val="0"/>
      <w:marRight w:val="0"/>
      <w:marTop w:val="0"/>
      <w:marBottom w:val="0"/>
      <w:divBdr>
        <w:top w:val="none" w:sz="0" w:space="0" w:color="auto"/>
        <w:left w:val="none" w:sz="0" w:space="0" w:color="auto"/>
        <w:bottom w:val="none" w:sz="0" w:space="0" w:color="auto"/>
        <w:right w:val="none" w:sz="0" w:space="0" w:color="auto"/>
      </w:divBdr>
    </w:div>
    <w:div w:id="2010060432">
      <w:bodyDiv w:val="1"/>
      <w:marLeft w:val="0"/>
      <w:marRight w:val="0"/>
      <w:marTop w:val="0"/>
      <w:marBottom w:val="0"/>
      <w:divBdr>
        <w:top w:val="none" w:sz="0" w:space="0" w:color="auto"/>
        <w:left w:val="none" w:sz="0" w:space="0" w:color="auto"/>
        <w:bottom w:val="none" w:sz="0" w:space="0" w:color="auto"/>
        <w:right w:val="none" w:sz="0" w:space="0" w:color="auto"/>
      </w:divBdr>
    </w:div>
    <w:div w:id="2015183419">
      <w:bodyDiv w:val="1"/>
      <w:marLeft w:val="0"/>
      <w:marRight w:val="0"/>
      <w:marTop w:val="0"/>
      <w:marBottom w:val="0"/>
      <w:divBdr>
        <w:top w:val="none" w:sz="0" w:space="0" w:color="auto"/>
        <w:left w:val="none" w:sz="0" w:space="0" w:color="auto"/>
        <w:bottom w:val="none" w:sz="0" w:space="0" w:color="auto"/>
        <w:right w:val="none" w:sz="0" w:space="0" w:color="auto"/>
      </w:divBdr>
    </w:div>
    <w:div w:id="2017731710">
      <w:bodyDiv w:val="1"/>
      <w:marLeft w:val="0"/>
      <w:marRight w:val="0"/>
      <w:marTop w:val="0"/>
      <w:marBottom w:val="0"/>
      <w:divBdr>
        <w:top w:val="none" w:sz="0" w:space="0" w:color="auto"/>
        <w:left w:val="none" w:sz="0" w:space="0" w:color="auto"/>
        <w:bottom w:val="none" w:sz="0" w:space="0" w:color="auto"/>
        <w:right w:val="none" w:sz="0" w:space="0" w:color="auto"/>
      </w:divBdr>
    </w:div>
    <w:div w:id="2031906277">
      <w:bodyDiv w:val="1"/>
      <w:marLeft w:val="0"/>
      <w:marRight w:val="0"/>
      <w:marTop w:val="0"/>
      <w:marBottom w:val="0"/>
      <w:divBdr>
        <w:top w:val="none" w:sz="0" w:space="0" w:color="auto"/>
        <w:left w:val="none" w:sz="0" w:space="0" w:color="auto"/>
        <w:bottom w:val="none" w:sz="0" w:space="0" w:color="auto"/>
        <w:right w:val="none" w:sz="0" w:space="0" w:color="auto"/>
      </w:divBdr>
    </w:div>
    <w:div w:id="2047755431">
      <w:bodyDiv w:val="1"/>
      <w:marLeft w:val="0"/>
      <w:marRight w:val="0"/>
      <w:marTop w:val="0"/>
      <w:marBottom w:val="0"/>
      <w:divBdr>
        <w:top w:val="none" w:sz="0" w:space="0" w:color="auto"/>
        <w:left w:val="none" w:sz="0" w:space="0" w:color="auto"/>
        <w:bottom w:val="none" w:sz="0" w:space="0" w:color="auto"/>
        <w:right w:val="none" w:sz="0" w:space="0" w:color="auto"/>
      </w:divBdr>
    </w:div>
    <w:div w:id="2056345790">
      <w:bodyDiv w:val="1"/>
      <w:marLeft w:val="0"/>
      <w:marRight w:val="0"/>
      <w:marTop w:val="0"/>
      <w:marBottom w:val="0"/>
      <w:divBdr>
        <w:top w:val="none" w:sz="0" w:space="0" w:color="auto"/>
        <w:left w:val="none" w:sz="0" w:space="0" w:color="auto"/>
        <w:bottom w:val="none" w:sz="0" w:space="0" w:color="auto"/>
        <w:right w:val="none" w:sz="0" w:space="0" w:color="auto"/>
      </w:divBdr>
    </w:div>
    <w:div w:id="2058233646">
      <w:bodyDiv w:val="1"/>
      <w:marLeft w:val="0"/>
      <w:marRight w:val="0"/>
      <w:marTop w:val="0"/>
      <w:marBottom w:val="0"/>
      <w:divBdr>
        <w:top w:val="none" w:sz="0" w:space="0" w:color="auto"/>
        <w:left w:val="none" w:sz="0" w:space="0" w:color="auto"/>
        <w:bottom w:val="none" w:sz="0" w:space="0" w:color="auto"/>
        <w:right w:val="none" w:sz="0" w:space="0" w:color="auto"/>
      </w:divBdr>
    </w:div>
    <w:div w:id="2072920934">
      <w:bodyDiv w:val="1"/>
      <w:marLeft w:val="0"/>
      <w:marRight w:val="0"/>
      <w:marTop w:val="0"/>
      <w:marBottom w:val="0"/>
      <w:divBdr>
        <w:top w:val="none" w:sz="0" w:space="0" w:color="auto"/>
        <w:left w:val="none" w:sz="0" w:space="0" w:color="auto"/>
        <w:bottom w:val="none" w:sz="0" w:space="0" w:color="auto"/>
        <w:right w:val="none" w:sz="0" w:space="0" w:color="auto"/>
      </w:divBdr>
    </w:div>
    <w:div w:id="2083483471">
      <w:bodyDiv w:val="1"/>
      <w:marLeft w:val="0"/>
      <w:marRight w:val="0"/>
      <w:marTop w:val="0"/>
      <w:marBottom w:val="0"/>
      <w:divBdr>
        <w:top w:val="none" w:sz="0" w:space="0" w:color="auto"/>
        <w:left w:val="none" w:sz="0" w:space="0" w:color="auto"/>
        <w:bottom w:val="none" w:sz="0" w:space="0" w:color="auto"/>
        <w:right w:val="none" w:sz="0" w:space="0" w:color="auto"/>
      </w:divBdr>
    </w:div>
    <w:div w:id="2089687226">
      <w:bodyDiv w:val="1"/>
      <w:marLeft w:val="0"/>
      <w:marRight w:val="0"/>
      <w:marTop w:val="0"/>
      <w:marBottom w:val="0"/>
      <w:divBdr>
        <w:top w:val="none" w:sz="0" w:space="0" w:color="auto"/>
        <w:left w:val="none" w:sz="0" w:space="0" w:color="auto"/>
        <w:bottom w:val="none" w:sz="0" w:space="0" w:color="auto"/>
        <w:right w:val="none" w:sz="0" w:space="0" w:color="auto"/>
      </w:divBdr>
    </w:div>
    <w:div w:id="2090686780">
      <w:bodyDiv w:val="1"/>
      <w:marLeft w:val="0"/>
      <w:marRight w:val="0"/>
      <w:marTop w:val="0"/>
      <w:marBottom w:val="0"/>
      <w:divBdr>
        <w:top w:val="none" w:sz="0" w:space="0" w:color="auto"/>
        <w:left w:val="none" w:sz="0" w:space="0" w:color="auto"/>
        <w:bottom w:val="none" w:sz="0" w:space="0" w:color="auto"/>
        <w:right w:val="none" w:sz="0" w:space="0" w:color="auto"/>
      </w:divBdr>
    </w:div>
    <w:div w:id="2118329138">
      <w:bodyDiv w:val="1"/>
      <w:marLeft w:val="0"/>
      <w:marRight w:val="0"/>
      <w:marTop w:val="0"/>
      <w:marBottom w:val="0"/>
      <w:divBdr>
        <w:top w:val="none" w:sz="0" w:space="0" w:color="auto"/>
        <w:left w:val="none" w:sz="0" w:space="0" w:color="auto"/>
        <w:bottom w:val="none" w:sz="0" w:space="0" w:color="auto"/>
        <w:right w:val="none" w:sz="0" w:space="0" w:color="auto"/>
      </w:divBdr>
    </w:div>
    <w:div w:id="2121214443">
      <w:bodyDiv w:val="1"/>
      <w:marLeft w:val="0"/>
      <w:marRight w:val="0"/>
      <w:marTop w:val="0"/>
      <w:marBottom w:val="0"/>
      <w:divBdr>
        <w:top w:val="none" w:sz="0" w:space="0" w:color="auto"/>
        <w:left w:val="none" w:sz="0" w:space="0" w:color="auto"/>
        <w:bottom w:val="none" w:sz="0" w:space="0" w:color="auto"/>
        <w:right w:val="none" w:sz="0" w:space="0" w:color="auto"/>
      </w:divBdr>
    </w:div>
    <w:div w:id="214441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avoteka.ru/enc/5407.html"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ravoteka.ru/enc/2477.html"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www.pravoteka.ru/enc/5297.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teka.ru/enc/5703.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teka.ru/enc/5407.html" TargetMode="External"/><Relationship Id="rId23" Type="http://schemas.openxmlformats.org/officeDocument/2006/relationships/fontTable" Target="fontTable.xml"/><Relationship Id="rId10" Type="http://schemas.openxmlformats.org/officeDocument/2006/relationships/hyperlink" Target="http://www.pravoteka.ru/enc/5407.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ravoteka.ru/enc/6491.html"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1D6D7-407F-4645-ACCA-EA8092562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89</Pages>
  <Words>44794</Words>
  <Characters>255331</Characters>
  <Application>Microsoft Office Word</Application>
  <DocSecurity>0</DocSecurity>
  <Lines>2127</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Вятка-ба</Company>
  <LinksUpToDate>false</LinksUpToDate>
  <CharactersWithSpaces>299526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Мочановская Ольга Александровна</cp:lastModifiedBy>
  <cp:revision>3</cp:revision>
  <cp:lastPrinted>2019-03-29T12:00:00Z</cp:lastPrinted>
  <dcterms:created xsi:type="dcterms:W3CDTF">2019-03-29T12:05:00Z</dcterms:created>
  <dcterms:modified xsi:type="dcterms:W3CDTF">2019-05-14T14:48:00Z</dcterms:modified>
</cp:coreProperties>
</file>